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wordWrap/>
        <w:overflowPunct w:val="0"/>
        <w:topLinePunct w:val="0"/>
        <w:autoSpaceDE w:val="0"/>
        <w:autoSpaceDN w:val="0"/>
        <w:jc w:val="left"/>
        <w:rPr>
          <w:rFonts w:hint="eastAsia" w:ascii="Times New Roman"/>
          <w:sz w:val="20"/>
        </w:rPr>
      </w:pPr>
    </w:p>
    <w:p>
      <w:pPr>
        <w:pStyle w:val="13"/>
        <w:wordWrap/>
        <w:overflowPunct w:val="0"/>
        <w:topLinePunct w:val="0"/>
        <w:autoSpaceDE w:val="0"/>
        <w:autoSpaceDN w:val="0"/>
        <w:jc w:val="left"/>
        <w:rPr>
          <w:rFonts w:ascii="Times New Roman"/>
          <w:sz w:val="20"/>
        </w:rPr>
      </w:pPr>
    </w:p>
    <w:p>
      <w:pPr>
        <w:pStyle w:val="13"/>
        <w:wordWrap/>
        <w:overflowPunct w:val="0"/>
        <w:topLinePunct w:val="0"/>
        <w:autoSpaceDE w:val="0"/>
        <w:autoSpaceDN w:val="0"/>
        <w:jc w:val="left"/>
        <w:rPr>
          <w:rFonts w:ascii="Times New Roman"/>
          <w:sz w:val="20"/>
        </w:rPr>
      </w:pPr>
    </w:p>
    <w:p>
      <w:pPr>
        <w:pStyle w:val="13"/>
        <w:wordWrap/>
        <w:overflowPunct w:val="0"/>
        <w:topLinePunct w:val="0"/>
        <w:autoSpaceDE w:val="0"/>
        <w:autoSpaceDN w:val="0"/>
        <w:jc w:val="left"/>
        <w:rPr>
          <w:rFonts w:ascii="Times New Roman"/>
          <w:sz w:val="20"/>
        </w:rPr>
      </w:pPr>
    </w:p>
    <w:p>
      <w:pPr>
        <w:pStyle w:val="13"/>
        <w:wordWrap/>
        <w:overflowPunct w:val="0"/>
        <w:topLinePunct w:val="0"/>
        <w:autoSpaceDE w:val="0"/>
        <w:autoSpaceDN w:val="0"/>
        <w:jc w:val="left"/>
        <w:rPr>
          <w:rFonts w:ascii="Times New Roman"/>
          <w:sz w:val="20"/>
        </w:rPr>
      </w:pPr>
    </w:p>
    <w:p>
      <w:pPr>
        <w:pStyle w:val="13"/>
        <w:wordWrap/>
        <w:overflowPunct w:val="0"/>
        <w:topLinePunct w:val="0"/>
        <w:autoSpaceDE w:val="0"/>
        <w:autoSpaceDN w:val="0"/>
        <w:jc w:val="left"/>
        <w:rPr>
          <w:rFonts w:ascii="Times New Roman"/>
          <w:sz w:val="20"/>
        </w:rPr>
      </w:pPr>
    </w:p>
    <w:p>
      <w:pPr>
        <w:pStyle w:val="13"/>
        <w:wordWrap/>
        <w:overflowPunct w:val="0"/>
        <w:topLinePunct w:val="0"/>
        <w:autoSpaceDE w:val="0"/>
        <w:autoSpaceDN w:val="0"/>
        <w:spacing w:before="2"/>
        <w:ind w:firstLine="420"/>
        <w:jc w:val="left"/>
        <w:rPr>
          <w:rFonts w:ascii="Times New Roman"/>
          <w:sz w:val="21"/>
        </w:rPr>
      </w:pPr>
    </w:p>
    <w:p>
      <w:pPr>
        <w:bidi w:val="0"/>
        <w:ind w:left="0" w:leftChars="0" w:firstLine="0" w:firstLineChars="0"/>
        <w:jc w:val="center"/>
        <w:rPr>
          <w:b/>
          <w:bCs/>
          <w:sz w:val="72"/>
          <w:szCs w:val="72"/>
        </w:rPr>
      </w:pPr>
      <w:bookmarkStart w:id="0" w:name="_Toc29865"/>
      <w:bookmarkStart w:id="1" w:name="_Toc12287"/>
      <w:r>
        <w:rPr>
          <w:rFonts w:hint="eastAsia"/>
          <w:b/>
          <w:bCs/>
          <w:sz w:val="72"/>
          <w:szCs w:val="72"/>
        </w:rPr>
        <w:t>建设项目环境影响报告表</w:t>
      </w:r>
      <w:bookmarkEnd w:id="0"/>
      <w:bookmarkEnd w:id="1"/>
    </w:p>
    <w:p>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b/>
          <w:bCs/>
          <w:sz w:val="44"/>
          <w:szCs w:val="44"/>
        </w:rPr>
      </w:pPr>
      <w:bookmarkStart w:id="2" w:name="_Toc16458"/>
      <w:bookmarkStart w:id="3" w:name="_Toc6928"/>
      <w:r>
        <w:rPr>
          <w:rFonts w:hint="eastAsia"/>
          <w:b/>
          <w:bCs/>
          <w:sz w:val="44"/>
          <w:szCs w:val="44"/>
        </w:rPr>
        <w:t>（污染影响类）</w:t>
      </w:r>
      <w:bookmarkEnd w:id="2"/>
      <w:bookmarkEnd w:id="3"/>
    </w:p>
    <w:p>
      <w:pPr>
        <w:pStyle w:val="13"/>
        <w:wordWrap/>
        <w:overflowPunct w:val="0"/>
        <w:topLinePunct w:val="0"/>
        <w:autoSpaceDE w:val="0"/>
        <w:autoSpaceDN w:val="0"/>
        <w:ind w:firstLine="1240"/>
        <w:jc w:val="left"/>
        <w:rPr>
          <w:rFonts w:ascii="微软雅黑"/>
          <w:sz w:val="62"/>
        </w:rPr>
      </w:pPr>
    </w:p>
    <w:p>
      <w:pPr>
        <w:adjustRightInd w:val="0"/>
        <w:snapToGrid w:val="0"/>
        <w:spacing w:line="480" w:lineRule="auto"/>
        <w:ind w:firstLine="0" w:firstLineChars="0"/>
        <w:rPr>
          <w:rFonts w:cs="Times New Roman"/>
          <w:b/>
          <w:bCs/>
          <w:sz w:val="32"/>
          <w:szCs w:val="32"/>
          <w:u w:val="single"/>
          <w:lang w:val="en-US"/>
        </w:rPr>
      </w:pPr>
      <w:r>
        <w:rPr>
          <w:rFonts w:cs="Times New Roman"/>
          <w:b/>
          <w:bCs/>
          <w:sz w:val="32"/>
          <w:szCs w:val="32"/>
        </w:rPr>
        <w:t>项目名称：</w:t>
      </w:r>
      <w:r>
        <w:rPr>
          <w:rFonts w:hint="eastAsia" w:cs="Times New Roman"/>
          <w:b/>
          <w:bCs/>
          <w:sz w:val="32"/>
          <w:szCs w:val="32"/>
          <w:u w:val="single"/>
          <w:lang w:val="en-US"/>
        </w:rPr>
        <w:t xml:space="preserve">           </w:t>
      </w:r>
      <w:r>
        <w:rPr>
          <w:rFonts w:hint="eastAsia" w:cs="Times New Roman"/>
          <w:b/>
          <w:bCs/>
          <w:sz w:val="32"/>
          <w:szCs w:val="32"/>
          <w:u w:val="single"/>
          <w:lang w:val="en-US" w:eastAsia="zh-CN"/>
        </w:rPr>
        <w:t xml:space="preserve">          </w:t>
      </w:r>
      <w:r>
        <w:rPr>
          <w:rFonts w:hint="eastAsia" w:cs="Times New Roman"/>
          <w:b/>
          <w:bCs/>
          <w:sz w:val="32"/>
          <w:szCs w:val="32"/>
          <w:u w:val="single"/>
          <w:lang w:val="en-US"/>
        </w:rPr>
        <w:t>泸溪特色米粉加工项目</w:t>
      </w:r>
      <w:r>
        <w:rPr>
          <w:rFonts w:hint="eastAsia" w:cs="Times New Roman"/>
          <w:b/>
          <w:bCs/>
          <w:sz w:val="32"/>
          <w:szCs w:val="32"/>
          <w:u w:val="single"/>
          <w:lang w:val="en-US" w:eastAsia="zh-CN"/>
        </w:rPr>
        <w:t xml:space="preserve">变更                 </w:t>
      </w:r>
    </w:p>
    <w:p>
      <w:pPr>
        <w:tabs>
          <w:tab w:val="left" w:pos="7816"/>
        </w:tabs>
        <w:kinsoku w:val="0"/>
        <w:wordWrap/>
        <w:overflowPunct w:val="0"/>
        <w:adjustRightInd w:val="0"/>
        <w:snapToGrid w:val="0"/>
        <w:spacing w:line="480" w:lineRule="auto"/>
        <w:ind w:firstLine="0" w:firstLineChars="0"/>
        <w:rPr>
          <w:rFonts w:cs="Times New Roman"/>
          <w:b/>
          <w:sz w:val="32"/>
          <w:szCs w:val="32"/>
          <w:lang w:val="en-US"/>
        </w:rPr>
      </w:pPr>
      <w:r>
        <w:rPr>
          <w:rFonts w:cs="Times New Roman"/>
          <w:b/>
          <w:bCs/>
          <w:sz w:val="32"/>
          <w:szCs w:val="32"/>
        </w:rPr>
        <w:t>建设单位</w:t>
      </w:r>
      <w:r>
        <w:rPr>
          <w:rFonts w:cs="Times New Roman"/>
          <w:b/>
          <w:sz w:val="32"/>
          <w:szCs w:val="32"/>
        </w:rPr>
        <w:t>：</w:t>
      </w:r>
      <w:r>
        <w:rPr>
          <w:rFonts w:hint="eastAsia" w:cs="Times New Roman"/>
          <w:b/>
          <w:sz w:val="32"/>
          <w:szCs w:val="32"/>
          <w:u w:val="single"/>
          <w:lang w:val="en-US"/>
        </w:rPr>
        <w:t xml:space="preserve"> </w:t>
      </w:r>
      <w:r>
        <w:rPr>
          <w:rFonts w:hint="eastAsia" w:cs="Times New Roman"/>
          <w:b/>
          <w:bCs/>
          <w:sz w:val="32"/>
          <w:szCs w:val="32"/>
          <w:u w:val="single"/>
          <w:lang w:val="en-US"/>
        </w:rPr>
        <w:t xml:space="preserve">             </w:t>
      </w:r>
      <w:r>
        <w:rPr>
          <w:rFonts w:hint="eastAsia" w:cs="Times New Roman"/>
          <w:b/>
          <w:bCs/>
          <w:sz w:val="32"/>
          <w:szCs w:val="32"/>
          <w:u w:val="single"/>
          <w:lang w:val="en-US" w:eastAsia="zh-CN"/>
        </w:rPr>
        <w:t xml:space="preserve">         泸溪县白沙镇天然饮料厂</w:t>
      </w:r>
      <w:r>
        <w:rPr>
          <w:rFonts w:hint="eastAsia" w:cs="Times New Roman"/>
          <w:b/>
          <w:bCs/>
          <w:sz w:val="32"/>
          <w:szCs w:val="32"/>
          <w:u w:val="single"/>
          <w:lang w:val="en-US"/>
        </w:rPr>
        <w:t xml:space="preserve"> </w:t>
      </w:r>
      <w:r>
        <w:rPr>
          <w:rFonts w:hint="eastAsia" w:cs="Times New Roman"/>
          <w:b/>
          <w:bCs/>
          <w:sz w:val="32"/>
          <w:szCs w:val="32"/>
          <w:u w:val="single"/>
          <w:lang w:val="en-US" w:eastAsia="zh-CN"/>
        </w:rPr>
        <w:t xml:space="preserve">       </w:t>
      </w:r>
      <w:r>
        <w:rPr>
          <w:rFonts w:hint="eastAsia" w:cs="Times New Roman"/>
          <w:b/>
          <w:bCs/>
          <w:sz w:val="32"/>
          <w:szCs w:val="32"/>
          <w:u w:val="single"/>
          <w:lang w:val="en-US"/>
        </w:rPr>
        <w:t xml:space="preserve">    </w:t>
      </w:r>
      <w:r>
        <w:rPr>
          <w:rFonts w:hint="eastAsia" w:cs="Times New Roman"/>
          <w:b/>
          <w:bCs/>
          <w:sz w:val="32"/>
          <w:szCs w:val="32"/>
          <w:u w:val="single"/>
          <w:lang w:val="en-US" w:eastAsia="zh-CN"/>
        </w:rPr>
        <w:t xml:space="preserve"> </w:t>
      </w:r>
      <w:r>
        <w:rPr>
          <w:rFonts w:hint="eastAsia" w:cs="Times New Roman"/>
          <w:b/>
          <w:bCs/>
          <w:sz w:val="32"/>
          <w:szCs w:val="32"/>
          <w:u w:val="single"/>
          <w:lang w:val="en-US"/>
        </w:rPr>
        <w:t xml:space="preserve">      </w:t>
      </w:r>
    </w:p>
    <w:p>
      <w:pPr>
        <w:tabs>
          <w:tab w:val="left" w:pos="7816"/>
        </w:tabs>
        <w:kinsoku w:val="0"/>
        <w:wordWrap/>
        <w:overflowPunct w:val="0"/>
        <w:adjustRightInd w:val="0"/>
        <w:snapToGrid w:val="0"/>
        <w:spacing w:line="480" w:lineRule="auto"/>
        <w:ind w:firstLine="0" w:firstLineChars="0"/>
        <w:rPr>
          <w:rFonts w:cs="Times New Roman"/>
          <w:b/>
          <w:bCs/>
          <w:sz w:val="32"/>
          <w:szCs w:val="32"/>
          <w:lang w:val="en-US"/>
        </w:rPr>
      </w:pPr>
      <w:r>
        <w:rPr>
          <w:rFonts w:cs="Times New Roman"/>
          <w:b/>
          <w:bCs/>
          <w:sz w:val="32"/>
          <w:szCs w:val="32"/>
        </w:rPr>
        <w:t>编制日期：</w:t>
      </w:r>
      <w:r>
        <w:rPr>
          <w:rFonts w:cs="Times New Roman"/>
          <w:b/>
          <w:bCs/>
          <w:sz w:val="32"/>
          <w:szCs w:val="32"/>
          <w:u w:val="single"/>
        </w:rPr>
        <w:t xml:space="preserve"> </w:t>
      </w:r>
      <w:r>
        <w:rPr>
          <w:rFonts w:hint="eastAsia" w:cs="Times New Roman"/>
          <w:b/>
          <w:bCs/>
          <w:sz w:val="32"/>
          <w:szCs w:val="32"/>
          <w:u w:val="single"/>
          <w:lang w:val="en-US"/>
        </w:rPr>
        <w:t xml:space="preserve">                             </w:t>
      </w:r>
      <w:r>
        <w:rPr>
          <w:rFonts w:cs="Times New Roman"/>
          <w:b/>
          <w:bCs/>
          <w:sz w:val="32"/>
          <w:szCs w:val="32"/>
          <w:u w:val="single"/>
          <w:lang w:val="en-US"/>
        </w:rPr>
        <w:t>202</w:t>
      </w:r>
      <w:r>
        <w:rPr>
          <w:rFonts w:hint="eastAsia" w:cs="Times New Roman"/>
          <w:b/>
          <w:bCs/>
          <w:sz w:val="32"/>
          <w:szCs w:val="32"/>
          <w:u w:val="single"/>
          <w:lang w:val="en-US" w:eastAsia="zh-CN"/>
        </w:rPr>
        <w:t>3</w:t>
      </w:r>
      <w:r>
        <w:rPr>
          <w:rFonts w:cs="Times New Roman"/>
          <w:b/>
          <w:bCs/>
          <w:sz w:val="32"/>
          <w:szCs w:val="32"/>
          <w:u w:val="single"/>
        </w:rPr>
        <w:t>年</w:t>
      </w:r>
      <w:r>
        <w:rPr>
          <w:rFonts w:hint="eastAsia" w:cs="Times New Roman"/>
          <w:b/>
          <w:bCs/>
          <w:sz w:val="32"/>
          <w:szCs w:val="32"/>
          <w:u w:val="single"/>
          <w:lang w:val="en-US" w:eastAsia="zh-CN"/>
        </w:rPr>
        <w:t>11</w:t>
      </w:r>
      <w:r>
        <w:rPr>
          <w:rFonts w:cs="Times New Roman"/>
          <w:b/>
          <w:bCs/>
          <w:sz w:val="32"/>
          <w:szCs w:val="32"/>
          <w:u w:val="single"/>
        </w:rPr>
        <w:t>月</w:t>
      </w:r>
      <w:r>
        <w:rPr>
          <w:rFonts w:hint="eastAsia" w:cs="Times New Roman"/>
          <w:b/>
          <w:bCs/>
          <w:sz w:val="32"/>
          <w:szCs w:val="32"/>
          <w:u w:val="single"/>
          <w:lang w:val="en-US"/>
        </w:rPr>
        <w:t xml:space="preserve">                                  </w:t>
      </w:r>
    </w:p>
    <w:p>
      <w:pPr>
        <w:wordWrap/>
        <w:overflowPunct w:val="0"/>
        <w:topLinePunct w:val="0"/>
        <w:autoSpaceDE w:val="0"/>
        <w:autoSpaceDN w:val="0"/>
        <w:spacing w:before="183"/>
        <w:ind w:left="0" w:leftChars="0" w:right="654" w:firstLine="0" w:firstLineChars="0"/>
        <w:jc w:val="left"/>
        <w:outlineLvl w:val="0"/>
        <w:rPr>
          <w:rFonts w:ascii="微软雅黑" w:hAnsi="微软雅黑" w:eastAsia="微软雅黑" w:cs="微软雅黑"/>
          <w:sz w:val="36"/>
          <w:szCs w:val="36"/>
          <w:lang w:val="en-US"/>
        </w:rPr>
      </w:pPr>
      <w:bookmarkStart w:id="4" w:name="_Toc29635"/>
      <w:bookmarkStart w:id="5" w:name="_Toc4197"/>
    </w:p>
    <w:p>
      <w:pPr>
        <w:wordWrap/>
        <w:overflowPunct w:val="0"/>
        <w:topLinePunct w:val="0"/>
        <w:autoSpaceDE w:val="0"/>
        <w:autoSpaceDN w:val="0"/>
        <w:spacing w:before="183"/>
        <w:ind w:right="654" w:firstLine="0" w:firstLineChars="0"/>
        <w:jc w:val="left"/>
        <w:rPr>
          <w:u w:val="single"/>
          <w:lang w:val="en-US"/>
        </w:rPr>
      </w:pPr>
    </w:p>
    <w:p>
      <w:pPr>
        <w:wordWrap/>
        <w:overflowPunct w:val="0"/>
        <w:topLinePunct w:val="0"/>
        <w:autoSpaceDE w:val="0"/>
        <w:autoSpaceDN w:val="0"/>
        <w:spacing w:before="183"/>
        <w:ind w:right="654" w:firstLine="0" w:firstLineChars="0"/>
        <w:jc w:val="left"/>
        <w:rPr>
          <w:u w:val="single"/>
          <w:lang w:val="en-US"/>
        </w:rPr>
      </w:pPr>
    </w:p>
    <w:p>
      <w:pPr>
        <w:keepNext w:val="0"/>
        <w:keepLines w:val="0"/>
        <w:pageBreakBefore w:val="0"/>
        <w:widowControl w:val="0"/>
        <w:kinsoku/>
        <w:wordWrap w:val="0"/>
        <w:overflowPunct/>
        <w:topLinePunct/>
        <w:autoSpaceDE/>
        <w:autoSpaceDN/>
        <w:bidi w:val="0"/>
        <w:adjustRightInd/>
        <w:snapToGrid/>
        <w:ind w:left="0" w:leftChars="0" w:firstLine="0" w:firstLineChars="0"/>
        <w:jc w:val="center"/>
        <w:textAlignment w:val="auto"/>
        <w:rPr>
          <w:rFonts w:hint="eastAsia"/>
          <w:b/>
          <w:bCs/>
          <w:sz w:val="36"/>
          <w:szCs w:val="36"/>
        </w:rPr>
        <w:sectPr>
          <w:headerReference r:id="rId7" w:type="first"/>
          <w:footerReference r:id="rId10" w:type="first"/>
          <w:headerReference r:id="rId5" w:type="default"/>
          <w:footerReference r:id="rId8" w:type="default"/>
          <w:headerReference r:id="rId6" w:type="even"/>
          <w:footerReference r:id="rId9" w:type="even"/>
          <w:pgSz w:w="11910" w:h="16840"/>
          <w:pgMar w:top="1580" w:right="1320" w:bottom="1240" w:left="1340" w:header="720" w:footer="1043" w:gutter="0"/>
          <w:pgBorders>
            <w:top w:val="none" w:sz="0" w:space="0"/>
            <w:left w:val="none" w:sz="0" w:space="0"/>
            <w:bottom w:val="none" w:sz="0" w:space="0"/>
            <w:right w:val="none" w:sz="0" w:space="0"/>
          </w:pgBorders>
          <w:pgNumType w:start="3"/>
          <w:cols w:space="720" w:num="1"/>
        </w:sectPr>
      </w:pPr>
      <w:bookmarkStart w:id="6" w:name="_Toc8715"/>
      <w:bookmarkStart w:id="7" w:name="_Toc6197"/>
      <w:r>
        <w:rPr>
          <w:rFonts w:hint="eastAsia"/>
          <w:b/>
          <w:bCs/>
          <w:sz w:val="36"/>
          <w:szCs w:val="36"/>
        </w:rPr>
        <w:t>中华人民共和国生态环境部制</w:t>
      </w:r>
      <w:bookmarkEnd w:id="6"/>
      <w:bookmarkEnd w:id="7"/>
    </w:p>
    <w:p>
      <w:pPr>
        <w:pStyle w:val="5"/>
        <w:tabs>
          <w:tab w:val="left" w:pos="7977"/>
        </w:tabs>
        <w:wordWrap/>
        <w:overflowPunct w:val="0"/>
        <w:topLinePunct w:val="0"/>
        <w:autoSpaceDE w:val="0"/>
        <w:autoSpaceDN w:val="0"/>
        <w:spacing w:line="268" w:lineRule="auto"/>
        <w:ind w:right="1267"/>
        <w:jc w:val="left"/>
        <w:rPr>
          <w:rFonts w:hint="eastAsia" w:ascii="Times New Roman" w:eastAsia="宋体"/>
          <w:lang w:eastAsia="zh-CN"/>
        </w:rPr>
        <w:sectPr>
          <w:pgSz w:w="11910" w:h="16840"/>
          <w:pgMar w:top="1580" w:right="1320" w:bottom="1240" w:left="1340" w:header="720" w:footer="1043" w:gutter="0"/>
          <w:pgBorders>
            <w:top w:val="none" w:sz="0" w:space="0"/>
            <w:left w:val="none" w:sz="0" w:space="0"/>
            <w:bottom w:val="none" w:sz="0" w:space="0"/>
            <w:right w:val="none" w:sz="0" w:space="0"/>
          </w:pgBorders>
          <w:pgNumType w:start="3"/>
          <w:cols w:space="720" w:num="1"/>
        </w:sectPr>
      </w:pPr>
      <w:r>
        <w:drawing>
          <wp:inline distT="0" distB="0" distL="114300" distR="114300">
            <wp:extent cx="5876290" cy="82988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876290" cy="8298815"/>
                    </a:xfrm>
                    <a:prstGeom prst="rect">
                      <a:avLst/>
                    </a:prstGeom>
                    <a:noFill/>
                    <a:ln>
                      <a:noFill/>
                    </a:ln>
                  </pic:spPr>
                </pic:pic>
              </a:graphicData>
            </a:graphic>
          </wp:inline>
        </w:drawing>
      </w:r>
    </w:p>
    <w:sdt>
      <w:sdtPr>
        <w:rPr>
          <w:rFonts w:ascii="宋体" w:hAnsi="宋体"/>
          <w:sz w:val="21"/>
        </w:rPr>
        <w:id w:val="147451671"/>
        <w:docPartObj>
          <w:docPartGallery w:val="Table of Contents"/>
          <w:docPartUnique/>
        </w:docPartObj>
      </w:sdtPr>
      <w:sdtEndPr>
        <w:rPr>
          <w:rFonts w:ascii="宋体" w:hAnsi="宋体"/>
          <w:sz w:val="21"/>
        </w:rPr>
      </w:sdtEndPr>
      <w:sdtContent>
        <w:p>
          <w:pPr>
            <w:spacing w:line="240" w:lineRule="auto"/>
            <w:ind w:firstLine="0" w:firstLineChars="0"/>
            <w:jc w:val="center"/>
          </w:pPr>
          <w:r>
            <w:rPr>
              <w:rStyle w:val="79"/>
              <w:b/>
              <w:bCs/>
              <w:sz w:val="32"/>
              <w:szCs w:val="32"/>
            </w:rPr>
            <w:t>目</w:t>
          </w:r>
          <w:r>
            <w:rPr>
              <w:rStyle w:val="79"/>
              <w:rFonts w:hint="eastAsia"/>
              <w:b/>
              <w:bCs/>
              <w:sz w:val="32"/>
              <w:szCs w:val="32"/>
              <w:lang w:val="en-US" w:eastAsia="zh-CN"/>
            </w:rPr>
            <w:t xml:space="preserve">  </w:t>
          </w:r>
          <w:r>
            <w:rPr>
              <w:rStyle w:val="79"/>
              <w:b/>
              <w:bCs/>
              <w:sz w:val="32"/>
              <w:szCs w:val="32"/>
            </w:rPr>
            <w:t>录</w:t>
          </w:r>
        </w:p>
        <w:p>
          <w:pPr>
            <w:pStyle w:val="67"/>
            <w:keepNext w:val="0"/>
            <w:keepLines w:val="0"/>
            <w:pageBreakBefore w:val="0"/>
            <w:tabs>
              <w:tab w:val="right" w:leader="dot" w:pos="9250"/>
            </w:tabs>
            <w:kinsoku/>
            <w:overflowPunct/>
            <w:autoSpaceDE/>
            <w:autoSpaceDN/>
            <w:bidi w:val="0"/>
            <w:adjustRightInd/>
            <w:snapToGrid/>
            <w:ind w:left="0" w:firstLine="602" w:firstLineChars="200"/>
            <w:textAlignment w:val="auto"/>
            <w:rPr>
              <w:b/>
              <w:bCs/>
              <w:sz w:val="30"/>
              <w:szCs w:val="30"/>
            </w:rPr>
          </w:pPr>
        </w:p>
        <w:p>
          <w:pPr>
            <w:pStyle w:val="20"/>
            <w:keepNext w:val="0"/>
            <w:keepLines w:val="0"/>
            <w:pageBreakBefore w:val="0"/>
            <w:widowControl w:val="0"/>
            <w:tabs>
              <w:tab w:val="right" w:leader="dot" w:pos="9250"/>
            </w:tabs>
            <w:kinsoku/>
            <w:wordWrap w:val="0"/>
            <w:overflowPunct/>
            <w:topLinePunct/>
            <w:autoSpaceDE/>
            <w:autoSpaceDN/>
            <w:bidi w:val="0"/>
            <w:adjustRightInd/>
            <w:snapToGrid/>
            <w:spacing w:line="480" w:lineRule="auto"/>
            <w:ind w:left="0" w:leftChars="0" w:firstLine="602" w:firstLineChars="200"/>
            <w:textAlignment w:val="auto"/>
            <w:rPr>
              <w:b/>
              <w:bCs/>
              <w:sz w:val="30"/>
              <w:szCs w:val="30"/>
            </w:rPr>
          </w:pPr>
          <w:r>
            <w:rPr>
              <w:b/>
              <w:bCs/>
              <w:sz w:val="30"/>
              <w:szCs w:val="30"/>
            </w:rPr>
            <w:fldChar w:fldCharType="begin"/>
          </w:r>
          <w:r>
            <w:rPr>
              <w:b/>
              <w:bCs/>
              <w:sz w:val="30"/>
              <w:szCs w:val="30"/>
            </w:rPr>
            <w:instrText xml:space="preserve">TOC \o "1-1" \h \u </w:instrText>
          </w:r>
          <w:r>
            <w:rPr>
              <w:b/>
              <w:bCs/>
              <w:sz w:val="30"/>
              <w:szCs w:val="30"/>
            </w:rPr>
            <w:fldChar w:fldCharType="separate"/>
          </w:r>
          <w:r>
            <w:rPr>
              <w:b/>
              <w:bCs/>
              <w:sz w:val="30"/>
              <w:szCs w:val="30"/>
            </w:rPr>
            <w:fldChar w:fldCharType="begin"/>
          </w:r>
          <w:r>
            <w:rPr>
              <w:b/>
              <w:bCs/>
              <w:sz w:val="30"/>
              <w:szCs w:val="30"/>
            </w:rPr>
            <w:instrText xml:space="preserve"> HYPERLINK \l _Toc29635 </w:instrText>
          </w:r>
          <w:r>
            <w:rPr>
              <w:b/>
              <w:bCs/>
              <w:sz w:val="30"/>
              <w:szCs w:val="30"/>
            </w:rPr>
            <w:fldChar w:fldCharType="separate"/>
          </w:r>
          <w:r>
            <w:rPr>
              <w:rFonts w:hint="eastAsia" w:ascii="宋体" w:hAnsi="宋体" w:eastAsia="宋体" w:cs="宋体"/>
              <w:b/>
              <w:bCs/>
              <w:sz w:val="30"/>
              <w:szCs w:val="30"/>
            </w:rPr>
            <w:t>一、建设项目基本情况</w:t>
          </w:r>
          <w:r>
            <w:rPr>
              <w:b/>
              <w:bCs/>
              <w:sz w:val="30"/>
              <w:szCs w:val="30"/>
            </w:rPr>
            <w:tab/>
          </w:r>
          <w:r>
            <w:rPr>
              <w:rFonts w:hint="eastAsia"/>
              <w:b/>
              <w:bCs/>
              <w:sz w:val="30"/>
              <w:szCs w:val="30"/>
              <w:lang w:val="en-US" w:eastAsia="zh-CN"/>
            </w:rPr>
            <w:t>1</w:t>
          </w:r>
          <w:r>
            <w:rPr>
              <w:b/>
              <w:bCs/>
              <w:sz w:val="30"/>
              <w:szCs w:val="30"/>
            </w:rPr>
            <w:fldChar w:fldCharType="end"/>
          </w:r>
        </w:p>
        <w:p>
          <w:pPr>
            <w:pStyle w:val="20"/>
            <w:keepNext w:val="0"/>
            <w:keepLines w:val="0"/>
            <w:pageBreakBefore w:val="0"/>
            <w:widowControl w:val="0"/>
            <w:tabs>
              <w:tab w:val="right" w:leader="dot" w:pos="9250"/>
            </w:tabs>
            <w:kinsoku/>
            <w:wordWrap w:val="0"/>
            <w:overflowPunct/>
            <w:topLinePunct/>
            <w:autoSpaceDE/>
            <w:autoSpaceDN/>
            <w:bidi w:val="0"/>
            <w:adjustRightInd/>
            <w:snapToGrid/>
            <w:spacing w:line="480" w:lineRule="auto"/>
            <w:ind w:left="0" w:firstLine="602" w:firstLineChars="200"/>
            <w:textAlignment w:val="auto"/>
            <w:rPr>
              <w:b/>
              <w:bCs/>
              <w:sz w:val="30"/>
              <w:szCs w:val="30"/>
            </w:rPr>
          </w:pPr>
          <w:r>
            <w:rPr>
              <w:b/>
              <w:bCs/>
              <w:sz w:val="30"/>
              <w:szCs w:val="30"/>
            </w:rPr>
            <w:fldChar w:fldCharType="begin"/>
          </w:r>
          <w:r>
            <w:rPr>
              <w:b/>
              <w:bCs/>
              <w:sz w:val="30"/>
              <w:szCs w:val="30"/>
            </w:rPr>
            <w:instrText xml:space="preserve"> HYPERLINK \l _Toc5098 </w:instrText>
          </w:r>
          <w:r>
            <w:rPr>
              <w:b/>
              <w:bCs/>
              <w:sz w:val="30"/>
              <w:szCs w:val="30"/>
            </w:rPr>
            <w:fldChar w:fldCharType="separate"/>
          </w:r>
          <w:r>
            <w:rPr>
              <w:rFonts w:hint="eastAsia" w:asciiTheme="minorEastAsia" w:hAnsiTheme="minorEastAsia" w:eastAsiaTheme="minorEastAsia" w:cstheme="minorEastAsia"/>
              <w:b/>
              <w:bCs/>
              <w:sz w:val="30"/>
              <w:szCs w:val="30"/>
            </w:rPr>
            <w:t>二、建设项目工程分析</w:t>
          </w:r>
          <w:r>
            <w:rPr>
              <w:b/>
              <w:bCs/>
              <w:sz w:val="30"/>
              <w:szCs w:val="30"/>
            </w:rPr>
            <w:tab/>
          </w:r>
          <w:r>
            <w:rPr>
              <w:b/>
              <w:bCs/>
              <w:sz w:val="30"/>
              <w:szCs w:val="30"/>
            </w:rPr>
            <w:fldChar w:fldCharType="begin"/>
          </w:r>
          <w:r>
            <w:rPr>
              <w:b/>
              <w:bCs/>
              <w:sz w:val="30"/>
              <w:szCs w:val="30"/>
            </w:rPr>
            <w:instrText xml:space="preserve"> PAGEREF _Toc5098 \h </w:instrText>
          </w:r>
          <w:r>
            <w:rPr>
              <w:b/>
              <w:bCs/>
              <w:sz w:val="30"/>
              <w:szCs w:val="30"/>
            </w:rPr>
            <w:fldChar w:fldCharType="separate"/>
          </w:r>
          <w:r>
            <w:rPr>
              <w:b/>
              <w:bCs/>
              <w:sz w:val="30"/>
              <w:szCs w:val="30"/>
            </w:rPr>
            <w:t>21</w:t>
          </w:r>
          <w:r>
            <w:rPr>
              <w:b/>
              <w:bCs/>
              <w:sz w:val="30"/>
              <w:szCs w:val="30"/>
            </w:rPr>
            <w:fldChar w:fldCharType="end"/>
          </w:r>
          <w:r>
            <w:rPr>
              <w:b/>
              <w:bCs/>
              <w:sz w:val="30"/>
              <w:szCs w:val="30"/>
            </w:rPr>
            <w:fldChar w:fldCharType="end"/>
          </w:r>
        </w:p>
        <w:p>
          <w:pPr>
            <w:pStyle w:val="20"/>
            <w:keepNext w:val="0"/>
            <w:keepLines w:val="0"/>
            <w:pageBreakBefore w:val="0"/>
            <w:widowControl w:val="0"/>
            <w:tabs>
              <w:tab w:val="right" w:leader="dot" w:pos="9250"/>
            </w:tabs>
            <w:kinsoku/>
            <w:wordWrap w:val="0"/>
            <w:overflowPunct/>
            <w:topLinePunct/>
            <w:autoSpaceDE/>
            <w:autoSpaceDN/>
            <w:bidi w:val="0"/>
            <w:adjustRightInd/>
            <w:snapToGrid/>
            <w:spacing w:line="480" w:lineRule="auto"/>
            <w:ind w:left="0" w:firstLine="602" w:firstLineChars="200"/>
            <w:textAlignment w:val="auto"/>
            <w:rPr>
              <w:b/>
              <w:bCs/>
              <w:sz w:val="30"/>
              <w:szCs w:val="30"/>
            </w:rPr>
          </w:pPr>
          <w:r>
            <w:rPr>
              <w:b/>
              <w:bCs/>
              <w:sz w:val="30"/>
              <w:szCs w:val="30"/>
            </w:rPr>
            <w:fldChar w:fldCharType="begin"/>
          </w:r>
          <w:r>
            <w:rPr>
              <w:b/>
              <w:bCs/>
              <w:sz w:val="30"/>
              <w:szCs w:val="30"/>
            </w:rPr>
            <w:instrText xml:space="preserve"> HYPERLINK \l _Toc20964 </w:instrText>
          </w:r>
          <w:r>
            <w:rPr>
              <w:b/>
              <w:bCs/>
              <w:sz w:val="30"/>
              <w:szCs w:val="30"/>
            </w:rPr>
            <w:fldChar w:fldCharType="separate"/>
          </w:r>
          <w:r>
            <w:rPr>
              <w:rFonts w:hint="eastAsia" w:ascii="宋体" w:hAnsi="宋体" w:eastAsia="宋体" w:cs="宋体"/>
              <w:b/>
              <w:bCs/>
              <w:sz w:val="30"/>
              <w:szCs w:val="30"/>
            </w:rPr>
            <w:t>三、区域环境质量现状、环境保护目标及评价标准</w:t>
          </w:r>
          <w:r>
            <w:rPr>
              <w:b/>
              <w:bCs/>
              <w:sz w:val="30"/>
              <w:szCs w:val="30"/>
            </w:rPr>
            <w:tab/>
          </w:r>
          <w:r>
            <w:rPr>
              <w:b/>
              <w:bCs/>
              <w:sz w:val="30"/>
              <w:szCs w:val="30"/>
            </w:rPr>
            <w:fldChar w:fldCharType="begin"/>
          </w:r>
          <w:r>
            <w:rPr>
              <w:b/>
              <w:bCs/>
              <w:sz w:val="30"/>
              <w:szCs w:val="30"/>
            </w:rPr>
            <w:instrText xml:space="preserve"> PAGEREF _Toc20964 \h </w:instrText>
          </w:r>
          <w:r>
            <w:rPr>
              <w:b/>
              <w:bCs/>
              <w:sz w:val="30"/>
              <w:szCs w:val="30"/>
            </w:rPr>
            <w:fldChar w:fldCharType="separate"/>
          </w:r>
          <w:r>
            <w:rPr>
              <w:b/>
              <w:bCs/>
              <w:sz w:val="30"/>
              <w:szCs w:val="30"/>
            </w:rPr>
            <w:t>43</w:t>
          </w:r>
          <w:r>
            <w:rPr>
              <w:b/>
              <w:bCs/>
              <w:sz w:val="30"/>
              <w:szCs w:val="30"/>
            </w:rPr>
            <w:fldChar w:fldCharType="end"/>
          </w:r>
          <w:r>
            <w:rPr>
              <w:b/>
              <w:bCs/>
              <w:sz w:val="30"/>
              <w:szCs w:val="30"/>
            </w:rPr>
            <w:fldChar w:fldCharType="end"/>
          </w:r>
        </w:p>
        <w:p>
          <w:pPr>
            <w:pStyle w:val="20"/>
            <w:keepNext w:val="0"/>
            <w:keepLines w:val="0"/>
            <w:pageBreakBefore w:val="0"/>
            <w:widowControl w:val="0"/>
            <w:tabs>
              <w:tab w:val="right" w:leader="dot" w:pos="9250"/>
            </w:tabs>
            <w:kinsoku/>
            <w:wordWrap w:val="0"/>
            <w:overflowPunct/>
            <w:topLinePunct/>
            <w:autoSpaceDE/>
            <w:autoSpaceDN/>
            <w:bidi w:val="0"/>
            <w:adjustRightInd/>
            <w:snapToGrid/>
            <w:spacing w:line="480" w:lineRule="auto"/>
            <w:ind w:left="0" w:firstLine="602" w:firstLineChars="200"/>
            <w:textAlignment w:val="auto"/>
            <w:rPr>
              <w:b/>
              <w:bCs/>
              <w:sz w:val="30"/>
              <w:szCs w:val="30"/>
            </w:rPr>
          </w:pPr>
          <w:r>
            <w:rPr>
              <w:b/>
              <w:bCs/>
              <w:sz w:val="30"/>
              <w:szCs w:val="30"/>
            </w:rPr>
            <w:fldChar w:fldCharType="begin"/>
          </w:r>
          <w:r>
            <w:rPr>
              <w:b/>
              <w:bCs/>
              <w:sz w:val="30"/>
              <w:szCs w:val="30"/>
            </w:rPr>
            <w:instrText xml:space="preserve"> HYPERLINK \l _Toc23540 </w:instrText>
          </w:r>
          <w:r>
            <w:rPr>
              <w:b/>
              <w:bCs/>
              <w:sz w:val="30"/>
              <w:szCs w:val="30"/>
            </w:rPr>
            <w:fldChar w:fldCharType="separate"/>
          </w:r>
          <w:r>
            <w:rPr>
              <w:rFonts w:hint="eastAsia" w:asciiTheme="minorEastAsia" w:hAnsiTheme="minorEastAsia" w:eastAsiaTheme="minorEastAsia" w:cstheme="minorEastAsia"/>
              <w:b/>
              <w:bCs/>
              <w:sz w:val="30"/>
              <w:szCs w:val="30"/>
            </w:rPr>
            <w:t>四、主要环境影响和保护措施</w:t>
          </w:r>
          <w:r>
            <w:rPr>
              <w:b/>
              <w:bCs/>
              <w:sz w:val="30"/>
              <w:szCs w:val="30"/>
            </w:rPr>
            <w:tab/>
          </w:r>
          <w:r>
            <w:rPr>
              <w:b/>
              <w:bCs/>
              <w:sz w:val="30"/>
              <w:szCs w:val="30"/>
            </w:rPr>
            <w:fldChar w:fldCharType="begin"/>
          </w:r>
          <w:r>
            <w:rPr>
              <w:b/>
              <w:bCs/>
              <w:sz w:val="30"/>
              <w:szCs w:val="30"/>
            </w:rPr>
            <w:instrText xml:space="preserve"> PAGEREF _Toc23540 \h </w:instrText>
          </w:r>
          <w:r>
            <w:rPr>
              <w:b/>
              <w:bCs/>
              <w:sz w:val="30"/>
              <w:szCs w:val="30"/>
            </w:rPr>
            <w:fldChar w:fldCharType="separate"/>
          </w:r>
          <w:r>
            <w:rPr>
              <w:b/>
              <w:bCs/>
              <w:sz w:val="30"/>
              <w:szCs w:val="30"/>
            </w:rPr>
            <w:t>55</w:t>
          </w:r>
          <w:r>
            <w:rPr>
              <w:b/>
              <w:bCs/>
              <w:sz w:val="30"/>
              <w:szCs w:val="30"/>
            </w:rPr>
            <w:fldChar w:fldCharType="end"/>
          </w:r>
          <w:r>
            <w:rPr>
              <w:b/>
              <w:bCs/>
              <w:sz w:val="30"/>
              <w:szCs w:val="30"/>
            </w:rPr>
            <w:fldChar w:fldCharType="end"/>
          </w:r>
        </w:p>
        <w:p>
          <w:pPr>
            <w:pStyle w:val="20"/>
            <w:keepNext w:val="0"/>
            <w:keepLines w:val="0"/>
            <w:pageBreakBefore w:val="0"/>
            <w:widowControl w:val="0"/>
            <w:tabs>
              <w:tab w:val="right" w:leader="dot" w:pos="9250"/>
            </w:tabs>
            <w:kinsoku/>
            <w:wordWrap w:val="0"/>
            <w:overflowPunct/>
            <w:topLinePunct/>
            <w:autoSpaceDE/>
            <w:autoSpaceDN/>
            <w:bidi w:val="0"/>
            <w:adjustRightInd/>
            <w:snapToGrid/>
            <w:spacing w:line="480" w:lineRule="auto"/>
            <w:ind w:left="0" w:firstLine="602" w:firstLineChars="200"/>
            <w:textAlignment w:val="auto"/>
            <w:rPr>
              <w:b/>
              <w:bCs/>
              <w:sz w:val="30"/>
              <w:szCs w:val="30"/>
            </w:rPr>
          </w:pPr>
          <w:r>
            <w:rPr>
              <w:b/>
              <w:bCs/>
              <w:sz w:val="30"/>
              <w:szCs w:val="30"/>
            </w:rPr>
            <w:fldChar w:fldCharType="begin"/>
          </w:r>
          <w:r>
            <w:rPr>
              <w:b/>
              <w:bCs/>
              <w:sz w:val="30"/>
              <w:szCs w:val="30"/>
            </w:rPr>
            <w:instrText xml:space="preserve"> HYPERLINK \l _Toc22725 </w:instrText>
          </w:r>
          <w:r>
            <w:rPr>
              <w:b/>
              <w:bCs/>
              <w:sz w:val="30"/>
              <w:szCs w:val="30"/>
            </w:rPr>
            <w:fldChar w:fldCharType="separate"/>
          </w:r>
          <w:r>
            <w:rPr>
              <w:rFonts w:hint="eastAsia" w:asciiTheme="minorEastAsia" w:hAnsiTheme="minorEastAsia" w:eastAsiaTheme="minorEastAsia" w:cstheme="minorEastAsia"/>
              <w:b/>
              <w:bCs/>
              <w:sz w:val="30"/>
              <w:szCs w:val="30"/>
            </w:rPr>
            <w:t>五、环境保护措施监督检查清单</w:t>
          </w:r>
          <w:r>
            <w:rPr>
              <w:b/>
              <w:bCs/>
              <w:sz w:val="30"/>
              <w:szCs w:val="30"/>
            </w:rPr>
            <w:tab/>
          </w:r>
          <w:r>
            <w:rPr>
              <w:b/>
              <w:bCs/>
              <w:sz w:val="30"/>
              <w:szCs w:val="30"/>
            </w:rPr>
            <w:fldChar w:fldCharType="begin"/>
          </w:r>
          <w:r>
            <w:rPr>
              <w:b/>
              <w:bCs/>
              <w:sz w:val="30"/>
              <w:szCs w:val="30"/>
            </w:rPr>
            <w:instrText xml:space="preserve"> PAGEREF _Toc22725 \h </w:instrText>
          </w:r>
          <w:r>
            <w:rPr>
              <w:b/>
              <w:bCs/>
              <w:sz w:val="30"/>
              <w:szCs w:val="30"/>
            </w:rPr>
            <w:fldChar w:fldCharType="separate"/>
          </w:r>
          <w:r>
            <w:rPr>
              <w:b/>
              <w:bCs/>
              <w:sz w:val="30"/>
              <w:szCs w:val="30"/>
            </w:rPr>
            <w:t>88</w:t>
          </w:r>
          <w:r>
            <w:rPr>
              <w:b/>
              <w:bCs/>
              <w:sz w:val="30"/>
              <w:szCs w:val="30"/>
            </w:rPr>
            <w:fldChar w:fldCharType="end"/>
          </w:r>
          <w:r>
            <w:rPr>
              <w:b/>
              <w:bCs/>
              <w:sz w:val="30"/>
              <w:szCs w:val="30"/>
            </w:rPr>
            <w:fldChar w:fldCharType="end"/>
          </w:r>
        </w:p>
        <w:p>
          <w:pPr>
            <w:pStyle w:val="20"/>
            <w:keepNext w:val="0"/>
            <w:keepLines w:val="0"/>
            <w:pageBreakBefore w:val="0"/>
            <w:widowControl w:val="0"/>
            <w:tabs>
              <w:tab w:val="right" w:leader="dot" w:pos="9250"/>
            </w:tabs>
            <w:kinsoku/>
            <w:wordWrap w:val="0"/>
            <w:overflowPunct/>
            <w:topLinePunct/>
            <w:autoSpaceDE/>
            <w:autoSpaceDN/>
            <w:bidi w:val="0"/>
            <w:adjustRightInd/>
            <w:snapToGrid/>
            <w:spacing w:line="480" w:lineRule="auto"/>
            <w:ind w:left="0" w:firstLine="602" w:firstLineChars="200"/>
            <w:textAlignment w:val="auto"/>
            <w:rPr>
              <w:b/>
              <w:bCs/>
              <w:sz w:val="30"/>
              <w:szCs w:val="30"/>
            </w:rPr>
          </w:pPr>
          <w:r>
            <w:rPr>
              <w:b/>
              <w:bCs/>
              <w:sz w:val="30"/>
              <w:szCs w:val="30"/>
            </w:rPr>
            <w:fldChar w:fldCharType="begin"/>
          </w:r>
          <w:r>
            <w:rPr>
              <w:b/>
              <w:bCs/>
              <w:sz w:val="30"/>
              <w:szCs w:val="30"/>
            </w:rPr>
            <w:instrText xml:space="preserve"> HYPERLINK \l _Toc11649 </w:instrText>
          </w:r>
          <w:r>
            <w:rPr>
              <w:b/>
              <w:bCs/>
              <w:sz w:val="30"/>
              <w:szCs w:val="30"/>
            </w:rPr>
            <w:fldChar w:fldCharType="separate"/>
          </w:r>
          <w:r>
            <w:rPr>
              <w:rFonts w:hint="default" w:ascii="Times New Roman" w:hAnsi="Times New Roman" w:eastAsia="宋体" w:cs="Times New Roman"/>
              <w:b/>
              <w:bCs/>
              <w:sz w:val="30"/>
              <w:szCs w:val="30"/>
            </w:rPr>
            <w:t>六、结论</w:t>
          </w:r>
          <w:r>
            <w:rPr>
              <w:b/>
              <w:bCs/>
              <w:sz w:val="30"/>
              <w:szCs w:val="30"/>
            </w:rPr>
            <w:tab/>
          </w:r>
          <w:r>
            <w:rPr>
              <w:b/>
              <w:bCs/>
              <w:sz w:val="30"/>
              <w:szCs w:val="30"/>
            </w:rPr>
            <w:fldChar w:fldCharType="begin"/>
          </w:r>
          <w:r>
            <w:rPr>
              <w:b/>
              <w:bCs/>
              <w:sz w:val="30"/>
              <w:szCs w:val="30"/>
            </w:rPr>
            <w:instrText xml:space="preserve"> PAGEREF _Toc11649 \h </w:instrText>
          </w:r>
          <w:r>
            <w:rPr>
              <w:b/>
              <w:bCs/>
              <w:sz w:val="30"/>
              <w:szCs w:val="30"/>
            </w:rPr>
            <w:fldChar w:fldCharType="separate"/>
          </w:r>
          <w:r>
            <w:rPr>
              <w:b/>
              <w:bCs/>
              <w:sz w:val="30"/>
              <w:szCs w:val="30"/>
            </w:rPr>
            <w:t>90</w:t>
          </w:r>
          <w:r>
            <w:rPr>
              <w:b/>
              <w:bCs/>
              <w:sz w:val="30"/>
              <w:szCs w:val="30"/>
            </w:rPr>
            <w:fldChar w:fldCharType="end"/>
          </w:r>
          <w:r>
            <w:rPr>
              <w:b/>
              <w:bCs/>
              <w:sz w:val="30"/>
              <w:szCs w:val="30"/>
            </w:rPr>
            <w:fldChar w:fldCharType="end"/>
          </w:r>
        </w:p>
        <w:p>
          <w:pPr>
            <w:keepNext w:val="0"/>
            <w:keepLines w:val="0"/>
            <w:pageBreakBefore w:val="0"/>
            <w:widowControl w:val="0"/>
            <w:kinsoku/>
            <w:wordWrap w:val="0"/>
            <w:overflowPunct/>
            <w:topLinePunct/>
            <w:autoSpaceDE/>
            <w:autoSpaceDN/>
            <w:bidi w:val="0"/>
            <w:adjustRightInd/>
            <w:snapToGrid/>
            <w:spacing w:line="480" w:lineRule="auto"/>
            <w:ind w:left="0" w:firstLine="602" w:firstLineChars="200"/>
            <w:textAlignment w:val="auto"/>
          </w:pPr>
          <w:r>
            <w:rPr>
              <w:b/>
              <w:bCs/>
              <w:sz w:val="30"/>
              <w:szCs w:val="30"/>
            </w:rPr>
            <w:fldChar w:fldCharType="end"/>
          </w:r>
        </w:p>
      </w:sdtContent>
    </w:sdt>
    <w:p>
      <w:pPr>
        <w:ind w:firstLine="480"/>
        <w:rPr>
          <w:lang w:val="en-US"/>
        </w:rPr>
        <w:sectPr>
          <w:footerReference r:id="rId11" w:type="default"/>
          <w:footerReference r:id="rId12" w:type="even"/>
          <w:pgSz w:w="11910" w:h="16840"/>
          <w:pgMar w:top="1580" w:right="1320" w:bottom="1240" w:left="1340" w:header="0" w:footer="1043" w:gutter="0"/>
          <w:pgBorders>
            <w:top w:val="none" w:sz="0" w:space="0"/>
            <w:left w:val="none" w:sz="0" w:space="0"/>
            <w:bottom w:val="none" w:sz="0" w:space="0"/>
            <w:right w:val="none" w:sz="0" w:space="0"/>
          </w:pgBorders>
          <w:pgNumType w:start="1"/>
          <w:cols w:space="720" w:num="1"/>
        </w:sectPr>
      </w:pPr>
    </w:p>
    <w:p>
      <w:pPr>
        <w:bidi w:val="0"/>
        <w:rPr>
          <w:b/>
          <w:bCs/>
          <w:lang w:val="en-US"/>
        </w:rPr>
      </w:pPr>
      <w:bookmarkStart w:id="8" w:name="_Toc8264"/>
      <w:bookmarkStart w:id="151" w:name="_GoBack"/>
      <w:bookmarkEnd w:id="151"/>
      <w:r>
        <w:rPr>
          <w:rFonts w:hint="eastAsia"/>
          <w:b/>
          <w:bCs/>
          <w:lang w:val="en-US"/>
        </w:rPr>
        <w:t>附图：</w:t>
      </w:r>
      <w:bookmarkEnd w:id="8"/>
    </w:p>
    <w:p>
      <w:pPr>
        <w:bidi w:val="0"/>
        <w:rPr>
          <w:lang w:val="en-US"/>
        </w:rPr>
      </w:pPr>
      <w:bookmarkStart w:id="9" w:name="_Toc18227"/>
      <w:bookmarkStart w:id="10" w:name="_Toc23556"/>
      <w:bookmarkStart w:id="11" w:name="_Toc8392"/>
      <w:r>
        <w:rPr>
          <w:rFonts w:hint="eastAsia"/>
          <w:lang w:val="en-US"/>
        </w:rPr>
        <w:t>附图1：项目地理位置图</w:t>
      </w:r>
      <w:bookmarkEnd w:id="9"/>
      <w:bookmarkEnd w:id="10"/>
      <w:bookmarkEnd w:id="11"/>
    </w:p>
    <w:p>
      <w:pPr>
        <w:bidi w:val="0"/>
        <w:rPr>
          <w:lang w:val="en-US"/>
        </w:rPr>
      </w:pPr>
      <w:bookmarkStart w:id="12" w:name="_Toc11609"/>
      <w:bookmarkStart w:id="13" w:name="_Toc28243"/>
      <w:bookmarkStart w:id="14" w:name="_Toc142"/>
      <w:r>
        <w:rPr>
          <w:rFonts w:hint="eastAsia"/>
          <w:lang w:val="en-US"/>
        </w:rPr>
        <w:t>附图2：项目</w:t>
      </w:r>
      <w:bookmarkEnd w:id="12"/>
      <w:bookmarkEnd w:id="13"/>
      <w:bookmarkEnd w:id="14"/>
      <w:bookmarkStart w:id="15" w:name="_Toc6223"/>
      <w:bookmarkStart w:id="16" w:name="_Toc1173"/>
      <w:bookmarkStart w:id="17" w:name="_Toc15927"/>
      <w:r>
        <w:rPr>
          <w:rFonts w:hint="eastAsia"/>
          <w:lang w:val="en-US" w:eastAsia="zh-CN"/>
        </w:rPr>
        <w:t>厂区平面布置</w:t>
      </w:r>
      <w:r>
        <w:rPr>
          <w:rFonts w:hint="eastAsia"/>
          <w:lang w:val="en-US"/>
        </w:rPr>
        <w:t>图</w:t>
      </w:r>
    </w:p>
    <w:p>
      <w:pPr>
        <w:bidi w:val="0"/>
        <w:rPr>
          <w:rFonts w:hint="eastAsia"/>
          <w:lang w:val="en-US"/>
        </w:rPr>
      </w:pPr>
      <w:r>
        <w:rPr>
          <w:rFonts w:hint="eastAsia"/>
          <w:lang w:val="en-US"/>
        </w:rPr>
        <w:t>附图3：</w:t>
      </w:r>
      <w:bookmarkEnd w:id="15"/>
      <w:bookmarkEnd w:id="16"/>
      <w:bookmarkEnd w:id="17"/>
      <w:r>
        <w:rPr>
          <w:rFonts w:hint="eastAsia"/>
          <w:lang w:val="en-US" w:eastAsia="zh-CN"/>
        </w:rPr>
        <w:t>项目厂房平面布置图</w:t>
      </w:r>
    </w:p>
    <w:p>
      <w:pPr>
        <w:bidi w:val="0"/>
        <w:rPr>
          <w:lang w:val="en-US"/>
        </w:rPr>
      </w:pPr>
      <w:bookmarkStart w:id="18" w:name="_Toc30954"/>
      <w:bookmarkStart w:id="19" w:name="_Toc13396"/>
      <w:bookmarkStart w:id="20" w:name="_Toc11162"/>
      <w:r>
        <w:rPr>
          <w:rFonts w:hint="eastAsia"/>
          <w:lang w:val="en-US"/>
        </w:rPr>
        <w:t>附图4：项目外环境关系图</w:t>
      </w:r>
      <w:bookmarkEnd w:id="18"/>
      <w:bookmarkEnd w:id="19"/>
      <w:bookmarkEnd w:id="20"/>
    </w:p>
    <w:p>
      <w:pPr>
        <w:bidi w:val="0"/>
        <w:rPr>
          <w:lang w:val="en-US"/>
        </w:rPr>
      </w:pPr>
      <w:bookmarkStart w:id="21" w:name="_Toc1456"/>
      <w:bookmarkStart w:id="22" w:name="_Toc7241"/>
      <w:bookmarkStart w:id="23" w:name="_Toc7008"/>
      <w:r>
        <w:rPr>
          <w:rFonts w:hint="eastAsia"/>
          <w:lang w:val="en-US"/>
        </w:rPr>
        <w:t>附图5：</w:t>
      </w:r>
      <w:bookmarkEnd w:id="21"/>
      <w:bookmarkEnd w:id="22"/>
      <w:bookmarkEnd w:id="23"/>
      <w:r>
        <w:rPr>
          <w:rFonts w:hint="eastAsia"/>
          <w:lang w:val="en-US"/>
        </w:rPr>
        <w:t>项目监测布点图</w:t>
      </w:r>
    </w:p>
    <w:p>
      <w:pPr>
        <w:bidi w:val="0"/>
        <w:rPr>
          <w:lang w:val="en-US"/>
        </w:rPr>
      </w:pPr>
      <w:bookmarkStart w:id="24" w:name="_Toc29578"/>
      <w:bookmarkStart w:id="25" w:name="_Toc18973"/>
      <w:bookmarkStart w:id="26" w:name="_Toc21138"/>
      <w:r>
        <w:rPr>
          <w:rFonts w:hint="eastAsia"/>
          <w:lang w:val="en-US"/>
        </w:rPr>
        <w:t>附图6：</w:t>
      </w:r>
      <w:bookmarkEnd w:id="24"/>
      <w:bookmarkEnd w:id="25"/>
      <w:bookmarkEnd w:id="26"/>
      <w:r>
        <w:rPr>
          <w:rFonts w:hint="eastAsia"/>
          <w:lang w:val="en-US"/>
        </w:rPr>
        <w:t>项目周边水系图</w:t>
      </w:r>
    </w:p>
    <w:p>
      <w:pPr>
        <w:bidi w:val="0"/>
        <w:rPr>
          <w:lang w:val="en-US"/>
        </w:rPr>
      </w:pPr>
      <w:bookmarkStart w:id="27" w:name="_Toc6259"/>
      <w:bookmarkStart w:id="28" w:name="_Toc16047"/>
      <w:bookmarkStart w:id="29" w:name="_Toc12953"/>
      <w:r>
        <w:rPr>
          <w:rFonts w:hint="eastAsia"/>
          <w:lang w:val="en-US"/>
        </w:rPr>
        <w:t>附图7：</w:t>
      </w:r>
      <w:bookmarkEnd w:id="27"/>
      <w:bookmarkEnd w:id="28"/>
      <w:bookmarkEnd w:id="29"/>
      <w:r>
        <w:rPr>
          <w:rFonts w:hint="eastAsia"/>
          <w:lang w:val="en-US" w:eastAsia="zh-CN"/>
        </w:rPr>
        <w:t>本项目与农灌地的位置关系图及排水路径示意图</w:t>
      </w:r>
    </w:p>
    <w:p>
      <w:pPr>
        <w:bidi w:val="0"/>
        <w:rPr>
          <w:lang w:val="en-US"/>
        </w:rPr>
      </w:pPr>
      <w:bookmarkStart w:id="30" w:name="_Toc24460"/>
      <w:bookmarkStart w:id="31" w:name="_Toc283"/>
      <w:bookmarkStart w:id="32" w:name="_Toc19510"/>
      <w:r>
        <w:rPr>
          <w:rFonts w:hint="eastAsia"/>
          <w:lang w:val="en-US"/>
        </w:rPr>
        <w:t>附图8：</w:t>
      </w:r>
      <w:bookmarkEnd w:id="30"/>
      <w:bookmarkEnd w:id="31"/>
      <w:bookmarkEnd w:id="32"/>
      <w:r>
        <w:rPr>
          <w:rFonts w:hint="eastAsia"/>
          <w:lang w:val="en-US" w:eastAsia="zh-CN"/>
        </w:rPr>
        <w:t>项目与饮用水水源保护区的位置关系图</w:t>
      </w:r>
    </w:p>
    <w:p>
      <w:pPr>
        <w:bidi w:val="0"/>
        <w:rPr>
          <w:rFonts w:hint="eastAsia"/>
          <w:lang w:val="en-US"/>
        </w:rPr>
      </w:pPr>
      <w:bookmarkStart w:id="33" w:name="_Toc3493"/>
      <w:bookmarkStart w:id="34" w:name="_Toc32319"/>
      <w:bookmarkStart w:id="35" w:name="_Toc12337"/>
      <w:r>
        <w:rPr>
          <w:rFonts w:hint="eastAsia"/>
          <w:lang w:val="en-US"/>
        </w:rPr>
        <w:t>附图</w:t>
      </w:r>
      <w:r>
        <w:rPr>
          <w:rFonts w:hint="eastAsia"/>
          <w:lang w:val="en-US" w:eastAsia="zh-CN"/>
        </w:rPr>
        <w:t>9</w:t>
      </w:r>
      <w:r>
        <w:rPr>
          <w:rFonts w:hint="eastAsia"/>
          <w:lang w:val="en-US"/>
        </w:rPr>
        <w:t>：项目</w:t>
      </w:r>
      <w:bookmarkEnd w:id="33"/>
      <w:bookmarkEnd w:id="34"/>
      <w:bookmarkEnd w:id="35"/>
      <w:r>
        <w:rPr>
          <w:rFonts w:hint="eastAsia"/>
          <w:lang w:val="en-US"/>
        </w:rPr>
        <w:t>地现场照片</w:t>
      </w:r>
    </w:p>
    <w:p>
      <w:pPr>
        <w:bidi w:val="0"/>
        <w:rPr>
          <w:rFonts w:hint="eastAsia"/>
          <w:lang w:val="en-US"/>
        </w:rPr>
      </w:pPr>
      <w:r>
        <w:rPr>
          <w:rFonts w:hint="eastAsia"/>
          <w:lang w:val="en-US"/>
        </w:rPr>
        <w:t>附图</w:t>
      </w:r>
      <w:r>
        <w:rPr>
          <w:rFonts w:hint="eastAsia"/>
          <w:lang w:val="en-US" w:eastAsia="zh-CN"/>
        </w:rPr>
        <w:t>10：项目与泸溪县沅水风景名胜区的位置关系图</w:t>
      </w:r>
    </w:p>
    <w:p>
      <w:pPr>
        <w:bidi w:val="0"/>
        <w:rPr>
          <w:rFonts w:hint="eastAsia"/>
          <w:lang w:val="en-US"/>
        </w:rPr>
      </w:pPr>
      <w:r>
        <w:rPr>
          <w:rFonts w:hint="eastAsia"/>
          <w:lang w:val="en-US"/>
        </w:rPr>
        <w:t>附图</w:t>
      </w:r>
      <w:r>
        <w:rPr>
          <w:rFonts w:hint="eastAsia"/>
          <w:lang w:val="en-US" w:eastAsia="zh-CN"/>
        </w:rPr>
        <w:t>11：项目与湖南泸溪武水国家湿地公园的位置关系图</w:t>
      </w:r>
    </w:p>
    <w:p>
      <w:pPr>
        <w:bidi w:val="0"/>
        <w:rPr>
          <w:rFonts w:hint="eastAsia"/>
          <w:lang w:val="en-US"/>
        </w:rPr>
      </w:pPr>
    </w:p>
    <w:p>
      <w:pPr>
        <w:bidi w:val="0"/>
        <w:rPr>
          <w:rFonts w:hint="eastAsia"/>
          <w:lang w:val="en-US"/>
        </w:rPr>
      </w:pPr>
      <w:bookmarkStart w:id="36" w:name="_Toc11672"/>
    </w:p>
    <w:p>
      <w:pPr>
        <w:bidi w:val="0"/>
        <w:rPr>
          <w:b/>
          <w:bCs/>
          <w:lang w:val="en-US"/>
        </w:rPr>
      </w:pPr>
      <w:r>
        <w:rPr>
          <w:rFonts w:hint="eastAsia"/>
          <w:b/>
          <w:bCs/>
          <w:lang w:val="en-US"/>
        </w:rPr>
        <w:t>附件：</w:t>
      </w:r>
      <w:bookmarkEnd w:id="36"/>
    </w:p>
    <w:p>
      <w:pPr>
        <w:bidi w:val="0"/>
        <w:rPr>
          <w:lang w:val="en-US"/>
        </w:rPr>
      </w:pPr>
      <w:bookmarkStart w:id="37" w:name="_Toc627"/>
      <w:bookmarkStart w:id="38" w:name="_Toc15864"/>
      <w:bookmarkStart w:id="39" w:name="_Toc15734"/>
      <w:r>
        <w:rPr>
          <w:rFonts w:hint="eastAsia"/>
          <w:lang w:val="en-US"/>
        </w:rPr>
        <w:t>附件1：委托书</w:t>
      </w:r>
      <w:bookmarkEnd w:id="37"/>
      <w:bookmarkEnd w:id="38"/>
      <w:bookmarkEnd w:id="39"/>
    </w:p>
    <w:p>
      <w:pPr>
        <w:bidi w:val="0"/>
        <w:rPr>
          <w:lang w:val="en-US"/>
        </w:rPr>
      </w:pPr>
      <w:bookmarkStart w:id="40" w:name="_Toc30391"/>
      <w:bookmarkStart w:id="41" w:name="_Toc5425"/>
      <w:bookmarkStart w:id="42" w:name="_Toc2689"/>
      <w:bookmarkStart w:id="43" w:name="_Toc15596"/>
      <w:bookmarkStart w:id="44" w:name="_Toc15340"/>
      <w:bookmarkStart w:id="45" w:name="_Toc12116"/>
      <w:r>
        <w:rPr>
          <w:rFonts w:hint="eastAsia"/>
          <w:lang w:val="en-US"/>
        </w:rPr>
        <w:t>附件2：</w:t>
      </w:r>
      <w:bookmarkEnd w:id="40"/>
      <w:bookmarkEnd w:id="41"/>
      <w:bookmarkEnd w:id="42"/>
      <w:r>
        <w:rPr>
          <w:rFonts w:hint="eastAsia"/>
          <w:lang w:val="en-US"/>
        </w:rPr>
        <w:t>营业执照</w:t>
      </w:r>
    </w:p>
    <w:p>
      <w:pPr>
        <w:bidi w:val="0"/>
        <w:rPr>
          <w:rFonts w:hint="eastAsia"/>
          <w:lang w:val="en-US" w:eastAsia="zh-CN"/>
        </w:rPr>
      </w:pPr>
      <w:r>
        <w:rPr>
          <w:rFonts w:hint="eastAsia"/>
          <w:lang w:val="en-US"/>
        </w:rPr>
        <w:t>附件3：</w:t>
      </w:r>
      <w:bookmarkEnd w:id="43"/>
      <w:bookmarkEnd w:id="44"/>
      <w:bookmarkEnd w:id="45"/>
      <w:r>
        <w:rPr>
          <w:rFonts w:hint="eastAsia"/>
          <w:lang w:val="en-US" w:eastAsia="zh-CN"/>
        </w:rPr>
        <w:t>用地文件</w:t>
      </w:r>
    </w:p>
    <w:p>
      <w:pPr>
        <w:bidi w:val="0"/>
        <w:rPr>
          <w:rFonts w:hint="eastAsia"/>
          <w:highlight w:val="none"/>
          <w:lang w:val="en-US" w:eastAsia="zh-CN"/>
        </w:rPr>
      </w:pPr>
      <w:bookmarkStart w:id="46" w:name="_Toc31930"/>
      <w:bookmarkStart w:id="47" w:name="_Toc11610"/>
      <w:bookmarkStart w:id="48" w:name="_Toc15247"/>
      <w:r>
        <w:rPr>
          <w:rFonts w:hint="eastAsia"/>
          <w:highlight w:val="none"/>
          <w:lang w:val="en-US"/>
        </w:rPr>
        <w:t>附件4：</w:t>
      </w:r>
      <w:bookmarkEnd w:id="46"/>
      <w:bookmarkEnd w:id="47"/>
      <w:bookmarkEnd w:id="48"/>
      <w:bookmarkStart w:id="49" w:name="_Toc6854"/>
      <w:bookmarkStart w:id="50" w:name="_Toc24757"/>
      <w:bookmarkStart w:id="51" w:name="_Toc2838"/>
      <w:r>
        <w:rPr>
          <w:rFonts w:hint="eastAsia"/>
          <w:highlight w:val="none"/>
          <w:lang w:val="en-US" w:eastAsia="zh-CN"/>
        </w:rPr>
        <w:t>引用监测报告</w:t>
      </w:r>
    </w:p>
    <w:p>
      <w:pPr>
        <w:bidi w:val="0"/>
        <w:rPr>
          <w:rFonts w:hint="default"/>
          <w:lang w:val="en-US" w:eastAsia="zh-CN"/>
        </w:rPr>
      </w:pPr>
      <w:r>
        <w:rPr>
          <w:rFonts w:hint="eastAsia"/>
          <w:lang w:val="en-US"/>
        </w:rPr>
        <w:t>附件5：</w:t>
      </w:r>
      <w:bookmarkEnd w:id="49"/>
      <w:bookmarkEnd w:id="50"/>
      <w:bookmarkEnd w:id="51"/>
      <w:r>
        <w:rPr>
          <w:rFonts w:hint="eastAsia"/>
          <w:lang w:val="en-US" w:eastAsia="zh-CN"/>
        </w:rPr>
        <w:t>发改立项文件</w:t>
      </w:r>
    </w:p>
    <w:p>
      <w:pPr>
        <w:bidi w:val="0"/>
        <w:rPr>
          <w:rFonts w:hint="eastAsia"/>
          <w:lang w:val="en-US" w:eastAsia="zh-CN"/>
        </w:rPr>
      </w:pPr>
      <w:r>
        <w:rPr>
          <w:rFonts w:hint="eastAsia"/>
          <w:lang w:val="en-US"/>
        </w:rPr>
        <w:t>附件</w:t>
      </w:r>
      <w:r>
        <w:rPr>
          <w:rFonts w:hint="eastAsia"/>
          <w:lang w:val="en-US" w:eastAsia="zh-CN"/>
        </w:rPr>
        <w:t>6</w:t>
      </w:r>
      <w:r>
        <w:rPr>
          <w:rFonts w:hint="eastAsia"/>
          <w:lang w:val="en-US"/>
        </w:rPr>
        <w:t>：</w:t>
      </w:r>
      <w:r>
        <w:rPr>
          <w:rFonts w:hint="eastAsia"/>
          <w:lang w:val="en-US" w:eastAsia="zh-CN"/>
        </w:rPr>
        <w:t>消纳协议</w:t>
      </w:r>
    </w:p>
    <w:p>
      <w:pPr>
        <w:bidi w:val="0"/>
        <w:rPr>
          <w:rFonts w:hint="eastAsia"/>
          <w:highlight w:val="none"/>
          <w:lang w:val="en-US" w:eastAsia="zh-CN"/>
        </w:rPr>
      </w:pPr>
      <w:r>
        <w:rPr>
          <w:rFonts w:hint="eastAsia"/>
          <w:highlight w:val="none"/>
          <w:lang w:val="en-US"/>
        </w:rPr>
        <w:t>附件</w:t>
      </w:r>
      <w:r>
        <w:rPr>
          <w:rFonts w:hint="eastAsia"/>
          <w:highlight w:val="none"/>
          <w:lang w:val="en-US" w:eastAsia="zh-CN"/>
        </w:rPr>
        <w:t>7</w:t>
      </w:r>
      <w:r>
        <w:rPr>
          <w:rFonts w:hint="eastAsia"/>
          <w:highlight w:val="none"/>
          <w:lang w:val="en-US"/>
        </w:rPr>
        <w:t>：</w:t>
      </w:r>
      <w:r>
        <w:rPr>
          <w:rFonts w:hint="eastAsia"/>
          <w:highlight w:val="none"/>
          <w:lang w:val="en-US" w:eastAsia="zh-CN"/>
        </w:rPr>
        <w:t>环评批复</w:t>
      </w:r>
    </w:p>
    <w:p>
      <w:pPr>
        <w:bidi w:val="0"/>
        <w:rPr>
          <w:rFonts w:hint="eastAsia"/>
          <w:lang w:val="en-US" w:eastAsia="zh-CN"/>
        </w:rPr>
      </w:pPr>
      <w:r>
        <w:rPr>
          <w:rFonts w:hint="eastAsia"/>
          <w:lang w:val="en-US"/>
        </w:rPr>
        <w:t>附件</w:t>
      </w:r>
      <w:r>
        <w:rPr>
          <w:rFonts w:hint="eastAsia"/>
          <w:lang w:val="en-US" w:eastAsia="zh-CN"/>
        </w:rPr>
        <w:t>8</w:t>
      </w:r>
      <w:r>
        <w:rPr>
          <w:rFonts w:hint="eastAsia"/>
          <w:lang w:val="en-US"/>
        </w:rPr>
        <w:t>：</w:t>
      </w:r>
      <w:r>
        <w:rPr>
          <w:rFonts w:eastAsia="宋体" w:cs="Times New Roman"/>
          <w:kern w:val="0"/>
          <w:sz w:val="24"/>
          <w:szCs w:val="24"/>
        </w:rPr>
        <w:t>湖南保靖文运食品有限公司</w:t>
      </w:r>
      <w:r>
        <w:rPr>
          <w:rFonts w:hint="eastAsia" w:eastAsia="宋体" w:cs="Times New Roman"/>
          <w:kern w:val="0"/>
          <w:sz w:val="24"/>
          <w:szCs w:val="24"/>
          <w:lang w:val="en-US" w:eastAsia="zh-CN"/>
        </w:rPr>
        <w:t>废水检测报告</w:t>
      </w:r>
    </w:p>
    <w:p>
      <w:pPr>
        <w:bidi w:val="0"/>
        <w:rPr>
          <w:rFonts w:hint="default"/>
          <w:lang w:val="en-US" w:eastAsia="zh-CN"/>
        </w:rPr>
      </w:pPr>
      <w:r>
        <w:rPr>
          <w:rFonts w:hint="eastAsia"/>
          <w:lang w:val="en-US"/>
        </w:rPr>
        <w:t>附件</w:t>
      </w:r>
      <w:r>
        <w:rPr>
          <w:rFonts w:hint="eastAsia"/>
          <w:lang w:val="en-US" w:eastAsia="zh-CN"/>
        </w:rPr>
        <w:t>9</w:t>
      </w:r>
      <w:r>
        <w:rPr>
          <w:rFonts w:hint="eastAsia"/>
          <w:lang w:val="en-US"/>
        </w:rPr>
        <w:t>：</w:t>
      </w:r>
      <w:r>
        <w:rPr>
          <w:rFonts w:hint="eastAsia"/>
          <w:lang w:val="en-US" w:eastAsia="zh-CN"/>
        </w:rPr>
        <w:t>补充</w:t>
      </w:r>
      <w:r>
        <w:rPr>
          <w:rFonts w:hint="eastAsia"/>
          <w:highlight w:val="none"/>
          <w:lang w:val="en-US" w:eastAsia="zh-CN"/>
        </w:rPr>
        <w:t>监测</w:t>
      </w:r>
      <w:r>
        <w:rPr>
          <w:rFonts w:hint="eastAsia"/>
          <w:lang w:val="en-US" w:eastAsia="zh-CN"/>
        </w:rPr>
        <w:t>报告</w:t>
      </w:r>
    </w:p>
    <w:p>
      <w:pPr>
        <w:bidi w:val="0"/>
        <w:rPr>
          <w:rFonts w:hint="default"/>
          <w:highlight w:val="none"/>
          <w:lang w:val="en-US" w:eastAsia="zh-CN"/>
        </w:rPr>
      </w:pPr>
      <w:r>
        <w:rPr>
          <w:rFonts w:hint="eastAsia"/>
          <w:highlight w:val="none"/>
          <w:lang w:val="en-US"/>
        </w:rPr>
        <w:t>附件</w:t>
      </w:r>
      <w:r>
        <w:rPr>
          <w:rFonts w:hint="eastAsia"/>
          <w:highlight w:val="none"/>
          <w:lang w:val="en-US" w:eastAsia="zh-CN"/>
        </w:rPr>
        <w:t>10</w:t>
      </w:r>
      <w:r>
        <w:rPr>
          <w:rFonts w:hint="eastAsia"/>
          <w:highlight w:val="none"/>
          <w:lang w:val="en-US"/>
        </w:rPr>
        <w:t>：</w:t>
      </w:r>
      <w:r>
        <w:rPr>
          <w:rFonts w:hint="eastAsia"/>
          <w:highlight w:val="none"/>
          <w:lang w:val="en-US" w:eastAsia="zh-CN"/>
        </w:rPr>
        <w:t>专家意见及签到表</w:t>
      </w:r>
    </w:p>
    <w:p>
      <w:pPr>
        <w:bidi w:val="0"/>
        <w:rPr>
          <w:rFonts w:hint="eastAsia"/>
          <w:lang w:val="en-US" w:eastAsia="zh-CN"/>
        </w:rPr>
      </w:pPr>
    </w:p>
    <w:p>
      <w:pPr>
        <w:bidi w:val="0"/>
        <w:rPr>
          <w:lang w:val="en-US"/>
        </w:rPr>
      </w:pPr>
      <w:bookmarkStart w:id="52" w:name="_Toc4605"/>
    </w:p>
    <w:p>
      <w:pPr>
        <w:bidi w:val="0"/>
        <w:rPr>
          <w:b/>
          <w:bCs/>
          <w:lang w:val="en-US"/>
        </w:rPr>
      </w:pPr>
      <w:r>
        <w:rPr>
          <w:rFonts w:hint="eastAsia"/>
          <w:b/>
          <w:bCs/>
          <w:lang w:val="en-US"/>
        </w:rPr>
        <w:t>附表：</w:t>
      </w:r>
      <w:bookmarkEnd w:id="52"/>
    </w:p>
    <w:p>
      <w:pPr>
        <w:bidi w:val="0"/>
        <w:rPr>
          <w:lang w:val="en-US"/>
        </w:rPr>
      </w:pPr>
      <w:bookmarkStart w:id="53" w:name="_Toc6144"/>
      <w:bookmarkStart w:id="54" w:name="_Toc17277"/>
      <w:bookmarkStart w:id="55" w:name="_Toc13921"/>
      <w:r>
        <w:rPr>
          <w:rFonts w:hint="eastAsia"/>
          <w:lang w:val="en-US"/>
        </w:rPr>
        <w:t>附表1：建设项目污染物排放量汇总表</w:t>
      </w:r>
      <w:bookmarkEnd w:id="53"/>
      <w:bookmarkEnd w:id="54"/>
      <w:bookmarkEnd w:id="55"/>
    </w:p>
    <w:p>
      <w:pPr>
        <w:pStyle w:val="36"/>
        <w:rPr>
          <w:rFonts w:hint="default"/>
        </w:rPr>
        <w:sectPr>
          <w:pgSz w:w="11910" w:h="16840"/>
          <w:pgMar w:top="1580" w:right="1320" w:bottom="1240" w:left="1340" w:header="0" w:footer="1043" w:gutter="0"/>
          <w:pgBorders>
            <w:top w:val="none" w:sz="0" w:space="0"/>
            <w:left w:val="none" w:sz="0" w:space="0"/>
            <w:bottom w:val="none" w:sz="0" w:space="0"/>
            <w:right w:val="none" w:sz="0" w:space="0"/>
          </w:pgBorders>
          <w:pgNumType w:start="1"/>
          <w:cols w:space="720" w:num="1"/>
        </w:sectPr>
      </w:pPr>
    </w:p>
    <w:p>
      <w:pPr>
        <w:pStyle w:val="34"/>
        <w:overflowPunct w:val="0"/>
        <w:ind w:left="0" w:leftChars="0" w:firstLine="0" w:firstLineChars="0"/>
        <w:jc w:val="center"/>
        <w:rPr>
          <w:rFonts w:hint="default" w:eastAsia="黑体"/>
          <w:lang w:val="en-US" w:eastAsia="zh-CN"/>
        </w:rPr>
        <w:sectPr>
          <w:pgSz w:w="16840" w:h="11910" w:orient="landscape"/>
          <w:pgMar w:top="1340" w:right="1580" w:bottom="1320" w:left="1240" w:header="0" w:footer="1043" w:gutter="0"/>
          <w:pgBorders>
            <w:top w:val="none" w:sz="0" w:space="0"/>
            <w:left w:val="none" w:sz="0" w:space="0"/>
            <w:bottom w:val="none" w:sz="0" w:space="0"/>
            <w:right w:val="none" w:sz="0" w:space="0"/>
          </w:pgBorders>
          <w:pgNumType w:start="1"/>
          <w:cols w:space="720" w:num="1"/>
        </w:sectPr>
      </w:pPr>
      <w:r>
        <w:rPr>
          <w:rFonts w:hint="default" w:eastAsia="黑体"/>
          <w:lang w:val="en-US" w:eastAsia="zh-CN"/>
        </w:rPr>
        <w:drawing>
          <wp:inline distT="0" distB="0" distL="114300" distR="114300">
            <wp:extent cx="5735320" cy="7889240"/>
            <wp:effectExtent l="0" t="0" r="16510" b="17780"/>
            <wp:docPr id="2" name="图片 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3"/>
                    <pic:cNvPicPr>
                      <a:picLocks noChangeAspect="1"/>
                    </pic:cNvPicPr>
                  </pic:nvPicPr>
                  <pic:blipFill>
                    <a:blip r:embed="rId23"/>
                    <a:stretch>
                      <a:fillRect/>
                    </a:stretch>
                  </pic:blipFill>
                  <pic:spPr>
                    <a:xfrm rot="5400000">
                      <a:off x="0" y="0"/>
                      <a:ext cx="5735320" cy="7889240"/>
                    </a:xfrm>
                    <a:prstGeom prst="rect">
                      <a:avLst/>
                    </a:prstGeom>
                  </pic:spPr>
                </pic:pic>
              </a:graphicData>
            </a:graphic>
          </wp:inline>
        </w:drawing>
      </w:r>
    </w:p>
    <w:p>
      <w:pPr>
        <w:pStyle w:val="36"/>
        <w:ind w:left="0" w:leftChars="0" w:firstLine="0" w:firstLineChars="0"/>
        <w:jc w:val="center"/>
        <w:rPr>
          <w:rFonts w:hint="default"/>
          <w:lang w:val="en-US" w:eastAsia="zh-CN"/>
        </w:rPr>
        <w:sectPr>
          <w:pgSz w:w="16840" w:h="11910" w:orient="landscape"/>
          <w:pgMar w:top="1340" w:right="1580" w:bottom="1320" w:left="1240" w:header="0" w:footer="1043" w:gutter="0"/>
          <w:pgBorders>
            <w:top w:val="none" w:sz="0" w:space="0"/>
            <w:left w:val="none" w:sz="0" w:space="0"/>
            <w:bottom w:val="none" w:sz="0" w:space="0"/>
            <w:right w:val="none" w:sz="0" w:space="0"/>
          </w:pgBorders>
          <w:pgNumType w:start="1"/>
          <w:cols w:space="720" w:num="1"/>
        </w:sectPr>
      </w:pPr>
      <w:r>
        <w:rPr>
          <w:rFonts w:hint="default"/>
          <w:lang w:val="en-US" w:eastAsia="zh-CN"/>
        </w:rPr>
        <w:drawing>
          <wp:inline distT="0" distB="0" distL="114300" distR="114300">
            <wp:extent cx="5749925" cy="7909560"/>
            <wp:effectExtent l="0" t="0" r="15240" b="3175"/>
            <wp:docPr id="5" name="图片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4"/>
                    <pic:cNvPicPr>
                      <a:picLocks noChangeAspect="1"/>
                    </pic:cNvPicPr>
                  </pic:nvPicPr>
                  <pic:blipFill>
                    <a:blip r:embed="rId24"/>
                    <a:stretch>
                      <a:fillRect/>
                    </a:stretch>
                  </pic:blipFill>
                  <pic:spPr>
                    <a:xfrm rot="5400000">
                      <a:off x="0" y="0"/>
                      <a:ext cx="5749925" cy="7909560"/>
                    </a:xfrm>
                    <a:prstGeom prst="rect">
                      <a:avLst/>
                    </a:prstGeom>
                  </pic:spPr>
                </pic:pic>
              </a:graphicData>
            </a:graphic>
          </wp:inline>
        </w:drawing>
      </w:r>
    </w:p>
    <w:p>
      <w:pPr>
        <w:pStyle w:val="13"/>
        <w:wordWrap/>
        <w:overflowPunct w:val="0"/>
        <w:topLinePunct w:val="0"/>
        <w:autoSpaceDE w:val="0"/>
        <w:autoSpaceDN w:val="0"/>
        <w:spacing w:before="58"/>
        <w:ind w:right="653" w:firstLine="0" w:firstLineChars="0"/>
        <w:outlineLvl w:val="0"/>
        <w:rPr>
          <w:rFonts w:hint="eastAsia" w:ascii="宋体" w:hAnsi="宋体" w:eastAsia="宋体" w:cs="宋体"/>
          <w:b/>
          <w:bCs/>
        </w:rPr>
      </w:pPr>
      <w:r>
        <w:rPr>
          <w:rFonts w:hint="eastAsia" w:ascii="宋体" w:hAnsi="宋体" w:eastAsia="宋体" w:cs="宋体"/>
          <w:b/>
          <w:bCs/>
        </w:rPr>
        <w:t>一、建设项目基本情况</w:t>
      </w:r>
      <w:bookmarkEnd w:id="4"/>
    </w:p>
    <w:tbl>
      <w:tblPr>
        <w:tblStyle w:val="28"/>
        <w:tblW w:w="0" w:type="auto"/>
        <w:tblInd w:w="1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9"/>
        <w:gridCol w:w="1913"/>
        <w:gridCol w:w="2194"/>
        <w:gridCol w:w="24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2309" w:type="dxa"/>
            <w:tcBorders>
              <w:bottom w:val="single" w:color="000000" w:sz="4" w:space="0"/>
              <w:right w:val="single" w:color="000000" w:sz="4" w:space="0"/>
            </w:tcBorders>
          </w:tcPr>
          <w:p>
            <w:pPr>
              <w:pStyle w:val="49"/>
              <w:wordWrap/>
              <w:overflowPunct w:val="0"/>
              <w:topLinePunct w:val="0"/>
              <w:autoSpaceDE w:val="0"/>
              <w:autoSpaceDN w:val="0"/>
              <w:spacing w:before="130"/>
              <w:ind w:right="210" w:firstLine="482" w:firstLineChars="200"/>
              <w:jc w:val="center"/>
              <w:rPr>
                <w:rFonts w:hint="default" w:ascii="Times New Roman" w:hAnsi="Times New Roman" w:eastAsia="宋体" w:cs="Times New Roman"/>
                <w:b/>
                <w:bCs/>
              </w:rPr>
            </w:pPr>
            <w:r>
              <w:rPr>
                <w:rFonts w:hint="default" w:ascii="Times New Roman" w:hAnsi="Times New Roman" w:eastAsia="宋体" w:cs="Times New Roman"/>
                <w:b/>
                <w:bCs/>
              </w:rPr>
              <w:t>建设项目名称</w:t>
            </w:r>
          </w:p>
        </w:tc>
        <w:tc>
          <w:tcPr>
            <w:tcW w:w="6559" w:type="dxa"/>
            <w:gridSpan w:val="3"/>
            <w:tcBorders>
              <w:left w:val="single" w:color="000000" w:sz="4" w:space="0"/>
              <w:bottom w:val="single" w:color="000000" w:sz="4" w:space="0"/>
            </w:tcBorders>
            <w:vAlign w:val="center"/>
          </w:tcPr>
          <w:p>
            <w:pPr>
              <w:pStyle w:val="51"/>
              <w:rPr>
                <w:rFonts w:hint="default" w:ascii="Times New Roman" w:hAnsi="Times New Roman" w:eastAsia="宋体" w:cs="Times New Roman"/>
                <w:szCs w:val="24"/>
                <w:lang w:val="en-US" w:eastAsia="zh-CN"/>
              </w:rPr>
            </w:pPr>
            <w:r>
              <w:rPr>
                <w:rFonts w:hint="default" w:ascii="Times New Roman" w:hAnsi="Times New Roman" w:eastAsia="宋体" w:cs="Times New Roman"/>
                <w:sz w:val="24"/>
                <w:szCs w:val="24"/>
                <w:lang w:eastAsia="zh-CN"/>
              </w:rPr>
              <w:t>泸溪特色米粉加工项目</w:t>
            </w:r>
            <w:r>
              <w:rPr>
                <w:rFonts w:hint="default" w:ascii="Times New Roman" w:hAnsi="Times New Roman" w:eastAsia="宋体" w:cs="Times New Roman"/>
                <w:sz w:val="24"/>
                <w:szCs w:val="24"/>
                <w:lang w:val="en-US" w:eastAsia="zh-CN"/>
              </w:rPr>
              <w:t>变更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right="213"/>
              <w:jc w:val="center"/>
              <w:rPr>
                <w:rFonts w:hint="default" w:ascii="Times New Roman" w:hAnsi="Times New Roman" w:eastAsia="宋体" w:cs="Times New Roman"/>
                <w:b/>
                <w:bCs/>
              </w:rPr>
            </w:pPr>
            <w:r>
              <w:rPr>
                <w:rFonts w:hint="default" w:ascii="Times New Roman" w:hAnsi="Times New Roman" w:eastAsia="宋体" w:cs="Times New Roman"/>
                <w:b/>
                <w:bCs/>
              </w:rPr>
              <w:t>项目代码</w:t>
            </w:r>
          </w:p>
        </w:tc>
        <w:tc>
          <w:tcPr>
            <w:tcW w:w="6559" w:type="dxa"/>
            <w:gridSpan w:val="3"/>
            <w:tcBorders>
              <w:top w:val="single" w:color="000000" w:sz="4" w:space="0"/>
              <w:left w:val="single" w:color="000000" w:sz="4" w:space="0"/>
              <w:bottom w:val="single" w:color="000000" w:sz="4" w:space="0"/>
            </w:tcBorders>
          </w:tcPr>
          <w:p>
            <w:pPr>
              <w:pStyle w:val="49"/>
              <w:wordWrap/>
              <w:overflowPunct w:val="0"/>
              <w:topLinePunct w:val="0"/>
              <w:autoSpaceDE w:val="0"/>
              <w:autoSpaceDN w:val="0"/>
              <w:spacing w:before="130"/>
              <w:ind w:left="124"/>
              <w:jc w:val="center"/>
              <w:rPr>
                <w:rFonts w:hint="default" w:ascii="Times New Roman" w:hAnsi="Times New Roman" w:eastAsia="宋体" w:cs="Times New Roman"/>
                <w:lang w:val="en-US" w:eastAsia="zh-CN"/>
              </w:rPr>
            </w:pPr>
            <w:r>
              <w:rPr>
                <w:rFonts w:hint="default" w:ascii="Times New Roman" w:hAnsi="Times New Roman" w:eastAsia="宋体" w:cs="Times New Roman"/>
                <w:highlight w:val="none"/>
                <w:lang w:val="en-US" w:eastAsia="zh-CN"/>
              </w:rPr>
              <w:t>2202-433122-04-01-901062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rPr>
            </w:pPr>
            <w:r>
              <w:rPr>
                <w:rFonts w:hint="default" w:ascii="Times New Roman" w:hAnsi="Times New Roman" w:eastAsia="宋体" w:cs="Times New Roman"/>
                <w:b/>
                <w:bCs/>
              </w:rPr>
              <w:t>建设单位联系人</w:t>
            </w:r>
          </w:p>
        </w:tc>
        <w:tc>
          <w:tcPr>
            <w:tcW w:w="1913"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章毅</w:t>
            </w:r>
          </w:p>
        </w:tc>
        <w:tc>
          <w:tcPr>
            <w:tcW w:w="2194"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rPr>
            </w:pPr>
            <w:r>
              <w:rPr>
                <w:rFonts w:hint="default" w:ascii="Times New Roman" w:hAnsi="Times New Roman" w:eastAsia="宋体" w:cs="Times New Roman"/>
                <w:b/>
                <w:bCs/>
                <w:lang w:val="en-US"/>
              </w:rPr>
              <w:t>联系方式</w:t>
            </w:r>
          </w:p>
        </w:tc>
        <w:tc>
          <w:tcPr>
            <w:tcW w:w="2452" w:type="dxa"/>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lang w:val="en-US"/>
              </w:rPr>
            </w:pPr>
            <w:r>
              <w:rPr>
                <w:rFonts w:hint="default" w:ascii="Times New Roman" w:hAnsi="Times New Roman" w:eastAsia="宋体" w:cs="Times New Roman"/>
                <w:lang w:val="en-US"/>
              </w:rPr>
              <w:t>13327237999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rPr>
            </w:pPr>
            <w:r>
              <w:rPr>
                <w:rFonts w:hint="default" w:ascii="Times New Roman" w:hAnsi="Times New Roman" w:eastAsia="宋体" w:cs="Times New Roman"/>
                <w:b/>
                <w:bCs/>
              </w:rPr>
              <w:t>建设地点</w:t>
            </w:r>
          </w:p>
        </w:tc>
        <w:tc>
          <w:tcPr>
            <w:tcW w:w="6559" w:type="dxa"/>
            <w:gridSpan w:val="3"/>
            <w:tcBorders>
              <w:top w:val="single" w:color="000000" w:sz="4" w:space="0"/>
              <w:left w:val="single" w:color="000000" w:sz="4" w:space="0"/>
              <w:bottom w:val="nil"/>
            </w:tcBorders>
          </w:tcPr>
          <w:p>
            <w:pPr>
              <w:pStyle w:val="49"/>
              <w:wordWrap/>
              <w:overflowPunct w:val="0"/>
              <w:topLinePunct w:val="0"/>
              <w:autoSpaceDE w:val="0"/>
              <w:autoSpaceDN w:val="0"/>
              <w:spacing w:before="130"/>
              <w:ind w:left="124"/>
              <w:jc w:val="center"/>
              <w:rPr>
                <w:rFonts w:hint="default" w:ascii="Times New Roman" w:hAnsi="Times New Roman" w:eastAsia="宋体" w:cs="Times New Roman"/>
              </w:rPr>
            </w:pPr>
            <w:r>
              <w:rPr>
                <w:rFonts w:hint="default" w:ascii="Times New Roman" w:hAnsi="Times New Roman" w:eastAsia="宋体" w:cs="Times New Roman"/>
              </w:rPr>
              <w:t>湖南省</w:t>
            </w:r>
            <w:r>
              <w:rPr>
                <w:rFonts w:hint="default" w:ascii="Times New Roman" w:hAnsi="Times New Roman" w:eastAsia="宋体" w:cs="Times New Roman"/>
                <w:lang w:val="en-US" w:eastAsia="zh-CN"/>
              </w:rPr>
              <w:t>湘西土家族苗族自治州泸溪县武溪镇红土溪村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rPr>
            </w:pPr>
            <w:r>
              <w:rPr>
                <w:rFonts w:hint="default" w:ascii="Times New Roman" w:hAnsi="Times New Roman" w:eastAsia="宋体" w:cs="Times New Roman"/>
                <w:b/>
                <w:bCs/>
              </w:rPr>
              <w:t>地理坐标</w:t>
            </w:r>
          </w:p>
        </w:tc>
        <w:tc>
          <w:tcPr>
            <w:tcW w:w="6559" w:type="dxa"/>
            <w:gridSpan w:val="3"/>
            <w:tcBorders>
              <w:top w:val="single" w:color="000000" w:sz="4" w:space="0"/>
              <w:left w:val="single" w:color="000000" w:sz="4" w:space="0"/>
              <w:bottom w:val="single" w:color="000000" w:sz="4" w:space="0"/>
            </w:tcBorders>
          </w:tcPr>
          <w:p>
            <w:pPr>
              <w:pStyle w:val="49"/>
              <w:wordWrap/>
              <w:overflowPunct w:val="0"/>
              <w:topLinePunct w:val="0"/>
              <w:autoSpaceDE w:val="0"/>
              <w:autoSpaceDN w:val="0"/>
              <w:spacing w:before="130"/>
              <w:ind w:left="124"/>
              <w:jc w:val="center"/>
              <w:rPr>
                <w:rFonts w:hint="default" w:ascii="Times New Roman" w:hAnsi="Times New Roman" w:eastAsia="宋体" w:cs="Times New Roman"/>
                <w:lang w:val="en-US"/>
              </w:rPr>
            </w:pPr>
            <w:r>
              <w:rPr>
                <w:rFonts w:hint="default" w:ascii="Times New Roman" w:hAnsi="Times New Roman" w:eastAsia="宋体" w:cs="Times New Roman"/>
                <w:lang w:val="en-US"/>
              </w:rPr>
              <w:t>（东经1</w:t>
            </w:r>
            <w:r>
              <w:rPr>
                <w:rFonts w:hint="default" w:ascii="Times New Roman" w:hAnsi="Times New Roman" w:eastAsia="宋体" w:cs="Times New Roman"/>
                <w:lang w:val="en-US" w:eastAsia="zh-CN"/>
              </w:rPr>
              <w:t>10</w:t>
            </w:r>
            <w:r>
              <w:rPr>
                <w:rFonts w:hint="default" w:ascii="Times New Roman" w:hAnsi="Times New Roman" w:eastAsia="宋体" w:cs="Times New Roman"/>
                <w:lang w:val="en-US"/>
              </w:rPr>
              <w:t>度</w:t>
            </w:r>
            <w:r>
              <w:rPr>
                <w:rFonts w:hint="default" w:ascii="Times New Roman" w:hAnsi="Times New Roman" w:eastAsia="宋体" w:cs="Times New Roman"/>
                <w:lang w:val="en-US" w:eastAsia="zh-CN"/>
              </w:rPr>
              <w:t>11</w:t>
            </w:r>
            <w:r>
              <w:rPr>
                <w:rFonts w:hint="default" w:ascii="Times New Roman" w:hAnsi="Times New Roman" w:eastAsia="宋体" w:cs="Times New Roman"/>
                <w:lang w:val="en-US"/>
              </w:rPr>
              <w:t>分</w:t>
            </w:r>
            <w:r>
              <w:rPr>
                <w:rFonts w:hint="default" w:ascii="Times New Roman" w:hAnsi="Times New Roman" w:eastAsia="宋体" w:cs="Times New Roman"/>
                <w:lang w:val="en-US" w:eastAsia="zh-CN"/>
              </w:rPr>
              <w:t>3.141</w:t>
            </w:r>
            <w:r>
              <w:rPr>
                <w:rFonts w:hint="default" w:ascii="Times New Roman" w:hAnsi="Times New Roman" w:eastAsia="宋体" w:cs="Times New Roman"/>
                <w:lang w:val="en-US"/>
              </w:rPr>
              <w:t>秒，北纬28度</w:t>
            </w:r>
            <w:r>
              <w:rPr>
                <w:rFonts w:hint="default" w:ascii="Times New Roman" w:hAnsi="Times New Roman" w:eastAsia="宋体" w:cs="Times New Roman"/>
                <w:lang w:val="en-US" w:eastAsia="zh-CN"/>
              </w:rPr>
              <w:t>11</w:t>
            </w:r>
            <w:r>
              <w:rPr>
                <w:rFonts w:hint="default" w:ascii="Times New Roman" w:hAnsi="Times New Roman" w:eastAsia="宋体" w:cs="Times New Roman"/>
                <w:lang w:val="en-US"/>
              </w:rPr>
              <w:t>分</w:t>
            </w:r>
            <w:r>
              <w:rPr>
                <w:rFonts w:hint="default" w:ascii="Times New Roman" w:hAnsi="Times New Roman" w:eastAsia="宋体" w:cs="Times New Roman"/>
                <w:lang w:val="en-US" w:eastAsia="zh-CN"/>
              </w:rPr>
              <w:t>29.651</w:t>
            </w:r>
            <w:r>
              <w:rPr>
                <w:rFonts w:hint="default" w:ascii="Times New Roman" w:hAnsi="Times New Roman" w:eastAsia="宋体" w:cs="Times New Roman"/>
                <w:lang w:val="en-US"/>
              </w:rPr>
              <w:t>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u w:val="single"/>
              </w:rPr>
            </w:pPr>
            <w:r>
              <w:rPr>
                <w:rFonts w:hint="default" w:ascii="Times New Roman" w:hAnsi="Times New Roman" w:eastAsia="宋体" w:cs="Times New Roman"/>
                <w:b/>
                <w:bCs/>
                <w:u w:val="single"/>
              </w:rPr>
              <w:t>国民经济</w:t>
            </w:r>
          </w:p>
          <w:p>
            <w:pPr>
              <w:pStyle w:val="49"/>
              <w:wordWrap/>
              <w:overflowPunct w:val="0"/>
              <w:topLinePunct w:val="0"/>
              <w:autoSpaceDE w:val="0"/>
              <w:autoSpaceDN w:val="0"/>
              <w:spacing w:before="130"/>
              <w:ind w:left="124"/>
              <w:jc w:val="center"/>
              <w:rPr>
                <w:rFonts w:hint="default" w:ascii="Times New Roman" w:hAnsi="Times New Roman" w:eastAsia="宋体" w:cs="Times New Roman"/>
                <w:b/>
                <w:bCs/>
                <w:u w:val="single"/>
              </w:rPr>
            </w:pPr>
            <w:r>
              <w:rPr>
                <w:rFonts w:hint="default" w:ascii="Times New Roman" w:hAnsi="Times New Roman" w:eastAsia="宋体" w:cs="Times New Roman"/>
                <w:b/>
                <w:bCs/>
                <w:u w:val="single"/>
              </w:rPr>
              <w:t>行业类别</w:t>
            </w:r>
          </w:p>
        </w:tc>
        <w:tc>
          <w:tcPr>
            <w:tcW w:w="1913"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left"/>
              <w:rPr>
                <w:rFonts w:hint="default" w:ascii="Times New Roman" w:hAnsi="Times New Roman" w:eastAsia="宋体" w:cs="Times New Roman"/>
                <w:u w:val="none"/>
                <w:lang w:val="en-US"/>
              </w:rPr>
            </w:pPr>
            <w:bookmarkStart w:id="56" w:name="OLE_LINK7"/>
            <w:bookmarkStart w:id="57" w:name="OLE_LINK132"/>
            <w:bookmarkStart w:id="58" w:name="OLE_LINK77"/>
            <w:bookmarkStart w:id="59" w:name="OLE_LINK6"/>
            <w:r>
              <w:rPr>
                <w:rFonts w:hint="default" w:ascii="Times New Roman" w:hAnsi="Times New Roman" w:eastAsia="宋体" w:cs="Times New Roman"/>
                <w:u w:val="none"/>
                <w:lang w:val="en-US"/>
              </w:rPr>
              <w:t>C</w:t>
            </w:r>
            <w:r>
              <w:rPr>
                <w:rFonts w:hint="default" w:ascii="Times New Roman" w:hAnsi="Times New Roman" w:eastAsia="宋体" w:cs="Times New Roman"/>
                <w:u w:val="none"/>
              </w:rPr>
              <w:t>143</w:t>
            </w:r>
            <w:r>
              <w:rPr>
                <w:rFonts w:hint="default" w:ascii="Times New Roman" w:hAnsi="Times New Roman" w:eastAsia="宋体" w:cs="Times New Roman"/>
                <w:u w:val="none"/>
                <w:lang w:val="en-US" w:eastAsia="zh-CN"/>
              </w:rPr>
              <w:t>9</w:t>
            </w:r>
            <w:r>
              <w:rPr>
                <w:rFonts w:hint="default" w:ascii="Times New Roman" w:hAnsi="Times New Roman" w:eastAsia="宋体" w:cs="Times New Roman"/>
                <w:u w:val="none"/>
              </w:rPr>
              <w:t xml:space="preserve"> </w:t>
            </w:r>
            <w:bookmarkEnd w:id="56"/>
            <w:bookmarkEnd w:id="57"/>
            <w:bookmarkEnd w:id="58"/>
            <w:bookmarkEnd w:id="59"/>
            <w:r>
              <w:rPr>
                <w:rFonts w:hint="default" w:ascii="Times New Roman" w:hAnsi="Times New Roman" w:eastAsia="宋体" w:cs="Times New Roman"/>
                <w:u w:val="none"/>
                <w:lang w:val="en-US" w:eastAsia="zh-CN"/>
              </w:rPr>
              <w:t>其他方便食品行业</w:t>
            </w:r>
            <w:r>
              <w:rPr>
                <w:rFonts w:hint="default" w:ascii="Times New Roman" w:hAnsi="Times New Roman" w:eastAsia="宋体" w:cs="Times New Roman"/>
                <w:u w:val="none"/>
              </w:rPr>
              <w:t>；</w:t>
            </w:r>
          </w:p>
        </w:tc>
        <w:tc>
          <w:tcPr>
            <w:tcW w:w="2194"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u w:val="none"/>
                <w:lang w:val="en-US"/>
              </w:rPr>
            </w:pPr>
            <w:r>
              <w:rPr>
                <w:rFonts w:hint="default" w:ascii="Times New Roman" w:hAnsi="Times New Roman" w:eastAsia="宋体" w:cs="Times New Roman"/>
                <w:b/>
                <w:bCs/>
                <w:u w:val="none"/>
                <w:lang w:val="en-US"/>
              </w:rPr>
              <w:t>建设项目</w:t>
            </w:r>
          </w:p>
          <w:p>
            <w:pPr>
              <w:pStyle w:val="49"/>
              <w:wordWrap/>
              <w:overflowPunct w:val="0"/>
              <w:topLinePunct w:val="0"/>
              <w:autoSpaceDE w:val="0"/>
              <w:autoSpaceDN w:val="0"/>
              <w:spacing w:before="130"/>
              <w:ind w:left="124"/>
              <w:jc w:val="center"/>
              <w:rPr>
                <w:rFonts w:hint="default" w:ascii="Times New Roman" w:hAnsi="Times New Roman" w:eastAsia="宋体" w:cs="Times New Roman"/>
                <w:b/>
                <w:bCs/>
                <w:u w:val="none"/>
              </w:rPr>
            </w:pPr>
            <w:r>
              <w:rPr>
                <w:rFonts w:hint="default" w:ascii="Times New Roman" w:hAnsi="Times New Roman" w:eastAsia="宋体" w:cs="Times New Roman"/>
                <w:b/>
                <w:bCs/>
                <w:u w:val="none"/>
                <w:lang w:val="en-US"/>
              </w:rPr>
              <w:t>行业类别</w:t>
            </w:r>
          </w:p>
        </w:tc>
        <w:tc>
          <w:tcPr>
            <w:tcW w:w="2452" w:type="dxa"/>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spacing w:before="130"/>
              <w:ind w:left="124"/>
              <w:jc w:val="left"/>
              <w:rPr>
                <w:rFonts w:hint="default" w:ascii="Times New Roman" w:hAnsi="Times New Roman" w:eastAsia="宋体" w:cs="Times New Roman"/>
                <w:u w:val="none"/>
                <w:lang w:val="en-US"/>
              </w:rPr>
            </w:pPr>
            <w:r>
              <w:rPr>
                <w:rFonts w:hint="default" w:ascii="Times New Roman" w:hAnsi="Times New Roman" w:eastAsia="宋体" w:cs="Times New Roman"/>
                <w:u w:val="none"/>
                <w:lang w:val="en-US"/>
              </w:rPr>
              <w:t>十一、食品制造业-21.方便食品制作-除单纯分装外的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36"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rPr>
            </w:pPr>
            <w:r>
              <w:rPr>
                <w:rFonts w:hint="default" w:ascii="Times New Roman" w:hAnsi="Times New Roman" w:eastAsia="宋体" w:cs="Times New Roman"/>
                <w:b/>
                <w:bCs/>
              </w:rPr>
              <w:t>建设性质</w:t>
            </w:r>
          </w:p>
        </w:tc>
        <w:tc>
          <w:tcPr>
            <w:tcW w:w="1913" w:type="dxa"/>
            <w:tcBorders>
              <w:top w:val="single" w:color="000000" w:sz="4" w:space="0"/>
              <w:left w:val="single" w:color="000000" w:sz="4" w:space="0"/>
              <w:bottom w:val="single" w:color="000000" w:sz="4" w:space="0"/>
              <w:right w:val="single" w:color="000000" w:sz="4" w:space="0"/>
            </w:tcBorders>
          </w:tcPr>
          <w:p>
            <w:pPr>
              <w:pStyle w:val="49"/>
              <w:wordWrap/>
              <w:overflowPunct w:val="0"/>
              <w:topLinePunct w:val="0"/>
              <w:autoSpaceDE w:val="0"/>
              <w:autoSpaceDN w:val="0"/>
              <w:spacing w:before="130"/>
              <w:ind w:left="124"/>
              <w:jc w:val="left"/>
              <w:rPr>
                <w:rFonts w:hint="default" w:ascii="Times New Roman" w:hAnsi="Times New Roman" w:eastAsia="宋体" w:cs="Times New Roman"/>
              </w:rPr>
            </w:pPr>
            <w:r>
              <w:rPr>
                <w:rFonts w:hint="default" w:ascii="Times New Roman" w:hAnsi="Times New Roman" w:eastAsia="宋体" w:cs="Times New Roman"/>
              </w:rPr>
              <w:sym w:font="Wingdings 2" w:char="00A3"/>
            </w:r>
            <w:r>
              <w:rPr>
                <w:rFonts w:hint="default" w:ascii="Times New Roman" w:hAnsi="Times New Roman" w:eastAsia="宋体" w:cs="Times New Roman"/>
              </w:rPr>
              <w:t>新建（迁建）</w:t>
            </w:r>
          </w:p>
          <w:p>
            <w:pPr>
              <w:pStyle w:val="49"/>
              <w:wordWrap/>
              <w:overflowPunct w:val="0"/>
              <w:topLinePunct w:val="0"/>
              <w:autoSpaceDE w:val="0"/>
              <w:autoSpaceDN w:val="0"/>
              <w:spacing w:before="130"/>
              <w:ind w:left="124"/>
              <w:jc w:val="left"/>
              <w:rPr>
                <w:rFonts w:hint="default" w:ascii="Times New Roman" w:hAnsi="Times New Roman" w:eastAsia="宋体" w:cs="Times New Roman"/>
              </w:rPr>
            </w:pPr>
            <w:r>
              <w:rPr>
                <w:rFonts w:hint="default" w:ascii="Times New Roman" w:hAnsi="Times New Roman" w:eastAsia="宋体" w:cs="Times New Roman"/>
              </w:rPr>
              <w:sym w:font="Wingdings 2" w:char="0052"/>
            </w:r>
            <w:r>
              <w:rPr>
                <w:rFonts w:hint="default" w:ascii="Times New Roman" w:hAnsi="Times New Roman" w:eastAsia="宋体" w:cs="Times New Roman"/>
              </w:rPr>
              <w:t>改建</w:t>
            </w:r>
          </w:p>
          <w:p>
            <w:pPr>
              <w:pStyle w:val="49"/>
              <w:wordWrap/>
              <w:overflowPunct w:val="0"/>
              <w:topLinePunct w:val="0"/>
              <w:autoSpaceDE w:val="0"/>
              <w:autoSpaceDN w:val="0"/>
              <w:spacing w:before="130"/>
              <w:ind w:left="124"/>
              <w:jc w:val="left"/>
              <w:rPr>
                <w:rFonts w:hint="default" w:ascii="Times New Roman" w:hAnsi="Times New Roman" w:eastAsia="宋体" w:cs="Times New Roman"/>
              </w:rPr>
            </w:pPr>
            <w:r>
              <w:rPr>
                <w:rFonts w:hint="default" w:ascii="Times New Roman" w:hAnsi="Times New Roman" w:eastAsia="宋体" w:cs="Times New Roman"/>
              </w:rPr>
              <w:sym w:font="Wingdings 2" w:char="00A3"/>
            </w:r>
            <w:r>
              <w:rPr>
                <w:rFonts w:hint="default" w:ascii="Times New Roman" w:hAnsi="Times New Roman" w:eastAsia="宋体" w:cs="Times New Roman"/>
              </w:rPr>
              <w:t>扩建</w:t>
            </w:r>
          </w:p>
          <w:p>
            <w:pPr>
              <w:pStyle w:val="49"/>
              <w:wordWrap/>
              <w:overflowPunct w:val="0"/>
              <w:topLinePunct w:val="0"/>
              <w:autoSpaceDE w:val="0"/>
              <w:autoSpaceDN w:val="0"/>
              <w:spacing w:before="130"/>
              <w:ind w:left="124"/>
              <w:jc w:val="left"/>
              <w:rPr>
                <w:rFonts w:hint="default" w:ascii="Times New Roman" w:hAnsi="Times New Roman" w:eastAsia="宋体" w:cs="Times New Roman"/>
              </w:rPr>
            </w:pPr>
            <w:r>
              <w:rPr>
                <w:rFonts w:hint="default" w:ascii="Times New Roman" w:hAnsi="Times New Roman" w:eastAsia="宋体" w:cs="Times New Roman"/>
              </w:rPr>
              <w:sym w:font="Wingdings 2" w:char="00A3"/>
            </w:r>
            <w:r>
              <w:rPr>
                <w:rFonts w:hint="default" w:ascii="Times New Roman" w:hAnsi="Times New Roman" w:eastAsia="宋体" w:cs="Times New Roman"/>
              </w:rPr>
              <w:t>技术改造</w:t>
            </w:r>
          </w:p>
        </w:tc>
        <w:tc>
          <w:tcPr>
            <w:tcW w:w="2194"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建设项目</w:t>
            </w:r>
          </w:p>
          <w:p>
            <w:pPr>
              <w:pStyle w:val="49"/>
              <w:wordWrap/>
              <w:overflowPunct w:val="0"/>
              <w:topLinePunct w:val="0"/>
              <w:autoSpaceDE w:val="0"/>
              <w:autoSpaceDN w:val="0"/>
              <w:spacing w:before="130"/>
              <w:ind w:left="124"/>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申报情形</w:t>
            </w:r>
          </w:p>
        </w:tc>
        <w:tc>
          <w:tcPr>
            <w:tcW w:w="2452" w:type="dxa"/>
            <w:tcBorders>
              <w:top w:val="single" w:color="000000" w:sz="4" w:space="0"/>
              <w:left w:val="single" w:color="000000" w:sz="4" w:space="0"/>
              <w:bottom w:val="single" w:color="000000" w:sz="4" w:space="0"/>
            </w:tcBorders>
          </w:tcPr>
          <w:p>
            <w:pPr>
              <w:pStyle w:val="49"/>
              <w:wordWrap/>
              <w:overflowPunct w:val="0"/>
              <w:topLinePunct w:val="0"/>
              <w:autoSpaceDE w:val="0"/>
              <w:autoSpaceDN w:val="0"/>
              <w:spacing w:before="13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首次申报项目</w:t>
            </w:r>
          </w:p>
          <w:p>
            <w:pPr>
              <w:pStyle w:val="49"/>
              <w:wordWrap/>
              <w:overflowPunct w:val="0"/>
              <w:topLinePunct w:val="0"/>
              <w:autoSpaceDE w:val="0"/>
              <w:autoSpaceDN w:val="0"/>
              <w:spacing w:before="13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不予批准后再次申报项目</w:t>
            </w:r>
          </w:p>
          <w:p>
            <w:pPr>
              <w:pStyle w:val="49"/>
              <w:wordWrap/>
              <w:overflowPunct w:val="0"/>
              <w:topLinePunct w:val="0"/>
              <w:autoSpaceDE w:val="0"/>
              <w:autoSpaceDN w:val="0"/>
              <w:spacing w:before="13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超五年重新审核项目</w:t>
            </w:r>
          </w:p>
          <w:p>
            <w:pPr>
              <w:pStyle w:val="49"/>
              <w:wordWrap/>
              <w:overflowPunct w:val="0"/>
              <w:topLinePunct w:val="0"/>
              <w:autoSpaceDE w:val="0"/>
              <w:autoSpaceDN w:val="0"/>
              <w:spacing w:before="13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left"/>
              <w:rPr>
                <w:rFonts w:hint="default" w:ascii="Times New Roman" w:hAnsi="Times New Roman" w:eastAsia="宋体" w:cs="Times New Roman"/>
                <w:b/>
                <w:bCs/>
              </w:rPr>
            </w:pPr>
            <w:r>
              <w:rPr>
                <w:rFonts w:hint="default" w:ascii="Times New Roman" w:hAnsi="Times New Roman" w:eastAsia="宋体" w:cs="Times New Roman"/>
                <w:b/>
                <w:bCs/>
              </w:rPr>
              <w:t>项目审批（核准/</w:t>
            </w:r>
          </w:p>
          <w:p>
            <w:pPr>
              <w:pStyle w:val="49"/>
              <w:wordWrap/>
              <w:overflowPunct w:val="0"/>
              <w:topLinePunct w:val="0"/>
              <w:autoSpaceDE w:val="0"/>
              <w:autoSpaceDN w:val="0"/>
              <w:jc w:val="left"/>
              <w:rPr>
                <w:rFonts w:hint="default" w:ascii="Times New Roman" w:hAnsi="Times New Roman" w:eastAsia="宋体" w:cs="Times New Roman"/>
                <w:b/>
                <w:bCs/>
              </w:rPr>
            </w:pPr>
            <w:r>
              <w:rPr>
                <w:rFonts w:hint="default" w:ascii="Times New Roman" w:hAnsi="Times New Roman" w:eastAsia="宋体" w:cs="Times New Roman"/>
                <w:b/>
                <w:bCs/>
              </w:rPr>
              <w:t>备案）部门（选填）</w:t>
            </w:r>
          </w:p>
        </w:tc>
        <w:tc>
          <w:tcPr>
            <w:tcW w:w="1913"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rPr>
            </w:pPr>
            <w:r>
              <w:rPr>
                <w:rFonts w:hint="default" w:ascii="Times New Roman" w:hAnsi="Times New Roman" w:eastAsia="宋体" w:cs="Times New Roman"/>
                <w:lang w:val="en-US" w:eastAsia="zh-CN"/>
              </w:rPr>
              <w:t>泸溪</w:t>
            </w:r>
            <w:r>
              <w:rPr>
                <w:rFonts w:hint="default" w:ascii="Times New Roman" w:hAnsi="Times New Roman" w:eastAsia="宋体" w:cs="Times New Roman"/>
              </w:rPr>
              <w:t>县发展与改革局</w:t>
            </w:r>
          </w:p>
        </w:tc>
        <w:tc>
          <w:tcPr>
            <w:tcW w:w="2194"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left"/>
              <w:rPr>
                <w:rFonts w:hint="default" w:ascii="Times New Roman" w:hAnsi="Times New Roman" w:eastAsia="宋体" w:cs="Times New Roman"/>
                <w:b/>
                <w:bCs/>
              </w:rPr>
            </w:pPr>
            <w:r>
              <w:rPr>
                <w:rFonts w:hint="default" w:ascii="Times New Roman" w:hAnsi="Times New Roman" w:eastAsia="宋体" w:cs="Times New Roman"/>
                <w:b/>
                <w:bCs/>
              </w:rPr>
              <w:t>项目审批（核准/</w:t>
            </w:r>
          </w:p>
          <w:p>
            <w:pPr>
              <w:pStyle w:val="49"/>
              <w:wordWrap/>
              <w:overflowPunct w:val="0"/>
              <w:topLinePunct w:val="0"/>
              <w:autoSpaceDE w:val="0"/>
              <w:autoSpaceDN w:val="0"/>
              <w:jc w:val="left"/>
              <w:rPr>
                <w:rFonts w:hint="default" w:ascii="Times New Roman" w:hAnsi="Times New Roman" w:eastAsia="宋体" w:cs="Times New Roman"/>
                <w:b/>
                <w:bCs/>
              </w:rPr>
            </w:pPr>
            <w:r>
              <w:rPr>
                <w:rFonts w:hint="default" w:ascii="Times New Roman" w:hAnsi="Times New Roman" w:eastAsia="宋体" w:cs="Times New Roman"/>
                <w:b/>
                <w:bCs/>
              </w:rPr>
              <w:t>备案）文号（选填）</w:t>
            </w:r>
          </w:p>
        </w:tc>
        <w:tc>
          <w:tcPr>
            <w:tcW w:w="2452" w:type="dxa"/>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lang w:val="en-US" w:eastAsia="zh-CN"/>
              </w:rPr>
            </w:pPr>
            <w:r>
              <w:rPr>
                <w:rFonts w:hint="default" w:ascii="Times New Roman" w:hAnsi="Times New Roman" w:eastAsia="宋体" w:cs="Times New Roman"/>
                <w:highlight w:val="none"/>
                <w:lang w:val="en-US" w:eastAsia="zh-CN"/>
              </w:rPr>
              <w:t>泸发改工</w:t>
            </w:r>
            <w:r>
              <w:rPr>
                <w:rFonts w:hint="default" w:ascii="Times New Roman" w:hAnsi="Times New Roman" w:eastAsia="宋体" w:cs="Times New Roman"/>
                <w:highlight w:val="none"/>
                <w:lang w:val="en-US"/>
              </w:rPr>
              <w:t>[202</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6</w:t>
            </w:r>
            <w:r>
              <w:rPr>
                <w:rFonts w:hint="default" w:ascii="Times New Roman" w:hAnsi="Times New Roman" w:eastAsia="宋体" w:cs="Times New Roman"/>
                <w:highlight w:val="none"/>
                <w:lang w:val="en-US"/>
              </w:rPr>
              <w:t>号</w:t>
            </w:r>
            <w:r>
              <w:rPr>
                <w:rFonts w:hint="default" w:ascii="Times New Roman" w:hAnsi="Times New Roman" w:eastAsia="宋体" w:cs="Times New Roman"/>
                <w:highlight w:val="none"/>
                <w:lang w:val="en-US" w:eastAsia="zh-CN"/>
              </w:rPr>
              <w:t>、泸发改工</w:t>
            </w:r>
            <w:r>
              <w:rPr>
                <w:rFonts w:hint="default" w:ascii="Times New Roman" w:hAnsi="Times New Roman" w:eastAsia="宋体" w:cs="Times New Roman"/>
                <w:highlight w:val="none"/>
                <w:lang w:val="en-US"/>
              </w:rPr>
              <w:t>[202</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41</w:t>
            </w:r>
            <w:r>
              <w:rPr>
                <w:rFonts w:hint="default" w:ascii="Times New Roman" w:hAnsi="Times New Roman" w:eastAsia="宋体" w:cs="Times New Roman"/>
                <w:highlight w:val="none"/>
                <w:lang w:val="en-US"/>
              </w:rPr>
              <w:t>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u w:val="single"/>
              </w:rPr>
            </w:pPr>
            <w:r>
              <w:rPr>
                <w:rFonts w:hint="default" w:ascii="Times New Roman" w:hAnsi="Times New Roman" w:eastAsia="宋体" w:cs="Times New Roman"/>
                <w:b/>
                <w:bCs/>
                <w:u w:val="single"/>
              </w:rPr>
              <w:t>总投资（万元）</w:t>
            </w:r>
          </w:p>
        </w:tc>
        <w:tc>
          <w:tcPr>
            <w:tcW w:w="1913"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580</w:t>
            </w:r>
          </w:p>
        </w:tc>
        <w:tc>
          <w:tcPr>
            <w:tcW w:w="2194"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环保投资（万元）</w:t>
            </w:r>
          </w:p>
        </w:tc>
        <w:tc>
          <w:tcPr>
            <w:tcW w:w="2452" w:type="dxa"/>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71.8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环保投资占比（%）</w:t>
            </w:r>
          </w:p>
        </w:tc>
        <w:tc>
          <w:tcPr>
            <w:tcW w:w="1913"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12.38</w:t>
            </w:r>
          </w:p>
        </w:tc>
        <w:tc>
          <w:tcPr>
            <w:tcW w:w="2194"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施工工期</w:t>
            </w:r>
          </w:p>
        </w:tc>
        <w:tc>
          <w:tcPr>
            <w:tcW w:w="2452" w:type="dxa"/>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spacing w:before="130"/>
              <w:ind w:left="124"/>
              <w:jc w:val="center"/>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color w:val="auto"/>
                <w:highlight w:val="none"/>
                <w:u w:val="single"/>
                <w:lang w:val="en-US" w:eastAsia="zh-CN"/>
              </w:rPr>
              <w:t>1个月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b/>
                <w:bCs/>
              </w:rPr>
            </w:pPr>
            <w:r>
              <w:rPr>
                <w:rFonts w:hint="default" w:ascii="Times New Roman" w:hAnsi="Times New Roman" w:eastAsia="宋体" w:cs="Times New Roman"/>
                <w:b/>
                <w:bCs/>
              </w:rPr>
              <w:t>是否开工建设</w:t>
            </w:r>
          </w:p>
        </w:tc>
        <w:tc>
          <w:tcPr>
            <w:tcW w:w="1913"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rPr>
            </w:pPr>
            <w:r>
              <w:rPr>
                <w:rFonts w:hint="default" w:ascii="Times New Roman" w:hAnsi="Times New Roman" w:eastAsia="宋体" w:cs="Times New Roman"/>
              </w:rPr>
              <w:sym w:font="Wingdings 2" w:char="00A3"/>
            </w:r>
            <w:r>
              <w:rPr>
                <w:rFonts w:hint="default" w:ascii="Times New Roman" w:hAnsi="Times New Roman" w:eastAsia="宋体" w:cs="Times New Roman"/>
              </w:rPr>
              <w:t>否</w:t>
            </w:r>
          </w:p>
          <w:p>
            <w:pPr>
              <w:pStyle w:val="49"/>
              <w:wordWrap/>
              <w:overflowPunct w:val="0"/>
              <w:topLinePunct w:val="0"/>
              <w:autoSpaceDE w:val="0"/>
              <w:autoSpaceDN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sym w:font="Wingdings 2" w:char="0052"/>
            </w:r>
            <w:r>
              <w:rPr>
                <w:rFonts w:hint="default" w:ascii="Times New Roman" w:hAnsi="Times New Roman" w:eastAsia="宋体" w:cs="Times New Roman"/>
              </w:rPr>
              <w:t>是</w:t>
            </w:r>
            <w:r>
              <w:rPr>
                <w:rFonts w:hint="default" w:ascii="Times New Roman" w:hAnsi="Times New Roman" w:eastAsia="宋体" w:cs="Times New Roman"/>
                <w:lang w:eastAsia="zh-CN"/>
              </w:rPr>
              <w:t>：</w:t>
            </w:r>
            <w:r>
              <w:rPr>
                <w:rFonts w:hint="default" w:ascii="Times New Roman" w:hAnsi="Times New Roman" w:eastAsia="宋体" w:cs="Times New Roman"/>
                <w:u w:val="single"/>
                <w:lang w:val="en-US" w:eastAsia="zh-CN"/>
              </w:rPr>
              <w:t>已完成一期工程的建设，</w:t>
            </w:r>
            <w:r>
              <w:rPr>
                <w:rFonts w:hint="default" w:ascii="Times New Roman" w:hAnsi="Times New Roman" w:eastAsia="宋体" w:cs="Times New Roman"/>
                <w:u w:val="single" w:color="auto"/>
                <w:lang w:val="en-US" w:eastAsia="zh-CN"/>
              </w:rPr>
              <w:t>其中锅炉房设备尚未进场</w:t>
            </w:r>
          </w:p>
        </w:tc>
        <w:tc>
          <w:tcPr>
            <w:tcW w:w="2194"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用地（用海）</w:t>
            </w:r>
          </w:p>
          <w:p>
            <w:pPr>
              <w:pStyle w:val="49"/>
              <w:wordWrap/>
              <w:overflowPunct w:val="0"/>
              <w:topLinePunct w:val="0"/>
              <w:autoSpaceDE w:val="0"/>
              <w:autoSpaceDN w:val="0"/>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面积（m</w:t>
            </w:r>
            <w:r>
              <w:rPr>
                <w:rFonts w:hint="default" w:ascii="Times New Roman" w:hAnsi="Times New Roman" w:eastAsia="宋体" w:cs="Times New Roman"/>
                <w:b/>
                <w:bCs/>
                <w:highlight w:val="none"/>
                <w:vertAlign w:val="superscript"/>
              </w:rPr>
              <w:t>2</w:t>
            </w:r>
            <w:r>
              <w:rPr>
                <w:rFonts w:hint="default" w:ascii="Times New Roman" w:hAnsi="Times New Roman" w:eastAsia="宋体" w:cs="Times New Roman"/>
                <w:b/>
                <w:bCs/>
                <w:highlight w:val="none"/>
              </w:rPr>
              <w:t>）</w:t>
            </w:r>
          </w:p>
        </w:tc>
        <w:tc>
          <w:tcPr>
            <w:tcW w:w="2452" w:type="dxa"/>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845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9"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
              <w:ind w:left="327" w:right="208"/>
              <w:jc w:val="center"/>
              <w:rPr>
                <w:rFonts w:hint="default" w:ascii="Times New Roman" w:hAnsi="Times New Roman" w:eastAsia="宋体" w:cs="Times New Roman"/>
                <w:b/>
                <w:bCs/>
              </w:rPr>
            </w:pPr>
            <w:r>
              <w:rPr>
                <w:rFonts w:hint="default" w:ascii="Times New Roman" w:hAnsi="Times New Roman" w:eastAsia="宋体" w:cs="Times New Roman"/>
                <w:b/>
                <w:bCs/>
              </w:rPr>
              <w:t>专项评价</w:t>
            </w:r>
          </w:p>
          <w:p>
            <w:pPr>
              <w:pStyle w:val="49"/>
              <w:wordWrap/>
              <w:overflowPunct w:val="0"/>
              <w:topLinePunct w:val="0"/>
              <w:autoSpaceDE w:val="0"/>
              <w:autoSpaceDN w:val="0"/>
              <w:spacing w:before="1"/>
              <w:ind w:left="327" w:right="208"/>
              <w:jc w:val="center"/>
              <w:rPr>
                <w:rFonts w:hint="default" w:ascii="Times New Roman" w:hAnsi="Times New Roman" w:eastAsia="宋体" w:cs="Times New Roman"/>
                <w:b/>
                <w:bCs/>
              </w:rPr>
            </w:pPr>
            <w:r>
              <w:rPr>
                <w:rFonts w:hint="default" w:ascii="Times New Roman" w:hAnsi="Times New Roman" w:eastAsia="宋体" w:cs="Times New Roman"/>
                <w:b/>
                <w:bCs/>
              </w:rPr>
              <w:t>设置情况</w:t>
            </w:r>
          </w:p>
        </w:tc>
        <w:tc>
          <w:tcPr>
            <w:tcW w:w="6559" w:type="dxa"/>
            <w:gridSpan w:val="3"/>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spacing w:before="1"/>
              <w:jc w:val="center"/>
              <w:rPr>
                <w:rFonts w:hint="default" w:ascii="Times New Roman" w:hAnsi="Times New Roman" w:eastAsia="宋体" w:cs="Times New Roman"/>
                <w:lang w:val="en-US"/>
              </w:rPr>
            </w:pPr>
            <w:r>
              <w:rPr>
                <w:rFonts w:hint="default" w:ascii="Times New Roman" w:hAnsi="Times New Roman" w:eastAsia="宋体" w:cs="Times New Roman"/>
                <w:lang w:val="en-US"/>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b/>
                <w:bCs/>
              </w:rPr>
            </w:pPr>
            <w:r>
              <w:rPr>
                <w:rFonts w:hint="default" w:ascii="Times New Roman" w:hAnsi="Times New Roman" w:eastAsia="宋体" w:cs="Times New Roman"/>
                <w:b/>
                <w:bCs/>
              </w:rPr>
              <w:t>规划情况</w:t>
            </w:r>
          </w:p>
        </w:tc>
        <w:tc>
          <w:tcPr>
            <w:tcW w:w="6559" w:type="dxa"/>
            <w:gridSpan w:val="3"/>
            <w:tcBorders>
              <w:top w:val="single" w:color="000000" w:sz="4" w:space="0"/>
              <w:left w:val="single" w:color="000000" w:sz="4" w:space="0"/>
              <w:bottom w:val="single" w:color="000000" w:sz="4" w:space="0"/>
            </w:tcBorders>
            <w:vAlign w:val="center"/>
          </w:tcPr>
          <w:p>
            <w:pPr>
              <w:keepNext w:val="0"/>
              <w:keepLines w:val="0"/>
              <w:pageBreakBefore w:val="0"/>
              <w:widowControl/>
              <w:kinsoku/>
              <w:wordWrap/>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lang w:val="en-US"/>
              </w:rPr>
            </w:pPr>
            <w:r>
              <w:rPr>
                <w:rFonts w:hint="default" w:ascii="Times New Roman" w:hAnsi="Times New Roman" w:eastAsia="宋体" w:cs="Times New Roman"/>
                <w:lang w:val="en-US"/>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2"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b/>
                <w:bCs/>
              </w:rPr>
            </w:pPr>
            <w:r>
              <w:rPr>
                <w:rFonts w:hint="default" w:ascii="Times New Roman" w:hAnsi="Times New Roman" w:eastAsia="宋体" w:cs="Times New Roman"/>
                <w:b/>
                <w:bCs/>
              </w:rPr>
              <w:t>规划环境影响评价</w:t>
            </w:r>
          </w:p>
          <w:p>
            <w:pPr>
              <w:pStyle w:val="49"/>
              <w:wordWrap/>
              <w:overflowPunct w:val="0"/>
              <w:topLinePunct w:val="0"/>
              <w:autoSpaceDE w:val="0"/>
              <w:autoSpaceDN w:val="0"/>
              <w:jc w:val="center"/>
              <w:rPr>
                <w:rFonts w:hint="default" w:ascii="Times New Roman" w:hAnsi="Times New Roman" w:eastAsia="宋体" w:cs="Times New Roman"/>
                <w:b/>
                <w:bCs/>
              </w:rPr>
            </w:pPr>
            <w:r>
              <w:rPr>
                <w:rFonts w:hint="default" w:ascii="Times New Roman" w:hAnsi="Times New Roman" w:eastAsia="宋体" w:cs="Times New Roman"/>
                <w:b/>
                <w:bCs/>
              </w:rPr>
              <w:t>情况</w:t>
            </w:r>
          </w:p>
        </w:tc>
        <w:tc>
          <w:tcPr>
            <w:tcW w:w="6559" w:type="dxa"/>
            <w:gridSpan w:val="3"/>
            <w:tcBorders>
              <w:top w:val="single" w:color="000000" w:sz="4" w:space="0"/>
              <w:left w:val="single" w:color="000000" w:sz="4" w:space="0"/>
              <w:bottom w:val="single" w:color="000000" w:sz="4" w:space="0"/>
            </w:tcBorders>
            <w:vAlign w:val="center"/>
          </w:tcPr>
          <w:p>
            <w:pPr>
              <w:keepNext w:val="0"/>
              <w:keepLines w:val="0"/>
              <w:pageBreakBefore w:val="0"/>
              <w:kinsoku/>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lang w:val="en-US"/>
              </w:rPr>
            </w:pPr>
            <w:r>
              <w:rPr>
                <w:rFonts w:hint="default" w:ascii="Times New Roman" w:hAnsi="Times New Roman" w:eastAsia="宋体" w:cs="Times New Roman"/>
                <w:lang w:val="en-US"/>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230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b/>
                <w:bCs/>
              </w:rPr>
            </w:pPr>
            <w:r>
              <w:rPr>
                <w:rFonts w:hint="default" w:ascii="Times New Roman" w:hAnsi="Times New Roman" w:eastAsia="宋体" w:cs="Times New Roman"/>
                <w:b/>
                <w:bCs/>
              </w:rPr>
              <w:t>规划及规划环境影响评价符合性分析</w:t>
            </w:r>
          </w:p>
        </w:tc>
        <w:tc>
          <w:tcPr>
            <w:tcW w:w="6559" w:type="dxa"/>
            <w:gridSpan w:val="3"/>
            <w:tcBorders>
              <w:top w:val="single" w:color="000000" w:sz="4" w:space="0"/>
              <w:left w:val="single" w:color="000000" w:sz="4" w:space="0"/>
              <w:bottom w:val="single" w:color="000000" w:sz="4" w:space="0"/>
            </w:tcBorders>
            <w:vAlign w:val="center"/>
          </w:tcPr>
          <w:p>
            <w:pPr>
              <w:ind w:left="0" w:leftChars="0" w:firstLine="0" w:firstLineChars="0"/>
              <w:jc w:val="center"/>
              <w:rPr>
                <w:rFonts w:hint="default" w:ascii="Times New Roman" w:hAnsi="Times New Roman" w:eastAsia="宋体" w:cs="Times New Roman"/>
              </w:rPr>
            </w:pPr>
            <w:r>
              <w:rPr>
                <w:rFonts w:hint="default" w:ascii="Times New Roman" w:hAnsi="Times New Roman" w:eastAsia="宋体" w:cs="Times New Roman"/>
                <w:lang w:val="en-US"/>
              </w:rPr>
              <w:t>无</w:t>
            </w:r>
          </w:p>
        </w:tc>
      </w:tr>
    </w:tbl>
    <w:tbl>
      <w:tblPr>
        <w:tblStyle w:val="28"/>
        <w:tblpPr w:leftFromText="180" w:rightFromText="180" w:vertAnchor="text" w:horzAnchor="page" w:tblpX="1537" w:tblpY="3"/>
        <w:tblOverlap w:val="never"/>
        <w:tblW w:w="92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586"/>
        <w:gridCol w:w="86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586" w:type="dxa"/>
            <w:tcBorders>
              <w:top w:val="single" w:color="000000" w:sz="4" w:space="0"/>
              <w:right w:val="single" w:color="000000" w:sz="4" w:space="0"/>
            </w:tcBorders>
            <w:vAlign w:val="center"/>
          </w:tcPr>
          <w:p>
            <w:pPr>
              <w:pStyle w:val="49"/>
              <w:wordWrap/>
              <w:overflowPunct w:val="0"/>
              <w:topLinePunct w:val="0"/>
              <w:autoSpaceDE w:val="0"/>
              <w:autoSpaceDN w:val="0"/>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其</w:t>
            </w:r>
          </w:p>
          <w:p>
            <w:pPr>
              <w:pStyle w:val="49"/>
              <w:wordWrap/>
              <w:overflowPunct w:val="0"/>
              <w:topLinePunct w:val="0"/>
              <w:autoSpaceDE w:val="0"/>
              <w:autoSpaceDN w:val="0"/>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他</w:t>
            </w:r>
          </w:p>
          <w:p>
            <w:pPr>
              <w:pStyle w:val="49"/>
              <w:wordWrap/>
              <w:overflowPunct w:val="0"/>
              <w:topLinePunct w:val="0"/>
              <w:autoSpaceDE w:val="0"/>
              <w:autoSpaceDN w:val="0"/>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符</w:t>
            </w:r>
          </w:p>
          <w:p>
            <w:pPr>
              <w:pStyle w:val="49"/>
              <w:wordWrap/>
              <w:overflowPunct w:val="0"/>
              <w:topLinePunct w:val="0"/>
              <w:autoSpaceDE w:val="0"/>
              <w:autoSpaceDN w:val="0"/>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合</w:t>
            </w:r>
          </w:p>
          <w:p>
            <w:pPr>
              <w:pStyle w:val="49"/>
              <w:wordWrap/>
              <w:overflowPunct w:val="0"/>
              <w:topLinePunct w:val="0"/>
              <w:autoSpaceDE w:val="0"/>
              <w:autoSpaceDN w:val="0"/>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性</w:t>
            </w:r>
          </w:p>
          <w:p>
            <w:pPr>
              <w:pStyle w:val="49"/>
              <w:wordWrap/>
              <w:overflowPunct w:val="0"/>
              <w:topLinePunct w:val="0"/>
              <w:autoSpaceDE w:val="0"/>
              <w:autoSpaceDN w:val="0"/>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分</w:t>
            </w:r>
          </w:p>
          <w:p>
            <w:pPr>
              <w:pStyle w:val="49"/>
              <w:wordWrap/>
              <w:overflowPunct w:val="0"/>
              <w:topLinePunct w:val="0"/>
              <w:autoSpaceDE w:val="0"/>
              <w:autoSpaceDN w:val="0"/>
              <w:jc w:val="center"/>
              <w:rPr>
                <w:rFonts w:ascii="Times New Roman" w:hAnsi="Times New Roman" w:cs="Times New Roman"/>
                <w:u w:val="none" w:color="auto"/>
              </w:rPr>
            </w:pPr>
            <w:r>
              <w:rPr>
                <w:rFonts w:ascii="Times New Roman" w:hAnsi="Times New Roman" w:cs="Times New Roman"/>
                <w:b/>
                <w:bCs/>
                <w:sz w:val="30"/>
                <w:szCs w:val="30"/>
                <w:u w:val="none" w:color="auto"/>
              </w:rPr>
              <w:t>析</w:t>
            </w:r>
          </w:p>
        </w:tc>
        <w:tc>
          <w:tcPr>
            <w:tcW w:w="8674" w:type="dxa"/>
            <w:tcBorders>
              <w:top w:val="single" w:color="000000" w:sz="4" w:space="0"/>
              <w:left w:val="single" w:color="000000" w:sz="4" w:space="0"/>
            </w:tcBorders>
            <w:vAlign w:val="center"/>
          </w:tcPr>
          <w:p>
            <w:pPr>
              <w:pStyle w:val="6"/>
              <w:keepNext w:val="0"/>
              <w:keepLines w:val="0"/>
              <w:wordWrap/>
              <w:overflowPunct w:val="0"/>
              <w:topLinePunct w:val="0"/>
              <w:autoSpaceDE w:val="0"/>
              <w:autoSpaceDN w:val="0"/>
              <w:ind w:firstLine="0" w:firstLineChars="0"/>
              <w:rPr>
                <w:rFonts w:ascii="Times New Roman" w:hAnsi="Times New Roman" w:cs="Times New Roman"/>
                <w:u w:val="none" w:color="auto"/>
                <w:lang w:val="en-US"/>
              </w:rPr>
            </w:pPr>
            <w:r>
              <w:rPr>
                <w:rFonts w:hint="default" w:ascii="Times New Roman" w:hAnsi="Times New Roman" w:cs="Times New Roman"/>
                <w:u w:val="none" w:color="auto"/>
                <w:lang w:val="en-US"/>
              </w:rPr>
              <w:t>1.</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rPr>
              <w:t>其他符合性分析</w:t>
            </w:r>
          </w:p>
          <w:p>
            <w:pPr>
              <w:pStyle w:val="6"/>
              <w:bidi w:val="0"/>
              <w:rPr>
                <w:rFonts w:ascii="Times New Roman" w:hAnsi="Times New Roman" w:cs="Times New Roman"/>
                <w:u w:val="none" w:color="auto"/>
              </w:rPr>
            </w:pPr>
            <w:r>
              <w:rPr>
                <w:rFonts w:hint="default" w:ascii="Times New Roman" w:hAnsi="Times New Roman" w:cs="Times New Roman"/>
                <w:u w:val="none" w:color="auto"/>
                <w:lang w:val="en-US"/>
              </w:rPr>
              <w:t>1.</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val="en-US"/>
              </w:rPr>
              <w:t>.1</w:t>
            </w:r>
            <w:r>
              <w:rPr>
                <w:rFonts w:hint="default" w:ascii="Times New Roman" w:hAnsi="Times New Roman" w:cs="Times New Roman"/>
                <w:u w:val="none" w:color="auto"/>
              </w:rPr>
              <w:t>产业政策符合性分析</w:t>
            </w:r>
            <w:r>
              <w:rPr>
                <w:rFonts w:ascii="Times New Roman" w:hAnsi="Times New Roman" w:cs="Times New Roman"/>
                <w:u w:val="none" w:color="auto"/>
              </w:rPr>
              <w:t xml:space="preserve"> </w:t>
            </w:r>
          </w:p>
          <w:p>
            <w:pPr>
              <w:wordWrap/>
              <w:overflowPunct w:val="0"/>
              <w:topLinePunct w:val="0"/>
              <w:autoSpaceDE w:val="0"/>
              <w:autoSpaceDN w:val="0"/>
              <w:ind w:firstLine="480"/>
              <w:rPr>
                <w:rFonts w:hint="default" w:ascii="Times New Roman" w:hAnsi="Times New Roman" w:cs="Times New Roman"/>
                <w:u w:val="single" w:color="auto"/>
              </w:rPr>
            </w:pPr>
            <w:r>
              <w:rPr>
                <w:rFonts w:hint="default" w:ascii="Times New Roman" w:hAnsi="Times New Roman" w:cs="Times New Roman"/>
                <w:highlight w:val="none"/>
                <w:u w:val="single" w:color="auto"/>
              </w:rPr>
              <w:t>根据</w:t>
            </w:r>
            <w:r>
              <w:rPr>
                <w:rFonts w:hint="default" w:ascii="Times New Roman" w:hAnsi="Times New Roman" w:eastAsia="宋体" w:cs="Times New Roman"/>
                <w:sz w:val="24"/>
                <w:szCs w:val="24"/>
                <w:highlight w:val="none"/>
                <w:u w:val="single" w:color="auto"/>
                <w:lang w:val="en-US" w:eastAsia="zh-CN"/>
              </w:rPr>
              <w:t>《产业结构调整指导目录（2019年本）》</w:t>
            </w:r>
            <w:r>
              <w:rPr>
                <w:rFonts w:hint="eastAsia"/>
                <w:color w:val="auto"/>
                <w:highlight w:val="none"/>
                <w:u w:val="single" w:color="auto"/>
                <w:lang w:val="zh-CN"/>
              </w:rPr>
              <w:t>（</w:t>
            </w:r>
            <w:r>
              <w:rPr>
                <w:rFonts w:hint="eastAsia"/>
                <w:color w:val="auto"/>
                <w:highlight w:val="none"/>
                <w:u w:val="single" w:color="auto"/>
              </w:rPr>
              <w:t>2021年修改</w:t>
            </w:r>
            <w:r>
              <w:rPr>
                <w:rFonts w:hint="eastAsia"/>
                <w:color w:val="auto"/>
                <w:highlight w:val="none"/>
                <w:u w:val="single" w:color="auto"/>
                <w:lang w:val="zh-CN"/>
              </w:rPr>
              <w:t>）</w:t>
            </w:r>
            <w:r>
              <w:rPr>
                <w:rFonts w:hint="default" w:ascii="Times New Roman" w:hAnsi="Times New Roman" w:eastAsia="宋体" w:cs="Times New Roman"/>
                <w:sz w:val="24"/>
                <w:szCs w:val="24"/>
                <w:highlight w:val="none"/>
                <w:u w:val="single" w:color="auto"/>
                <w:lang w:val="en-US" w:eastAsia="zh-CN"/>
              </w:rPr>
              <w:t>（国家发展和改革委员会令第</w:t>
            </w:r>
            <w:r>
              <w:rPr>
                <w:rFonts w:hint="eastAsia" w:cs="Times New Roman"/>
                <w:sz w:val="24"/>
                <w:szCs w:val="24"/>
                <w:highlight w:val="none"/>
                <w:u w:val="single" w:color="auto"/>
                <w:lang w:val="en-US" w:eastAsia="zh-CN"/>
              </w:rPr>
              <w:t>49</w:t>
            </w:r>
            <w:r>
              <w:rPr>
                <w:rFonts w:hint="default" w:ascii="Times New Roman" w:hAnsi="Times New Roman" w:eastAsia="宋体" w:cs="Times New Roman"/>
                <w:sz w:val="24"/>
                <w:szCs w:val="24"/>
                <w:highlight w:val="none"/>
                <w:u w:val="single" w:color="auto"/>
                <w:lang w:val="en-US" w:eastAsia="zh-CN"/>
              </w:rPr>
              <w:t>号）</w:t>
            </w:r>
            <w:r>
              <w:rPr>
                <w:rFonts w:hint="default" w:ascii="Times New Roman" w:hAnsi="Times New Roman" w:cs="Times New Roman"/>
                <w:highlight w:val="none"/>
                <w:u w:val="single" w:color="auto"/>
              </w:rPr>
              <w:t>的要求，本项目</w:t>
            </w:r>
            <w:r>
              <w:rPr>
                <w:rFonts w:hint="default" w:ascii="Times New Roman" w:hAnsi="Times New Roman" w:cs="Times New Roman"/>
                <w:highlight w:val="none"/>
                <w:u w:val="single" w:color="auto"/>
                <w:lang w:val="en-US" w:eastAsia="zh-CN"/>
              </w:rPr>
              <w:t>变更前后类别不变，仍</w:t>
            </w:r>
            <w:r>
              <w:rPr>
                <w:rFonts w:hint="default" w:ascii="Times New Roman" w:hAnsi="Times New Roman" w:cs="Times New Roman"/>
                <w:highlight w:val="none"/>
                <w:u w:val="single" w:color="auto"/>
              </w:rPr>
              <w:t>属于</w:t>
            </w:r>
            <w:r>
              <w:rPr>
                <w:rFonts w:hint="default" w:ascii="Times New Roman" w:hAnsi="Times New Roman" w:eastAsia="宋体" w:cs="Times New Roman"/>
                <w:sz w:val="24"/>
                <w:szCs w:val="24"/>
                <w:u w:val="single" w:color="auto"/>
                <w:lang w:val="en-US" w:eastAsia="zh-CN"/>
              </w:rPr>
              <w:t>《产业结构调整指导目录（2019年本）》</w:t>
            </w:r>
            <w:r>
              <w:rPr>
                <w:rFonts w:hint="default" w:ascii="Times New Roman" w:hAnsi="Times New Roman" w:cs="Times New Roman"/>
                <w:highlight w:val="none"/>
                <w:u w:val="single" w:color="auto"/>
              </w:rPr>
              <w:t>中“鼓励类”第一项“农林业”中的“农林牧渔产品储运、保鲜、加工与综合利用”，同时本项目生产设备及采用的生产工艺不属于</w:t>
            </w:r>
            <w:r>
              <w:rPr>
                <w:rFonts w:hint="default" w:ascii="Times New Roman" w:hAnsi="Times New Roman" w:eastAsia="宋体" w:cs="Times New Roman"/>
                <w:sz w:val="24"/>
                <w:szCs w:val="24"/>
                <w:u w:val="single" w:color="auto"/>
                <w:lang w:val="en-US" w:eastAsia="zh-CN"/>
              </w:rPr>
              <w:t>《产业结构调整指导目录（2019年本）》</w:t>
            </w:r>
            <w:r>
              <w:rPr>
                <w:rFonts w:hint="default" w:ascii="Times New Roman" w:hAnsi="Times New Roman" w:cs="Times New Roman"/>
                <w:u w:val="single" w:color="auto"/>
              </w:rPr>
              <w:t>中规定的限制类和淘汰类设备和工艺，视为允许类。</w:t>
            </w:r>
          </w:p>
          <w:p>
            <w:pPr>
              <w:wordWrap/>
              <w:overflowPunct w:val="0"/>
              <w:topLinePunct w:val="0"/>
              <w:autoSpaceDE w:val="0"/>
              <w:autoSpaceDN w:val="0"/>
              <w:ind w:firstLine="480"/>
              <w:rPr>
                <w:rFonts w:ascii="Times New Roman" w:hAnsi="Times New Roman" w:cs="Times New Roman"/>
                <w:u w:val="single" w:color="auto"/>
              </w:rPr>
            </w:pPr>
            <w:r>
              <w:rPr>
                <w:rFonts w:hint="default" w:ascii="Times New Roman" w:hAnsi="Times New Roman" w:cs="Times New Roman"/>
                <w:u w:val="single" w:color="auto"/>
              </w:rPr>
              <w:t>综上所述，本项目建设符合国家产业政策。</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1.</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val="en-US"/>
              </w:rPr>
              <w:t>.2项目选址可行性</w:t>
            </w:r>
          </w:p>
          <w:p>
            <w:pPr>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本项目变更前后位置不变，仍</w:t>
            </w:r>
            <w:r>
              <w:rPr>
                <w:rFonts w:hint="default" w:ascii="Times New Roman" w:hAnsi="Times New Roman" w:cs="Times New Roman"/>
                <w:u w:val="none" w:color="auto"/>
                <w:lang w:val="en-US"/>
              </w:rPr>
              <w:t>位于</w:t>
            </w:r>
            <w:r>
              <w:rPr>
                <w:rFonts w:hint="default" w:ascii="Times New Roman" w:hAnsi="Times New Roman" w:cs="Times New Roman"/>
                <w:u w:val="none" w:color="auto"/>
                <w:lang w:val="en-US" w:eastAsia="zh-CN"/>
              </w:rPr>
              <w:t>泸溪县武溪镇红土溪村</w:t>
            </w:r>
            <w:r>
              <w:rPr>
                <w:rFonts w:hint="default" w:ascii="Times New Roman" w:hAnsi="Times New Roman" w:cs="Times New Roman"/>
                <w:highlight w:val="none"/>
                <w:u w:val="none" w:color="auto"/>
                <w:lang w:val="en-US" w:eastAsia="zh-CN"/>
              </w:rPr>
              <w:t>，占地面积为845m</w:t>
            </w:r>
            <w:r>
              <w:rPr>
                <w:rFonts w:hint="default" w:ascii="Times New Roman" w:hAnsi="Times New Roman" w:cs="Times New Roman"/>
                <w:highlight w:val="none"/>
                <w:u w:val="none" w:color="auto"/>
                <w:vertAlign w:val="superscript"/>
                <w:lang w:val="en-US" w:eastAsia="zh-CN"/>
              </w:rPr>
              <w:t>2</w:t>
            </w:r>
            <w:r>
              <w:rPr>
                <w:rFonts w:hint="default" w:ascii="Times New Roman" w:hAnsi="Times New Roman" w:cs="Times New Roman"/>
                <w:highlight w:val="none"/>
                <w:u w:val="none" w:color="auto"/>
                <w:lang w:val="en-US" w:eastAsia="zh-CN"/>
              </w:rPr>
              <w:t>，其用地性质为工业用地，相关证明详见附件3，</w:t>
            </w:r>
            <w:r>
              <w:rPr>
                <w:rFonts w:ascii="Times New Roman" w:hAnsi="Times New Roman" w:cs="Times New Roman"/>
                <w:u w:val="none" w:color="auto"/>
              </w:rPr>
              <w:t>项目地周围</w:t>
            </w:r>
            <w:r>
              <w:rPr>
                <w:rFonts w:hint="default" w:ascii="Times New Roman" w:hAnsi="Times New Roman" w:cs="Times New Roman"/>
                <w:u w:val="none" w:color="auto"/>
                <w:lang w:val="en-US" w:eastAsia="zh-CN"/>
              </w:rPr>
              <w:t>500m范围</w:t>
            </w:r>
            <w:r>
              <w:rPr>
                <w:rFonts w:ascii="Times New Roman" w:hAnsi="Times New Roman" w:cs="Times New Roman"/>
                <w:u w:val="none" w:color="auto"/>
              </w:rPr>
              <w:t>无文物保护单位</w:t>
            </w:r>
            <w:r>
              <w:rPr>
                <w:rFonts w:hint="default" w:ascii="Times New Roman" w:hAnsi="Times New Roman" w:cs="Times New Roman"/>
                <w:u w:val="none" w:color="auto"/>
              </w:rPr>
              <w:t>、</w:t>
            </w:r>
            <w:r>
              <w:rPr>
                <w:rFonts w:ascii="Times New Roman" w:hAnsi="Times New Roman" w:cs="Times New Roman"/>
                <w:u w:val="none" w:color="auto"/>
              </w:rPr>
              <w:t>自然保护区，风景名胜区，不属于环境敏感区</w:t>
            </w:r>
            <w:r>
              <w:rPr>
                <w:rFonts w:hint="default" w:ascii="Times New Roman" w:hAnsi="Times New Roman" w:cs="Times New Roman"/>
                <w:u w:val="none" w:color="auto"/>
              </w:rPr>
              <w:t>，</w:t>
            </w:r>
            <w:r>
              <w:rPr>
                <w:rFonts w:hint="default" w:ascii="Times New Roman" w:hAnsi="Times New Roman" w:cs="Times New Roman"/>
                <w:u w:val="none" w:color="auto"/>
                <w:lang w:eastAsia="zh-CN"/>
              </w:rPr>
              <w:t>项目地东侧</w:t>
            </w:r>
            <w:r>
              <w:rPr>
                <w:rFonts w:hint="default" w:ascii="Times New Roman" w:hAnsi="Times New Roman" w:cs="Times New Roman"/>
                <w:u w:val="none" w:color="auto"/>
                <w:lang w:val="en-US" w:eastAsia="zh-CN"/>
              </w:rPr>
              <w:t>80米有泸溪县沅江白沙段饮用水水源</w:t>
            </w:r>
            <w:r>
              <w:rPr>
                <w:rFonts w:hint="eastAsia" w:cs="Times New Roman"/>
                <w:u w:val="none" w:color="auto"/>
                <w:lang w:val="en-US" w:eastAsia="zh-CN"/>
              </w:rPr>
              <w:t>二级</w:t>
            </w:r>
            <w:r>
              <w:rPr>
                <w:rFonts w:hint="default" w:ascii="Times New Roman" w:hAnsi="Times New Roman" w:cs="Times New Roman"/>
                <w:u w:val="none" w:color="auto"/>
                <w:lang w:val="en-US" w:eastAsia="zh-CN"/>
              </w:rPr>
              <w:t>陆域保护区，不在水源地保护区范围内，</w:t>
            </w:r>
            <w:r>
              <w:rPr>
                <w:rFonts w:hint="default" w:ascii="Times New Roman" w:hAnsi="Times New Roman" w:eastAsia="宋体" w:cs="Times New Roman"/>
                <w:color w:val="auto"/>
                <w:u w:val="none" w:color="auto"/>
                <w:lang w:val="en-US" w:eastAsia="zh-CN"/>
              </w:rPr>
              <w:t>本项目产生的废水主要灌溉区域为南侧马路对面的</w:t>
            </w:r>
            <w:r>
              <w:rPr>
                <w:rFonts w:hint="eastAsia" w:cs="Times New Roman"/>
                <w:color w:val="auto"/>
                <w:u w:val="none" w:color="auto"/>
                <w:lang w:val="en-US" w:eastAsia="zh-CN"/>
              </w:rPr>
              <w:t>水田</w:t>
            </w:r>
            <w:r>
              <w:rPr>
                <w:rFonts w:hint="default" w:ascii="Times New Roman" w:hAnsi="Times New Roman" w:eastAsia="宋体" w:cs="Times New Roman"/>
                <w:color w:val="auto"/>
                <w:u w:val="none" w:color="auto"/>
                <w:lang w:val="en-US" w:eastAsia="zh-CN"/>
              </w:rPr>
              <w:t>、旱地等，利用灌溉水管输灌至</w:t>
            </w:r>
            <w:r>
              <w:rPr>
                <w:rFonts w:hint="eastAsia" w:cs="Times New Roman"/>
                <w:color w:val="auto"/>
                <w:u w:val="none" w:color="auto"/>
                <w:lang w:val="en-US" w:eastAsia="zh-CN"/>
              </w:rPr>
              <w:t>水田</w:t>
            </w:r>
            <w:r>
              <w:rPr>
                <w:rFonts w:hint="default" w:ascii="Times New Roman" w:hAnsi="Times New Roman" w:eastAsia="宋体" w:cs="Times New Roman"/>
                <w:color w:val="auto"/>
                <w:u w:val="none" w:color="auto"/>
                <w:lang w:val="en-US" w:eastAsia="zh-CN"/>
              </w:rPr>
              <w:t>以及旱地中，对水田、旱地进行灌溉，</w:t>
            </w:r>
            <w:r>
              <w:rPr>
                <w:rFonts w:hint="default" w:ascii="Times New Roman" w:hAnsi="Times New Roman" w:cs="Times New Roman"/>
                <w:u w:val="none" w:color="auto"/>
                <w:lang w:val="en-US" w:eastAsia="zh-CN"/>
              </w:rPr>
              <w:t>且</w:t>
            </w:r>
            <w:r>
              <w:rPr>
                <w:rFonts w:hint="default" w:ascii="Times New Roman" w:hAnsi="Times New Roman" w:eastAsia="宋体" w:cs="Times New Roman"/>
                <w:color w:val="auto"/>
                <w:u w:val="none" w:color="auto"/>
                <w:lang w:val="en-US" w:eastAsia="zh-CN"/>
              </w:rPr>
              <w:t>通过地形地势以及水文资料的调查，本项目</w:t>
            </w:r>
            <w:r>
              <w:rPr>
                <w:rFonts w:hint="eastAsia" w:ascii="Times New Roman" w:hAnsi="Times New Roman" w:eastAsia="宋体" w:cs="Times New Roman"/>
                <w:color w:val="auto"/>
                <w:highlight w:val="none"/>
                <w:u w:val="none" w:color="auto"/>
                <w:lang w:val="en-US" w:eastAsia="zh-CN"/>
              </w:rPr>
              <w:t>处于水源地保护区汇水区域</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目前泸溪县人民政府对沅江饮用水进行了农业面源整治，严格限值不合规的农药和化肥的使用，其中还包括防洪堤的修建，防治沅江洪期冲刷两岸的农田耕地，同时经现场调查，沅江两岸还设有生态缓冲带，农田退水在经过生态缓冲带的滞留及过滤，其农田退水对沅江的水质影响较小，并结合近几年沅江的水质监测结果，均能实现水质达标</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因此项目废水</w:t>
            </w:r>
            <w:r>
              <w:rPr>
                <w:rFonts w:hint="default" w:ascii="Times New Roman" w:hAnsi="Times New Roman" w:eastAsia="宋体" w:cs="Times New Roman"/>
                <w:color w:val="auto"/>
                <w:sz w:val="24"/>
                <w:szCs w:val="24"/>
                <w:u w:val="none" w:color="auto"/>
                <w:lang w:val="en-US" w:eastAsia="zh-CN"/>
              </w:rPr>
              <w:t>输灌</w:t>
            </w:r>
            <w:r>
              <w:rPr>
                <w:rFonts w:hint="eastAsia" w:ascii="Times New Roman" w:hAnsi="Times New Roman" w:eastAsia="宋体" w:cs="Times New Roman"/>
                <w:color w:val="auto"/>
                <w:u w:val="none" w:color="auto"/>
                <w:lang w:val="en-US" w:eastAsia="zh-CN"/>
              </w:rPr>
              <w:t>对</w:t>
            </w:r>
            <w:r>
              <w:rPr>
                <w:rFonts w:hint="default" w:ascii="Times New Roman" w:hAnsi="Times New Roman" w:eastAsia="宋体" w:cs="Times New Roman"/>
                <w:color w:val="auto"/>
                <w:u w:val="none" w:color="auto"/>
                <w:lang w:val="en-US" w:eastAsia="zh-CN"/>
              </w:rPr>
              <w:t>下游饮用水源保护区</w:t>
            </w:r>
            <w:r>
              <w:rPr>
                <w:rFonts w:hint="eastAsia" w:ascii="Times New Roman" w:hAnsi="Times New Roman" w:eastAsia="宋体" w:cs="Times New Roman"/>
                <w:color w:val="auto"/>
                <w:u w:val="none" w:color="auto"/>
                <w:lang w:val="en-US" w:eastAsia="zh-CN"/>
              </w:rPr>
              <w:t>的</w:t>
            </w:r>
            <w:r>
              <w:rPr>
                <w:rFonts w:hint="default" w:ascii="Times New Roman" w:hAnsi="Times New Roman" w:eastAsia="宋体" w:cs="Times New Roman"/>
                <w:color w:val="auto"/>
                <w:u w:val="none" w:color="auto"/>
                <w:lang w:val="en-US" w:eastAsia="zh-CN"/>
              </w:rPr>
              <w:t>影响可控</w:t>
            </w:r>
            <w:r>
              <w:rPr>
                <w:rFonts w:hint="default" w:ascii="Times New Roman" w:hAnsi="Times New Roman" w:cs="Times New Roman"/>
                <w:u w:val="none" w:color="auto"/>
                <w:lang w:val="en-US" w:eastAsia="zh-CN"/>
              </w:rPr>
              <w:t>。</w:t>
            </w:r>
          </w:p>
          <w:p>
            <w:pPr>
              <w:ind w:firstLine="480"/>
              <w:rPr>
                <w:rFonts w:ascii="Times New Roman" w:hAnsi="Times New Roman" w:cs="Times New Roman"/>
                <w:u w:val="none" w:color="auto"/>
              </w:rPr>
            </w:pPr>
            <w:r>
              <w:rPr>
                <w:rFonts w:hint="default" w:ascii="Times New Roman" w:hAnsi="Times New Roman" w:cs="Times New Roman"/>
                <w:u w:val="none" w:color="auto"/>
              </w:rPr>
              <w:t>根据环境质量现状</w:t>
            </w:r>
            <w:r>
              <w:rPr>
                <w:rFonts w:hint="default" w:ascii="Times New Roman" w:hAnsi="Times New Roman" w:cs="Times New Roman"/>
                <w:u w:val="none" w:color="auto"/>
                <w:lang w:eastAsia="zh-CN"/>
              </w:rPr>
              <w:t>调查</w:t>
            </w:r>
            <w:r>
              <w:rPr>
                <w:rFonts w:hint="default" w:ascii="Times New Roman" w:hAnsi="Times New Roman" w:cs="Times New Roman"/>
                <w:u w:val="none" w:color="auto"/>
              </w:rPr>
              <w:t>可知：空气环境监测指标达到《环境空气质量标准》（GB3095-2012）中的二级标准；项目地</w:t>
            </w:r>
            <w:r>
              <w:rPr>
                <w:rFonts w:hint="default" w:ascii="Times New Roman" w:hAnsi="Times New Roman" w:cs="Times New Roman"/>
                <w:highlight w:val="none"/>
                <w:u w:val="none" w:color="auto"/>
                <w:lang w:val="en-US" w:eastAsia="zh-CN"/>
              </w:rPr>
              <w:t>东西</w:t>
            </w:r>
            <w:r>
              <w:rPr>
                <w:rFonts w:hint="default" w:ascii="Times New Roman" w:hAnsi="Times New Roman" w:cs="Times New Roman"/>
                <w:u w:val="none" w:color="auto"/>
                <w:lang w:val="en-US" w:eastAsia="zh-CN"/>
              </w:rPr>
              <w:t>北侧</w:t>
            </w:r>
            <w:r>
              <w:rPr>
                <w:rFonts w:hint="default" w:ascii="Times New Roman" w:hAnsi="Times New Roman" w:cs="Times New Roman"/>
                <w:highlight w:val="none"/>
                <w:u w:val="none" w:color="auto"/>
                <w:lang w:val="en-US" w:eastAsia="zh-CN"/>
              </w:rPr>
              <w:t>各</w:t>
            </w:r>
            <w:r>
              <w:rPr>
                <w:rFonts w:hint="default" w:ascii="Times New Roman" w:hAnsi="Times New Roman" w:cs="Times New Roman"/>
                <w:u w:val="none" w:color="auto"/>
              </w:rPr>
              <w:t>厂界声环境监测点在昼夜间声环境能达到《声环境质量标准》GB3096-2008）中</w:t>
            </w:r>
            <w:r>
              <w:rPr>
                <w:rFonts w:hint="default" w:ascii="Times New Roman" w:hAnsi="Times New Roman" w:cs="Times New Roman"/>
                <w:highlight w:val="none"/>
                <w:u w:val="none" w:color="auto"/>
              </w:rPr>
              <w:t>的</w:t>
            </w:r>
            <w:r>
              <w:rPr>
                <w:rFonts w:hint="default" w:ascii="Times New Roman" w:hAnsi="Times New Roman" w:cs="Times New Roman"/>
                <w:highlight w:val="none"/>
                <w:u w:val="none" w:color="auto"/>
                <w:lang w:val="en-US" w:eastAsia="zh-CN"/>
              </w:rPr>
              <w:t>2</w:t>
            </w:r>
            <w:r>
              <w:rPr>
                <w:rFonts w:hint="default" w:ascii="Times New Roman" w:hAnsi="Times New Roman" w:cs="Times New Roman"/>
                <w:highlight w:val="none"/>
                <w:u w:val="none" w:color="auto"/>
              </w:rPr>
              <w:t>类标准</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lang w:val="en-US" w:eastAsia="zh-CN"/>
              </w:rPr>
              <w:t>南侧</w:t>
            </w:r>
            <w:r>
              <w:rPr>
                <w:rFonts w:hint="default" w:ascii="Times New Roman" w:hAnsi="Times New Roman" w:cs="Times New Roman"/>
                <w:highlight w:val="none"/>
                <w:u w:val="none" w:color="auto"/>
              </w:rPr>
              <w:t>厂界声环境监测点在昼夜间声环境能达到《声环境质量标准》GB3096-2008）中的</w:t>
            </w:r>
            <w:r>
              <w:rPr>
                <w:rFonts w:hint="default" w:ascii="Times New Roman" w:hAnsi="Times New Roman" w:cs="Times New Roman"/>
                <w:highlight w:val="none"/>
                <w:u w:val="none" w:color="auto"/>
                <w:lang w:val="en-US" w:eastAsia="zh-CN"/>
              </w:rPr>
              <w:t>4a</w:t>
            </w:r>
            <w:r>
              <w:rPr>
                <w:rFonts w:hint="default" w:ascii="Times New Roman" w:hAnsi="Times New Roman" w:cs="Times New Roman"/>
                <w:highlight w:val="none"/>
                <w:u w:val="none" w:color="auto"/>
              </w:rPr>
              <w:t>类标准、地表水满足《地表水环境质量标准》GB3838-2002中</w:t>
            </w:r>
            <w:r>
              <w:rPr>
                <w:rFonts w:hint="default" w:ascii="Times New Roman" w:hAnsi="Times New Roman" w:eastAsia="宋体" w:cs="Times New Roman"/>
                <w:highlight w:val="none"/>
                <w:u w:val="none" w:color="auto"/>
              </w:rPr>
              <w:t>Ⅲ</w:t>
            </w:r>
            <w:r>
              <w:rPr>
                <w:rFonts w:hint="default" w:ascii="Times New Roman" w:hAnsi="Times New Roman" w:cs="Times New Roman"/>
                <w:highlight w:val="none"/>
                <w:u w:val="none" w:color="auto"/>
              </w:rPr>
              <w:t>类标准要求，</w:t>
            </w:r>
            <w:r>
              <w:rPr>
                <w:rFonts w:hint="default" w:ascii="Times New Roman" w:hAnsi="Times New Roman" w:cs="Times New Roman"/>
                <w:u w:val="none" w:color="auto"/>
              </w:rPr>
              <w:t>该区域原有环境质量较好。同时根据影响分析可知</w:t>
            </w:r>
            <w:r>
              <w:rPr>
                <w:rFonts w:ascii="Times New Roman" w:hAnsi="Times New Roman" w:cs="Times New Roman"/>
                <w:u w:val="none" w:color="auto"/>
              </w:rPr>
              <w:t>本项目所产生的各项污染物</w:t>
            </w:r>
            <w:r>
              <w:rPr>
                <w:rFonts w:hint="default" w:ascii="Times New Roman" w:hAnsi="Times New Roman" w:cs="Times New Roman"/>
                <w:u w:val="none" w:color="auto"/>
              </w:rPr>
              <w:t>采取</w:t>
            </w:r>
            <w:r>
              <w:rPr>
                <w:rFonts w:ascii="Times New Roman" w:hAnsi="Times New Roman" w:cs="Times New Roman"/>
                <w:u w:val="none" w:color="auto"/>
              </w:rPr>
              <w:t>有效的治理，不会改变其环境功能区划，符合其环境功能区划要求。</w:t>
            </w:r>
          </w:p>
          <w:p>
            <w:pPr>
              <w:ind w:firstLine="480"/>
              <w:rPr>
                <w:rFonts w:ascii="Times New Roman" w:hAnsi="Times New Roman" w:cs="Times New Roman"/>
                <w:u w:val="none" w:color="auto"/>
              </w:rPr>
            </w:pPr>
            <w:r>
              <w:rPr>
                <w:rFonts w:hint="default" w:ascii="Times New Roman" w:hAnsi="Times New Roman" w:cs="Times New Roman"/>
                <w:u w:val="none" w:color="auto"/>
              </w:rPr>
              <w:t>综上所述，项目选址可行</w:t>
            </w:r>
            <w:r>
              <w:rPr>
                <w:rFonts w:ascii="Times New Roman" w:hAnsi="Times New Roman" w:cs="Times New Roman"/>
                <w:u w:val="none" w:color="auto"/>
              </w:rPr>
              <w:t>。</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1.</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val="en-US"/>
              </w:rPr>
              <w:t>.3 “三线一单”控制要求符合性分析</w:t>
            </w:r>
          </w:p>
          <w:p>
            <w:pPr>
              <w:spacing w:line="360" w:lineRule="auto"/>
              <w:ind w:firstLine="482" w:firstLineChars="200"/>
              <w:rPr>
                <w:rFonts w:ascii="Times New Roman" w:hAnsi="Times New Roman" w:cs="Times New Roman"/>
                <w:b/>
                <w:bCs/>
                <w:sz w:val="24"/>
                <w:u w:val="none" w:color="auto"/>
              </w:rPr>
            </w:pPr>
            <w:r>
              <w:rPr>
                <w:rFonts w:ascii="Times New Roman" w:hAnsi="Times New Roman" w:cs="Times New Roman"/>
                <w:b/>
                <w:bCs/>
                <w:sz w:val="24"/>
                <w:u w:val="none" w:color="auto"/>
              </w:rPr>
              <w:t>（1）与原环保部（环评〔2016〕150 号文）“三线一单”符合性分析</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根据原环境保护部《关于以改善环境质量为核心加强环境影响评价管理的通知》（环评〔2016〕150 号文）（2016 年 10 月 26 日）中“为适应以改善环境质量为核心的环境管理要求，切实加强环境影响评价管理，落实生态保护红线、环境质量底线、资源利用上线和环境准入负面清单（以下简称“三线一单”）约束，建立项目环评审批与规划环评、现有项目环境管理、区域环境质量联动机制，更好地发挥环评制度从源头防范环境污染和生态破坏的作用，加快推进改善环境质量”的要求，本项目与原环保部关于“三线一单”要求符合性如下：</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①生态保护红线</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本项目选址位于</w:t>
            </w:r>
            <w:r>
              <w:rPr>
                <w:rFonts w:hint="default" w:ascii="Times New Roman" w:hAnsi="Times New Roman" w:cs="Times New Roman"/>
                <w:sz w:val="24"/>
                <w:u w:val="none" w:color="auto"/>
                <w:lang w:val="en-US" w:eastAsia="zh-CN"/>
              </w:rPr>
              <w:t>泸溪县</w:t>
            </w:r>
            <w:r>
              <w:rPr>
                <w:rFonts w:hint="default" w:ascii="Times New Roman" w:hAnsi="Times New Roman" w:cs="Times New Roman"/>
                <w:u w:val="none" w:color="auto"/>
                <w:lang w:val="en-US" w:eastAsia="zh-CN"/>
              </w:rPr>
              <w:t>武溪镇红土溪村</w:t>
            </w:r>
            <w:r>
              <w:rPr>
                <w:rFonts w:ascii="Times New Roman" w:hAnsi="Times New Roman" w:cs="Times New Roman"/>
                <w:sz w:val="24"/>
                <w:u w:val="none" w:color="auto"/>
              </w:rPr>
              <w:t>，根据《湖南省人民政府关于印发&lt;湖南省生态保护红线&gt;的通知》（湘政发〔2018〕20号）和</w:t>
            </w:r>
            <w:r>
              <w:rPr>
                <w:rFonts w:hint="default" w:ascii="Times New Roman" w:hAnsi="Times New Roman" w:cs="Times New Roman"/>
                <w:sz w:val="24"/>
                <w:u w:val="none" w:color="auto"/>
              </w:rPr>
              <w:t>湖南省自然资源厅关于正式启用“三区三线”划定成果的通知</w:t>
            </w:r>
            <w:r>
              <w:rPr>
                <w:rFonts w:ascii="Times New Roman" w:hAnsi="Times New Roman" w:cs="Times New Roman"/>
                <w:sz w:val="24"/>
                <w:u w:val="none" w:color="auto"/>
              </w:rPr>
              <w:t>，</w:t>
            </w:r>
            <w:r>
              <w:rPr>
                <w:rFonts w:hint="default" w:ascii="Times New Roman" w:hAnsi="Times New Roman" w:cs="Times New Roman"/>
                <w:sz w:val="24"/>
                <w:u w:val="none" w:color="auto"/>
                <w:lang w:val="en-US" w:eastAsia="zh-CN"/>
              </w:rPr>
              <w:t>经泸溪县自然资源局核实，</w:t>
            </w:r>
            <w:r>
              <w:rPr>
                <w:rFonts w:ascii="Times New Roman" w:hAnsi="Times New Roman" w:cs="Times New Roman"/>
                <w:sz w:val="24"/>
                <w:u w:val="none" w:color="auto"/>
              </w:rPr>
              <w:t>本项目不在</w:t>
            </w:r>
            <w:r>
              <w:rPr>
                <w:rFonts w:hint="default" w:ascii="Times New Roman" w:hAnsi="Times New Roman" w:cs="Times New Roman"/>
                <w:sz w:val="24"/>
                <w:u w:val="none" w:color="auto"/>
                <w:lang w:val="en-US" w:eastAsia="zh-CN"/>
              </w:rPr>
              <w:t>泸溪县</w:t>
            </w:r>
            <w:r>
              <w:rPr>
                <w:rFonts w:ascii="Times New Roman" w:hAnsi="Times New Roman" w:cs="Times New Roman"/>
                <w:sz w:val="24"/>
                <w:u w:val="none" w:color="auto"/>
              </w:rPr>
              <w:t>生态保护红线范围内</w:t>
            </w:r>
            <w:r>
              <w:rPr>
                <w:rFonts w:hint="default" w:ascii="Times New Roman" w:hAnsi="Times New Roman" w:cs="Times New Roman"/>
                <w:sz w:val="24"/>
                <w:u w:val="none" w:color="auto"/>
                <w:lang w:eastAsia="zh-CN"/>
              </w:rPr>
              <w:t>，</w:t>
            </w:r>
            <w:r>
              <w:rPr>
                <w:rFonts w:hint="default" w:ascii="Times New Roman" w:hAnsi="Times New Roman" w:cs="Times New Roman"/>
                <w:sz w:val="24"/>
                <w:u w:val="none" w:color="auto"/>
                <w:lang w:val="en-US" w:eastAsia="zh-CN"/>
              </w:rPr>
              <w:t>并取得泸溪县自然资源局颁发的土地不动产权证</w:t>
            </w:r>
            <w:r>
              <w:rPr>
                <w:rFonts w:ascii="Times New Roman" w:hAnsi="Times New Roman" w:cs="Times New Roman"/>
                <w:sz w:val="24"/>
                <w:u w:val="none" w:color="auto"/>
              </w:rPr>
              <w:t>，</w:t>
            </w:r>
            <w:r>
              <w:rPr>
                <w:rFonts w:hint="default" w:ascii="Times New Roman" w:hAnsi="Times New Roman" w:cs="Times New Roman"/>
                <w:sz w:val="24"/>
                <w:u w:val="none" w:color="auto"/>
                <w:lang w:val="en-US" w:eastAsia="zh-CN"/>
              </w:rPr>
              <w:t>具体详见附件3</w:t>
            </w:r>
            <w:r>
              <w:rPr>
                <w:rFonts w:ascii="Times New Roman" w:hAnsi="Times New Roman" w:cs="Times New Roman"/>
                <w:sz w:val="24"/>
                <w:highlight w:val="none"/>
                <w:u w:val="none" w:color="auto"/>
              </w:rPr>
              <w:t>。</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②环境质量底线</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项目所在区域的环境空气质量目标为《环境空气质量标准（GB3095-2012）</w:t>
            </w:r>
            <w:r>
              <w:rPr>
                <w:rFonts w:hint="default" w:ascii="Times New Roman" w:hAnsi="Times New Roman" w:cs="Times New Roman"/>
                <w:sz w:val="24"/>
                <w:u w:val="none" w:color="auto"/>
                <w:lang w:val="en-US" w:eastAsia="zh-CN"/>
              </w:rPr>
              <w:t>及2018年修改单中的</w:t>
            </w:r>
            <w:r>
              <w:rPr>
                <w:rFonts w:ascii="Times New Roman" w:hAnsi="Times New Roman" w:cs="Times New Roman"/>
                <w:sz w:val="24"/>
                <w:u w:val="none" w:color="auto"/>
              </w:rPr>
              <w:t>二级，水环境质量目标为《地表水环境质量标准》（GB3838-2002）Ⅲ类标准，声环境质量目标为《声环境质量标准》（GB3096-2008）</w:t>
            </w:r>
            <w:r>
              <w:rPr>
                <w:rFonts w:hint="default" w:ascii="Times New Roman" w:hAnsi="Times New Roman" w:cs="Times New Roman"/>
                <w:sz w:val="24"/>
                <w:u w:val="none" w:color="auto"/>
                <w:lang w:val="en-US" w:eastAsia="zh-CN"/>
              </w:rPr>
              <w:t>2、4a</w:t>
            </w:r>
            <w:r>
              <w:rPr>
                <w:rFonts w:ascii="Times New Roman" w:hAnsi="Times New Roman" w:cs="Times New Roman"/>
                <w:sz w:val="24"/>
                <w:u w:val="none" w:color="auto"/>
              </w:rPr>
              <w:t>类。本项目所产生的废气、废水、噪声经采取措施后能够满足相应标准要求，项目的实施不会导致区域环境质量等级发生改变，不会因本项目的建设而导致区域环境质量突破底线。项目的建设能够满足区域环境质量改善目标的管理要求。</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③资源利用上线</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项目用水来源为市政自来水，地区供水能够满足本项目的新鲜水使用要求。本项目用电由区域电网供应，能够满足本项目的用电要求。</w:t>
            </w:r>
            <w:r>
              <w:rPr>
                <w:rFonts w:hint="default" w:ascii="Times New Roman" w:hAnsi="Times New Roman" w:cs="Times New Roman"/>
                <w:color w:val="000000"/>
                <w:kern w:val="0"/>
                <w:sz w:val="24"/>
                <w:szCs w:val="22"/>
                <w:u w:val="none" w:color="auto"/>
                <w:lang w:val="zh-CN" w:bidi="zh-CN"/>
              </w:rPr>
              <w:t>项目建设不涉及基本农田，</w:t>
            </w:r>
            <w:r>
              <w:rPr>
                <w:rFonts w:hint="default" w:ascii="Times New Roman" w:hAnsi="Times New Roman" w:cs="Times New Roman"/>
                <w:color w:val="000000"/>
                <w:kern w:val="0"/>
                <w:sz w:val="24"/>
                <w:szCs w:val="22"/>
                <w:u w:val="none" w:color="auto"/>
                <w:lang w:val="zh-CN" w:eastAsia="zh-CN" w:bidi="zh-CN"/>
              </w:rPr>
              <w:t>符合项目用地属性。</w:t>
            </w:r>
            <w:r>
              <w:rPr>
                <w:rFonts w:ascii="Times New Roman" w:hAnsi="Times New Roman" w:cs="Times New Roman"/>
                <w:sz w:val="24"/>
                <w:u w:val="none" w:color="auto"/>
              </w:rPr>
              <w:t>因此，项目与资源利用上线符合。</w:t>
            </w:r>
          </w:p>
          <w:p>
            <w:pPr>
              <w:spacing w:line="360" w:lineRule="auto"/>
              <w:ind w:firstLine="480" w:firstLineChars="200"/>
              <w:rPr>
                <w:rFonts w:ascii="Times New Roman" w:hAnsi="Times New Roman" w:cs="Times New Roman"/>
                <w:sz w:val="24"/>
                <w:u w:val="single" w:color="auto"/>
              </w:rPr>
            </w:pPr>
            <w:r>
              <w:rPr>
                <w:rFonts w:ascii="Times New Roman" w:hAnsi="Times New Roman" w:cs="Times New Roman"/>
                <w:sz w:val="24"/>
                <w:u w:val="single" w:color="auto"/>
              </w:rPr>
              <w:t>④环境准入负面清单</w:t>
            </w:r>
          </w:p>
          <w:p>
            <w:pPr>
              <w:spacing w:line="360" w:lineRule="auto"/>
              <w:ind w:firstLine="480" w:firstLineChars="200"/>
              <w:jc w:val="both"/>
              <w:rPr>
                <w:rFonts w:hint="default" w:ascii="Times New Roman" w:hAnsi="Times New Roman" w:eastAsia="宋体" w:cs="Times New Roman"/>
                <w:u w:val="single" w:color="auto"/>
                <w:lang w:eastAsia="zh-CN"/>
              </w:rPr>
            </w:pPr>
            <w:r>
              <w:rPr>
                <w:rFonts w:ascii="Times New Roman" w:hAnsi="Times New Roman" w:cs="Times New Roman"/>
                <w:u w:val="single" w:color="auto"/>
              </w:rPr>
              <w:t>根据国家发展改革委、商务部印发《市场准入负面清单》（202</w:t>
            </w:r>
            <w:r>
              <w:rPr>
                <w:rFonts w:hint="default" w:ascii="Times New Roman" w:hAnsi="Times New Roman" w:cs="Times New Roman"/>
                <w:u w:val="single" w:color="auto"/>
                <w:lang w:val="en-US" w:eastAsia="zh-CN"/>
              </w:rPr>
              <w:t>2</w:t>
            </w:r>
            <w:r>
              <w:rPr>
                <w:rFonts w:ascii="Times New Roman" w:hAnsi="Times New Roman" w:cs="Times New Roman"/>
                <w:u w:val="single" w:color="auto"/>
              </w:rPr>
              <w:t>年版）发改体改规﹝202</w:t>
            </w:r>
            <w:r>
              <w:rPr>
                <w:rFonts w:hint="default" w:ascii="Times New Roman" w:hAnsi="Times New Roman" w:cs="Times New Roman"/>
                <w:u w:val="single" w:color="auto"/>
                <w:lang w:val="en-US" w:eastAsia="zh-CN"/>
              </w:rPr>
              <w:t>2</w:t>
            </w:r>
            <w:r>
              <w:rPr>
                <w:rFonts w:ascii="Times New Roman" w:hAnsi="Times New Roman" w:cs="Times New Roman"/>
                <w:u w:val="single" w:color="auto"/>
              </w:rPr>
              <w:t>﹞</w:t>
            </w:r>
            <w:r>
              <w:rPr>
                <w:rFonts w:hint="default" w:ascii="Times New Roman" w:hAnsi="Times New Roman" w:cs="Times New Roman"/>
                <w:u w:val="single" w:color="auto"/>
                <w:lang w:val="en-US" w:eastAsia="zh-CN"/>
              </w:rPr>
              <w:t>397</w:t>
            </w:r>
            <w:r>
              <w:rPr>
                <w:rFonts w:ascii="Times New Roman" w:hAnsi="Times New Roman" w:cs="Times New Roman"/>
                <w:u w:val="single" w:color="auto"/>
              </w:rPr>
              <w:t>号，本项目不属于禁止准入类项目</w:t>
            </w:r>
            <w:r>
              <w:rPr>
                <w:rFonts w:hint="default" w:ascii="Times New Roman" w:hAnsi="Times New Roman" w:cs="Times New Roman"/>
                <w:u w:val="single" w:color="auto"/>
                <w:lang w:eastAsia="zh-CN"/>
              </w:rPr>
              <w:t>；根据《产业结构调整指导目录（2019年本）》（中华人民共和国国家发展和改革委员会令第</w:t>
            </w:r>
            <w:r>
              <w:rPr>
                <w:rFonts w:hint="default" w:ascii="Times New Roman" w:hAnsi="Times New Roman" w:cs="Times New Roman"/>
                <w:u w:val="single" w:color="auto"/>
                <w:lang w:val="en-US" w:eastAsia="zh-CN"/>
              </w:rPr>
              <w:t>49</w:t>
            </w:r>
            <w:r>
              <w:rPr>
                <w:rFonts w:hint="default" w:ascii="Times New Roman" w:hAnsi="Times New Roman" w:cs="Times New Roman"/>
                <w:u w:val="single" w:color="auto"/>
                <w:lang w:eastAsia="zh-CN"/>
              </w:rPr>
              <w:t>号），项目属于其中的</w:t>
            </w:r>
            <w:r>
              <w:rPr>
                <w:rFonts w:hint="default" w:ascii="Times New Roman" w:hAnsi="Times New Roman" w:cs="Times New Roman"/>
                <w:u w:val="single" w:color="auto"/>
                <w:lang w:val="en-US" w:eastAsia="zh-CN"/>
              </w:rPr>
              <w:t>鼓励</w:t>
            </w:r>
            <w:r>
              <w:rPr>
                <w:rFonts w:hint="default" w:ascii="Times New Roman" w:hAnsi="Times New Roman" w:cs="Times New Roman"/>
                <w:u w:val="single" w:color="auto"/>
                <w:lang w:eastAsia="zh-CN"/>
              </w:rPr>
              <w:t>类</w:t>
            </w:r>
            <w:r>
              <w:rPr>
                <w:rFonts w:hint="default" w:ascii="Times New Roman" w:hAnsi="Times New Roman" w:cs="Times New Roman"/>
                <w:u w:val="single" w:color="auto"/>
                <w:lang w:val="en-US" w:eastAsia="zh-CN"/>
              </w:rPr>
              <w:t>项目</w:t>
            </w:r>
            <w:r>
              <w:rPr>
                <w:rFonts w:hint="default" w:ascii="Times New Roman" w:hAnsi="Times New Roman" w:cs="Times New Roman"/>
                <w:u w:val="single" w:color="auto"/>
                <w:lang w:eastAsia="zh-CN"/>
              </w:rPr>
              <w:t>；</w:t>
            </w:r>
            <w:r>
              <w:rPr>
                <w:rFonts w:ascii="Times New Roman" w:hAnsi="Times New Roman" w:cs="Times New Roman"/>
                <w:u w:val="single" w:color="auto"/>
              </w:rPr>
              <w:t>根据湖南省发展和改革委员会关于印发</w:t>
            </w:r>
            <w:r>
              <w:rPr>
                <w:rFonts w:hint="default" w:ascii="Times New Roman" w:hAnsi="Times New Roman" w:cs="Times New Roman"/>
                <w:u w:val="single" w:color="auto"/>
                <w:lang w:val="zh-CN"/>
              </w:rPr>
              <w:t>《湖南省国家重点生态功能区产业准入负面清单》</w:t>
            </w:r>
            <w:r>
              <w:rPr>
                <w:rFonts w:hint="default" w:ascii="Times New Roman" w:hAnsi="Times New Roman" w:cs="Times New Roman"/>
                <w:u w:val="single" w:color="auto"/>
                <w:lang w:val="en-US" w:eastAsia="zh-CN"/>
              </w:rPr>
              <w:t>（</w:t>
            </w:r>
            <w:r>
              <w:rPr>
                <w:rFonts w:hint="default" w:ascii="Times New Roman" w:hAnsi="Times New Roman" w:cs="Times New Roman"/>
                <w:u w:val="single" w:color="auto"/>
                <w:lang w:val="zh-CN"/>
              </w:rPr>
              <w:t>湘发改规划(20</w:t>
            </w:r>
            <w:r>
              <w:rPr>
                <w:rFonts w:hint="eastAsia" w:cs="Times New Roman"/>
                <w:u w:val="single" w:color="auto"/>
                <w:lang w:val="en-US" w:eastAsia="zh-CN"/>
              </w:rPr>
              <w:t>18</w:t>
            </w:r>
            <w:r>
              <w:rPr>
                <w:rFonts w:hint="default" w:ascii="Times New Roman" w:hAnsi="Times New Roman" w:cs="Times New Roman"/>
                <w:u w:val="single" w:color="auto"/>
                <w:lang w:val="zh-CN"/>
              </w:rPr>
              <w:t>)</w:t>
            </w:r>
            <w:r>
              <w:rPr>
                <w:rFonts w:hint="eastAsia" w:cs="Times New Roman"/>
                <w:u w:val="single" w:color="auto"/>
                <w:lang w:val="en-US" w:eastAsia="zh-CN"/>
              </w:rPr>
              <w:t>373</w:t>
            </w:r>
            <w:r>
              <w:rPr>
                <w:rFonts w:hint="default" w:ascii="Times New Roman" w:hAnsi="Times New Roman" w:cs="Times New Roman"/>
                <w:u w:val="single" w:color="auto"/>
                <w:lang w:val="zh-CN"/>
              </w:rPr>
              <w:t>号</w:t>
            </w:r>
            <w:r>
              <w:rPr>
                <w:rFonts w:hint="default" w:ascii="Times New Roman" w:hAnsi="Times New Roman" w:cs="Times New Roman"/>
                <w:u w:val="single" w:color="auto"/>
                <w:lang w:val="en-US" w:eastAsia="zh-CN"/>
              </w:rPr>
              <w:t>）</w:t>
            </w:r>
            <w:r>
              <w:rPr>
                <w:rFonts w:ascii="Times New Roman" w:hAnsi="Times New Roman" w:cs="Times New Roman"/>
                <w:u w:val="single" w:color="auto"/>
              </w:rPr>
              <w:t>，项目不属于</w:t>
            </w:r>
            <w:r>
              <w:rPr>
                <w:rFonts w:hint="default" w:ascii="Times New Roman" w:hAnsi="Times New Roman" w:cs="Times New Roman"/>
                <w:u w:val="single" w:color="auto"/>
                <w:lang w:val="en-US" w:eastAsia="zh-CN"/>
              </w:rPr>
              <w:t>泸溪县</w:t>
            </w:r>
            <w:r>
              <w:rPr>
                <w:rFonts w:ascii="Times New Roman" w:hAnsi="Times New Roman" w:cs="Times New Roman"/>
                <w:u w:val="single" w:color="auto"/>
              </w:rPr>
              <w:t>产业准入负面清单项目。</w:t>
            </w:r>
            <w:r>
              <w:rPr>
                <w:rFonts w:hint="default" w:ascii="Times New Roman" w:hAnsi="Times New Roman" w:cs="Times New Roman"/>
                <w:u w:val="single" w:color="auto"/>
                <w:lang w:eastAsia="zh-CN"/>
              </w:rPr>
              <w:t>综上，本</w:t>
            </w:r>
            <w:r>
              <w:rPr>
                <w:rFonts w:ascii="Times New Roman" w:hAnsi="Times New Roman" w:cs="Times New Roman"/>
                <w:u w:val="single" w:color="auto"/>
              </w:rPr>
              <w:t>项目不属于国家和地方产业准入负面清单项目</w:t>
            </w:r>
            <w:r>
              <w:rPr>
                <w:rFonts w:hint="default" w:ascii="Times New Roman" w:hAnsi="Times New Roman" w:cs="Times New Roman"/>
                <w:u w:val="single" w:color="auto"/>
                <w:lang w:eastAsia="zh-CN"/>
              </w:rPr>
              <w:t>。</w:t>
            </w:r>
          </w:p>
          <w:p>
            <w:pPr>
              <w:spacing w:line="360" w:lineRule="auto"/>
              <w:ind w:left="0" w:firstLine="0" w:firstLineChars="0"/>
              <w:rPr>
                <w:rFonts w:ascii="Times New Roman" w:hAnsi="Times New Roman" w:cs="Times New Roman"/>
                <w:sz w:val="24"/>
                <w:u w:val="none" w:color="auto"/>
              </w:rPr>
            </w:pPr>
            <w:r>
              <w:rPr>
                <w:rFonts w:ascii="Times New Roman" w:hAnsi="Times New Roman" w:cs="Times New Roman"/>
                <w:b/>
                <w:bCs/>
                <w:sz w:val="24"/>
                <w:u w:val="none" w:color="auto"/>
              </w:rPr>
              <w:t>（2）与湖南省人民政府关于实施“三线一单”生态环境分区管控的意见（湘政发〔2020〕12号）符合性分析</w:t>
            </w:r>
          </w:p>
          <w:p>
            <w:pPr>
              <w:wordWrap/>
              <w:topLinePunct w:val="0"/>
              <w:spacing w:line="360" w:lineRule="auto"/>
              <w:ind w:firstLine="480" w:firstLineChars="200"/>
              <w:rPr>
                <w:rFonts w:ascii="Times New Roman" w:hAnsi="Times New Roman" w:cs="Times New Roman"/>
                <w:color w:val="000000"/>
                <w:kern w:val="0"/>
                <w:szCs w:val="22"/>
                <w:u w:val="none" w:color="auto"/>
                <w:lang w:val="zh-CN" w:bidi="zh-CN"/>
              </w:rPr>
            </w:pPr>
            <w:r>
              <w:rPr>
                <w:rFonts w:ascii="Times New Roman" w:hAnsi="Times New Roman" w:cs="Times New Roman"/>
                <w:sz w:val="24"/>
                <w:u w:val="none" w:color="auto"/>
              </w:rPr>
              <w:t>本项目选址位于</w:t>
            </w:r>
            <w:r>
              <w:rPr>
                <w:rFonts w:hint="default" w:ascii="Times New Roman" w:hAnsi="Times New Roman" w:cs="Times New Roman"/>
                <w:sz w:val="24"/>
                <w:u w:val="none" w:color="auto"/>
                <w:lang w:val="en-US" w:eastAsia="zh-CN"/>
              </w:rPr>
              <w:t>泸溪县</w:t>
            </w:r>
            <w:r>
              <w:rPr>
                <w:rFonts w:hint="default" w:ascii="Times New Roman" w:hAnsi="Times New Roman" w:cs="Times New Roman"/>
                <w:u w:val="none" w:color="auto"/>
                <w:lang w:val="en-US" w:eastAsia="zh-CN"/>
              </w:rPr>
              <w:t>武溪镇红土溪村</w:t>
            </w:r>
            <w:r>
              <w:rPr>
                <w:rFonts w:ascii="Times New Roman" w:hAnsi="Times New Roman" w:cs="Times New Roman"/>
                <w:sz w:val="24"/>
                <w:u w:val="none" w:color="auto"/>
              </w:rPr>
              <w:t>，根据湖南省环境管控单元图，项目所在地属于重点管控单元，项目与湖南省人民政府关于实施“三线一单”生态环境分区管控的意见符合性分析对照表见下表。</w:t>
            </w:r>
          </w:p>
          <w:p>
            <w:pPr>
              <w:pStyle w:val="89"/>
              <w:rPr>
                <w:rFonts w:hint="default" w:ascii="Times New Roman" w:hAnsi="Times New Roman" w:cs="Times New Roman"/>
                <w:u w:val="none" w:color="auto"/>
                <w:lang w:val="en-US"/>
              </w:rPr>
            </w:pPr>
            <w:r>
              <w:rPr>
                <w:rFonts w:hint="default" w:ascii="Times New Roman" w:hAnsi="Times New Roman" w:cs="Times New Roman"/>
                <w:u w:val="none" w:color="auto"/>
                <w:lang w:val="zh-CN"/>
              </w:rPr>
              <w:t>表</w:t>
            </w:r>
            <w:r>
              <w:rPr>
                <w:rFonts w:hint="default" w:ascii="Times New Roman" w:hAnsi="Times New Roman" w:cs="Times New Roman"/>
                <w:u w:val="none" w:color="auto"/>
                <w:lang w:val="en-US"/>
              </w:rPr>
              <w:t>1.</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val="en-US"/>
              </w:rPr>
              <w:t>-1  本项目与湖南省人民政府关于实施“三线一单”生态环境分区管控的意见对照表</w:t>
            </w:r>
          </w:p>
          <w:tbl>
            <w:tblPr>
              <w:tblStyle w:val="29"/>
              <w:tblW w:w="4938" w:type="pct"/>
              <w:jc w:val="center"/>
              <w:tblBorders>
                <w:top w:val="single" w:color="auto" w:sz="8" w:space="0"/>
                <w:left w:val="none" w:color="auto" w:sz="0" w:space="0"/>
                <w:bottom w:val="single" w:color="auto" w:sz="8"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536"/>
              <w:gridCol w:w="893"/>
              <w:gridCol w:w="2160"/>
              <w:gridCol w:w="700"/>
              <w:gridCol w:w="1343"/>
              <w:gridCol w:w="2920"/>
            </w:tblGrid>
            <w:tr>
              <w:tblPrEx>
                <w:tblBorders>
                  <w:top w:val="single" w:color="auto" w:sz="8" w:space="0"/>
                  <w:left w:val="none" w:color="auto" w:sz="0" w:space="0"/>
                  <w:bottom w:val="single" w:color="auto" w:sz="8"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526" w:hRule="atLeast"/>
                <w:jc w:val="center"/>
              </w:trPr>
              <w:tc>
                <w:tcPr>
                  <w:tcW w:w="502" w:type="dxa"/>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eastAsia="zh-CN"/>
                    </w:rPr>
                  </w:pPr>
                  <w:r>
                    <w:rPr>
                      <w:rFonts w:hint="default" w:ascii="Times New Roman" w:hAnsi="Times New Roman" w:eastAsia="宋体" w:cs="Times New Roman"/>
                      <w:b/>
                      <w:bCs/>
                      <w:sz w:val="21"/>
                      <w:szCs w:val="21"/>
                      <w:u w:val="none" w:color="auto"/>
                      <w:lang w:eastAsia="zh-CN"/>
                    </w:rPr>
                    <w:t>序号</w:t>
                  </w:r>
                </w:p>
              </w:tc>
              <w:tc>
                <w:tcPr>
                  <w:tcW w:w="2852" w:type="dxa"/>
                  <w:gridSpan w:val="2"/>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eastAsia="zh-CN"/>
                    </w:rPr>
                  </w:pPr>
                  <w:r>
                    <w:rPr>
                      <w:rFonts w:hint="default" w:ascii="Times New Roman" w:hAnsi="Times New Roman" w:eastAsia="宋体" w:cs="Times New Roman"/>
                      <w:b/>
                      <w:bCs/>
                      <w:sz w:val="21"/>
                      <w:szCs w:val="21"/>
                      <w:u w:val="none" w:color="auto"/>
                      <w:lang w:eastAsia="zh-CN"/>
                    </w:rPr>
                    <w:t>管控对象</w:t>
                  </w:r>
                </w:p>
              </w:tc>
              <w:tc>
                <w:tcPr>
                  <w:tcW w:w="654" w:type="dxa"/>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eastAsia="zh-CN"/>
                    </w:rPr>
                  </w:pPr>
                  <w:r>
                    <w:rPr>
                      <w:rFonts w:hint="default" w:ascii="Times New Roman" w:hAnsi="Times New Roman" w:eastAsia="宋体" w:cs="Times New Roman"/>
                      <w:b/>
                      <w:bCs/>
                      <w:sz w:val="21"/>
                      <w:szCs w:val="21"/>
                      <w:u w:val="none" w:color="auto"/>
                      <w:lang w:eastAsia="zh-CN"/>
                    </w:rPr>
                    <w:t>是否属于</w:t>
                  </w:r>
                </w:p>
              </w:tc>
              <w:tc>
                <w:tcPr>
                  <w:tcW w:w="1255" w:type="dxa"/>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eastAsia="zh-CN"/>
                    </w:rPr>
                  </w:pPr>
                  <w:r>
                    <w:rPr>
                      <w:rFonts w:hint="default" w:ascii="Times New Roman" w:hAnsi="Times New Roman" w:eastAsia="宋体" w:cs="Times New Roman"/>
                      <w:b/>
                      <w:bCs/>
                      <w:sz w:val="21"/>
                      <w:szCs w:val="21"/>
                      <w:u w:val="none" w:color="auto"/>
                      <w:lang w:eastAsia="zh-CN"/>
                    </w:rPr>
                    <w:t>管控要求</w:t>
                  </w:r>
                </w:p>
              </w:tc>
              <w:tc>
                <w:tcPr>
                  <w:tcW w:w="2728" w:type="dxa"/>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eastAsia="zh-CN"/>
                    </w:rPr>
                  </w:pPr>
                  <w:r>
                    <w:rPr>
                      <w:rFonts w:hint="default" w:ascii="Times New Roman" w:hAnsi="Times New Roman" w:eastAsia="宋体" w:cs="Times New Roman"/>
                      <w:b/>
                      <w:bCs/>
                      <w:sz w:val="21"/>
                      <w:szCs w:val="21"/>
                      <w:u w:val="none" w:color="auto"/>
                      <w:lang w:eastAsia="zh-CN"/>
                    </w:rPr>
                    <w:t>符合性分析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5082" w:hRule="atLeast"/>
                <w:jc w:val="center"/>
              </w:trPr>
              <w:tc>
                <w:tcPr>
                  <w:tcW w:w="502"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u w:val="none" w:color="auto"/>
                      <w:lang w:val="en-US" w:eastAsia="zh-CN"/>
                    </w:rPr>
                    <w:t>1</w:t>
                  </w:r>
                </w:p>
              </w:tc>
              <w:tc>
                <w:tcPr>
                  <w:tcW w:w="83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eastAsia="zh-CN"/>
                    </w:rPr>
                    <w:t>大气环境重点管控区</w:t>
                  </w:r>
                </w:p>
              </w:tc>
              <w:tc>
                <w:tcPr>
                  <w:tcW w:w="2018"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eastAsia="zh-CN"/>
                    </w:rPr>
                    <w:t>受体敏感区、布局敏感区、弱扩散区、高排放区</w:t>
                  </w:r>
                </w:p>
              </w:tc>
              <w:tc>
                <w:tcPr>
                  <w:tcW w:w="65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eastAsia="zh-CN"/>
                    </w:rPr>
                    <w:t>属于弱扩散区</w:t>
                  </w:r>
                </w:p>
              </w:tc>
              <w:tc>
                <w:tcPr>
                  <w:tcW w:w="1255" w:type="dxa"/>
                  <w:tcBorders>
                    <w:tl2br w:val="nil"/>
                    <w:tr2bl w:val="nil"/>
                  </w:tcBorders>
                  <w:noWrap w:val="0"/>
                  <w:vAlign w:val="center"/>
                </w:tcPr>
                <w:p>
                  <w:pPr>
                    <w:pStyle w:val="39"/>
                    <w:bidi w:val="0"/>
                    <w:rPr>
                      <w:rFonts w:hint="default" w:ascii="Times New Roman" w:hAnsi="Times New Roman" w:eastAsia="宋体" w:cs="Times New Roman"/>
                      <w:b w:val="0"/>
                      <w:sz w:val="21"/>
                      <w:szCs w:val="21"/>
                      <w:highlight w:val="cyan"/>
                      <w:u w:val="none" w:color="auto"/>
                      <w:lang w:eastAsia="zh-CN"/>
                    </w:rPr>
                  </w:pPr>
                  <w:r>
                    <w:rPr>
                      <w:rFonts w:hint="default" w:ascii="Times New Roman" w:hAnsi="Times New Roman" w:eastAsia="宋体" w:cs="Times New Roman"/>
                      <w:b w:val="0"/>
                      <w:sz w:val="21"/>
                      <w:szCs w:val="21"/>
                      <w:highlight w:val="none"/>
                      <w:u w:val="none" w:color="auto"/>
                      <w:lang w:eastAsia="zh-CN"/>
                    </w:rPr>
                    <w:t>布局敏感区、弱扩散区严格控制涉及大气污染物排放的工业项目准入。</w:t>
                  </w:r>
                </w:p>
              </w:tc>
              <w:tc>
                <w:tcPr>
                  <w:tcW w:w="2728"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u w:val="none" w:color="auto"/>
                      <w:lang w:eastAsia="zh-CN"/>
                    </w:rPr>
                    <w:t>项目产业准</w:t>
                  </w:r>
                  <w:r>
                    <w:rPr>
                      <w:rFonts w:hint="default" w:ascii="Times New Roman" w:hAnsi="Times New Roman" w:eastAsia="宋体" w:cs="Times New Roman"/>
                      <w:b w:val="0"/>
                      <w:sz w:val="21"/>
                      <w:szCs w:val="21"/>
                      <w:highlight w:val="none"/>
                      <w:u w:val="none" w:color="auto"/>
                      <w:lang w:eastAsia="zh-CN"/>
                    </w:rPr>
                    <w:t>入符合《</w:t>
                  </w:r>
                  <w:r>
                    <w:rPr>
                      <w:rFonts w:hint="default" w:ascii="Times New Roman" w:hAnsi="Times New Roman" w:eastAsia="宋体" w:cs="Times New Roman"/>
                      <w:b w:val="0"/>
                      <w:sz w:val="21"/>
                      <w:szCs w:val="21"/>
                      <w:highlight w:val="none"/>
                      <w:u w:val="none" w:color="auto"/>
                      <w:lang w:val="en-US" w:eastAsia="zh-CN"/>
                    </w:rPr>
                    <w:t>泸溪</w:t>
                  </w:r>
                  <w:r>
                    <w:rPr>
                      <w:rFonts w:hint="default" w:ascii="Times New Roman" w:hAnsi="Times New Roman" w:eastAsia="宋体" w:cs="Times New Roman"/>
                      <w:b w:val="0"/>
                      <w:sz w:val="21"/>
                      <w:szCs w:val="21"/>
                      <w:highlight w:val="none"/>
                      <w:u w:val="none" w:color="auto"/>
                      <w:lang w:eastAsia="zh-CN"/>
                    </w:rPr>
                    <w:t>县产业准入负面清单》要求，属“</w:t>
                  </w:r>
                  <w:r>
                    <w:rPr>
                      <w:rFonts w:hint="default" w:ascii="Times New Roman" w:hAnsi="Times New Roman" w:cs="Times New Roman"/>
                      <w:b w:val="0"/>
                      <w:sz w:val="21"/>
                      <w:szCs w:val="21"/>
                      <w:highlight w:val="none"/>
                      <w:u w:val="none" w:color="auto"/>
                      <w:lang w:val="en-US" w:eastAsia="zh-CN"/>
                    </w:rPr>
                    <w:t>十四</w:t>
                  </w:r>
                  <w:r>
                    <w:rPr>
                      <w:rFonts w:hint="default" w:ascii="Times New Roman" w:hAnsi="Times New Roman" w:eastAsia="宋体" w:cs="Times New Roman"/>
                      <w:b w:val="0"/>
                      <w:sz w:val="21"/>
                      <w:szCs w:val="21"/>
                      <w:highlight w:val="none"/>
                      <w:u w:val="none" w:color="auto"/>
                      <w:lang w:eastAsia="zh-CN"/>
                    </w:rPr>
                    <w:t>、</w:t>
                  </w:r>
                  <w:r>
                    <w:rPr>
                      <w:rFonts w:hint="default" w:ascii="Times New Roman" w:hAnsi="Times New Roman" w:cs="Times New Roman"/>
                      <w:b w:val="0"/>
                      <w:sz w:val="21"/>
                      <w:szCs w:val="21"/>
                      <w:highlight w:val="none"/>
                      <w:u w:val="none" w:color="auto"/>
                      <w:lang w:val="en-US" w:eastAsia="zh-CN"/>
                    </w:rPr>
                    <w:t>食品制造业</w:t>
                  </w:r>
                  <w:r>
                    <w:rPr>
                      <w:rFonts w:hint="default" w:ascii="Times New Roman" w:hAnsi="Times New Roman" w:eastAsia="宋体" w:cs="Times New Roman"/>
                      <w:b w:val="0"/>
                      <w:sz w:val="21"/>
                      <w:szCs w:val="21"/>
                      <w:highlight w:val="none"/>
                      <w:u w:val="none" w:color="auto"/>
                      <w:lang w:eastAsia="zh-CN"/>
                    </w:rPr>
                    <w:t>”中“</w:t>
                  </w:r>
                  <w:r>
                    <w:rPr>
                      <w:rFonts w:hint="default" w:ascii="Times New Roman" w:hAnsi="Times New Roman" w:eastAsia="宋体" w:cs="Times New Roman"/>
                      <w:b w:val="0"/>
                      <w:sz w:val="21"/>
                      <w:szCs w:val="21"/>
                      <w:highlight w:val="none"/>
                      <w:u w:val="none" w:color="auto"/>
                      <w:lang w:val="en-US" w:eastAsia="zh-CN"/>
                    </w:rPr>
                    <w:t>米、面制品制造</w:t>
                  </w:r>
                  <w:r>
                    <w:rPr>
                      <w:rFonts w:hint="default" w:ascii="Times New Roman" w:hAnsi="Times New Roman" w:eastAsia="宋体" w:cs="Times New Roman"/>
                      <w:b w:val="0"/>
                      <w:sz w:val="21"/>
                      <w:szCs w:val="21"/>
                      <w:highlight w:val="none"/>
                      <w:u w:val="none" w:color="auto"/>
                      <w:lang w:eastAsia="zh-CN"/>
                    </w:rPr>
                    <w:t>”。</w:t>
                  </w:r>
                  <w:r>
                    <w:rPr>
                      <w:rFonts w:hint="default" w:ascii="Times New Roman" w:hAnsi="Times New Roman" w:eastAsia="宋体" w:cs="Times New Roman"/>
                      <w:b w:val="0"/>
                      <w:sz w:val="21"/>
                      <w:szCs w:val="21"/>
                      <w:highlight w:val="none"/>
                      <w:u w:val="none" w:color="auto"/>
                      <w:lang w:val="en-US" w:eastAsia="zh-CN"/>
                    </w:rPr>
                    <w:t>对照《产业结构调</w:t>
                  </w:r>
                  <w:r>
                    <w:rPr>
                      <w:rFonts w:hint="default" w:ascii="Times New Roman" w:hAnsi="Times New Roman" w:eastAsia="宋体" w:cs="Times New Roman"/>
                      <w:b w:val="0"/>
                      <w:sz w:val="21"/>
                      <w:szCs w:val="21"/>
                      <w:u w:val="none" w:color="auto"/>
                      <w:lang w:val="en-US" w:eastAsia="zh-CN"/>
                    </w:rPr>
                    <w:t>整指导目录（2019年本）》（中华人民共和国国家发展和改革委员会令第29号），本项目属于“第一类 鼓励类”。</w:t>
                  </w:r>
                </w:p>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对照《湖南省“两高”项目管理名录》，</w:t>
                  </w:r>
                  <w:r>
                    <w:rPr>
                      <w:rFonts w:hint="default" w:ascii="Times New Roman" w:hAnsi="Times New Roman" w:eastAsia="宋体" w:cs="Times New Roman"/>
                      <w:b w:val="0"/>
                      <w:sz w:val="21"/>
                      <w:szCs w:val="21"/>
                      <w:highlight w:val="none"/>
                      <w:u w:val="none" w:color="auto"/>
                      <w:lang w:val="en-US" w:eastAsia="zh-CN"/>
                    </w:rPr>
                    <w:t>本项目</w:t>
                  </w:r>
                  <w:r>
                    <w:rPr>
                      <w:rFonts w:hint="default" w:ascii="Times New Roman" w:hAnsi="Times New Roman" w:cs="Times New Roman"/>
                      <w:b w:val="0"/>
                      <w:sz w:val="21"/>
                      <w:szCs w:val="21"/>
                      <w:highlight w:val="none"/>
                      <w:u w:val="none" w:color="auto"/>
                      <w:lang w:val="en-US" w:eastAsia="zh-CN"/>
                    </w:rPr>
                    <w:t>建设单位从节约生产成本的角度考虑，在本次变更中将电锅炉变更为</w:t>
                  </w:r>
                  <w:r>
                    <w:rPr>
                      <w:rFonts w:hint="default" w:ascii="Times New Roman" w:hAnsi="Times New Roman" w:eastAsia="宋体" w:cs="Times New Roman"/>
                      <w:b w:val="0"/>
                      <w:sz w:val="21"/>
                      <w:szCs w:val="21"/>
                      <w:highlight w:val="none"/>
                      <w:u w:val="none" w:color="auto"/>
                      <w:lang w:val="en-US" w:eastAsia="zh-CN"/>
                    </w:rPr>
                    <w:t>生物质</w:t>
                  </w:r>
                  <w:r>
                    <w:rPr>
                      <w:rFonts w:hint="default" w:ascii="Times New Roman" w:hAnsi="Times New Roman" w:cs="Times New Roman"/>
                      <w:b w:val="0"/>
                      <w:sz w:val="21"/>
                      <w:szCs w:val="21"/>
                      <w:highlight w:val="none"/>
                      <w:u w:val="none" w:color="auto"/>
                      <w:lang w:val="en-US" w:eastAsia="zh-CN"/>
                    </w:rPr>
                    <w:t>锅炉</w:t>
                  </w:r>
                  <w:r>
                    <w:rPr>
                      <w:rFonts w:hint="default" w:ascii="Times New Roman" w:hAnsi="Times New Roman" w:eastAsia="宋体" w:cs="Times New Roman"/>
                      <w:b w:val="0"/>
                      <w:sz w:val="21"/>
                      <w:szCs w:val="21"/>
                      <w:highlight w:val="none"/>
                      <w:u w:val="none" w:color="auto"/>
                      <w:lang w:val="en-US" w:eastAsia="zh-CN"/>
                    </w:rPr>
                    <w:t>，不涉及高污染燃料，因此本项目不属于“两高”项目</w:t>
                  </w:r>
                  <w:r>
                    <w:rPr>
                      <w:rFonts w:hint="default" w:ascii="Times New Roman" w:hAnsi="Times New Roman" w:eastAsia="宋体" w:cs="Times New Roman"/>
                      <w:b w:val="0"/>
                      <w:sz w:val="21"/>
                      <w:szCs w:val="21"/>
                      <w:u w:val="none" w:color="auto"/>
                      <w:lang w:val="en-US" w:eastAsia="zh-CN"/>
                    </w:rPr>
                    <w:t>，符合“三线一单”管控要求。项目严格落实大气污染物达标排放、环境影响评价、总量控制、环保设施“三同时”、排污许可等环保制度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2038" w:hRule="atLeast"/>
                <w:jc w:val="center"/>
              </w:trPr>
              <w:tc>
                <w:tcPr>
                  <w:tcW w:w="502"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u w:val="none" w:color="auto"/>
                      <w:lang w:val="en-US" w:eastAsia="zh-CN"/>
                    </w:rPr>
                    <w:t>2</w:t>
                  </w:r>
                </w:p>
              </w:tc>
              <w:tc>
                <w:tcPr>
                  <w:tcW w:w="83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rPr>
                  </w:pPr>
                  <w:r>
                    <w:rPr>
                      <w:rFonts w:hint="default" w:ascii="Times New Roman" w:hAnsi="Times New Roman" w:eastAsia="宋体" w:cs="Times New Roman"/>
                      <w:b w:val="0"/>
                      <w:sz w:val="21"/>
                      <w:szCs w:val="21"/>
                      <w:u w:val="none" w:color="auto"/>
                    </w:rPr>
                    <w:t>水环境重点管控区</w:t>
                  </w:r>
                </w:p>
              </w:tc>
              <w:tc>
                <w:tcPr>
                  <w:tcW w:w="2018"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rPr>
                    <w:t>省级以上产业园区所属水环境控制区域</w:t>
                  </w:r>
                  <w:r>
                    <w:rPr>
                      <w:rFonts w:hint="default" w:ascii="Times New Roman" w:hAnsi="Times New Roman" w:eastAsia="宋体" w:cs="Times New Roman"/>
                      <w:b w:val="0"/>
                      <w:sz w:val="21"/>
                      <w:szCs w:val="21"/>
                      <w:u w:val="none" w:color="auto"/>
                      <w:lang w:eastAsia="zh-CN"/>
                    </w:rPr>
                    <w:t>、水质超标断面所属水环境控制区域、城镇生活污染源所属水环境控制区域、涉重金属矿区所属水环境控制区域</w:t>
                  </w:r>
                </w:p>
              </w:tc>
              <w:tc>
                <w:tcPr>
                  <w:tcW w:w="65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eastAsia="zh-CN"/>
                    </w:rPr>
                    <w:t>属于城镇生活污染源所属水环境控制区域</w:t>
                  </w:r>
                </w:p>
              </w:tc>
              <w:tc>
                <w:tcPr>
                  <w:tcW w:w="1255"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u w:val="none" w:color="auto"/>
                      <w:lang w:val="en-US" w:eastAsia="zh-CN"/>
                    </w:rPr>
                    <w:t>加快城镇污水处理设施建设与改造；全面加强配套管网建设；推进污泥处理处置；严格限制含有毒有害污染物和重金属的工业废水进入城镇污水处理厂</w:t>
                  </w:r>
                </w:p>
              </w:tc>
              <w:tc>
                <w:tcPr>
                  <w:tcW w:w="2728"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highlight w:val="none"/>
                      <w:u w:val="none" w:color="auto"/>
                      <w:lang w:val="en-US" w:eastAsia="zh-CN"/>
                    </w:rPr>
                    <w:t>项目营运期员工生活污水</w:t>
                  </w:r>
                  <w:r>
                    <w:rPr>
                      <w:rFonts w:hint="default" w:ascii="Times New Roman" w:hAnsi="Times New Roman" w:cs="Times New Roman"/>
                      <w:b w:val="0"/>
                      <w:sz w:val="21"/>
                      <w:szCs w:val="21"/>
                      <w:highlight w:val="none"/>
                      <w:u w:val="none" w:color="auto"/>
                      <w:lang w:val="en-US" w:eastAsia="zh-CN"/>
                    </w:rPr>
                    <w:t>及生产废水、检验室废水均由自建污水处理设施处理达标后农灌，不外排，</w:t>
                  </w:r>
                  <w:r>
                    <w:rPr>
                      <w:rFonts w:hint="default" w:ascii="Times New Roman" w:hAnsi="Times New Roman" w:eastAsia="宋体" w:cs="Times New Roman"/>
                      <w:b w:val="0"/>
                      <w:sz w:val="21"/>
                      <w:szCs w:val="21"/>
                      <w:highlight w:val="none"/>
                      <w:u w:val="none" w:color="auto"/>
                      <w:lang w:val="en-US" w:eastAsia="zh-CN"/>
                    </w:rPr>
                    <w:t>处置去向明确合理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2293" w:hRule="atLeast"/>
                <w:jc w:val="center"/>
              </w:trPr>
              <w:tc>
                <w:tcPr>
                  <w:tcW w:w="502"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u w:val="none" w:color="auto"/>
                      <w:lang w:val="en-US" w:eastAsia="zh-CN"/>
                    </w:rPr>
                    <w:t>3</w:t>
                  </w:r>
                </w:p>
              </w:tc>
              <w:tc>
                <w:tcPr>
                  <w:tcW w:w="83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rPr>
                  </w:pPr>
                  <w:r>
                    <w:rPr>
                      <w:rFonts w:hint="default" w:ascii="Times New Roman" w:hAnsi="Times New Roman" w:eastAsia="宋体" w:cs="Times New Roman"/>
                      <w:b w:val="0"/>
                      <w:sz w:val="21"/>
                      <w:szCs w:val="21"/>
                      <w:u w:val="none" w:color="auto"/>
                    </w:rPr>
                    <w:t>土壤环境风险重点管控区</w:t>
                  </w:r>
                </w:p>
              </w:tc>
              <w:tc>
                <w:tcPr>
                  <w:tcW w:w="2018"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rPr>
                    <w:t>农用地污染风险重点管控区</w:t>
                  </w:r>
                  <w:r>
                    <w:rPr>
                      <w:rFonts w:hint="default" w:ascii="Times New Roman" w:hAnsi="Times New Roman" w:eastAsia="宋体" w:cs="Times New Roman"/>
                      <w:b w:val="0"/>
                      <w:sz w:val="21"/>
                      <w:szCs w:val="21"/>
                      <w:u w:val="none" w:color="auto"/>
                      <w:lang w:eastAsia="zh-CN"/>
                    </w:rPr>
                    <w:t>、建设用地污染风险重点管控区，含重金属污染防治重点区域及疑似污染地块、其他土壤环境风险重点管控区，含湖南省矿产资源总体规划中的部、省、市、县级矿区</w:t>
                  </w:r>
                </w:p>
              </w:tc>
              <w:tc>
                <w:tcPr>
                  <w:tcW w:w="65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eastAsia="zh-CN"/>
                    </w:rPr>
                    <w:t>不属于</w:t>
                  </w:r>
                </w:p>
              </w:tc>
              <w:tc>
                <w:tcPr>
                  <w:tcW w:w="1255"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w:t>
                  </w:r>
                </w:p>
              </w:tc>
              <w:tc>
                <w:tcPr>
                  <w:tcW w:w="2728"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771" w:hRule="atLeast"/>
                <w:jc w:val="center"/>
              </w:trPr>
              <w:tc>
                <w:tcPr>
                  <w:tcW w:w="502"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u w:val="none" w:color="auto"/>
                      <w:lang w:val="en-US" w:eastAsia="zh-CN"/>
                    </w:rPr>
                    <w:t>4</w:t>
                  </w:r>
                </w:p>
              </w:tc>
              <w:tc>
                <w:tcPr>
                  <w:tcW w:w="83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rPr>
                  </w:pPr>
                  <w:r>
                    <w:rPr>
                      <w:rFonts w:hint="default" w:ascii="Times New Roman" w:hAnsi="Times New Roman" w:eastAsia="宋体" w:cs="Times New Roman"/>
                      <w:b w:val="0"/>
                      <w:sz w:val="21"/>
                      <w:szCs w:val="21"/>
                      <w:u w:val="none" w:color="auto"/>
                    </w:rPr>
                    <w:t>能源利用重点管控区</w:t>
                  </w:r>
                </w:p>
              </w:tc>
              <w:tc>
                <w:tcPr>
                  <w:tcW w:w="2018"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rPr>
                    <w:t>各城市建成区划定的高污染燃料禁燃区</w:t>
                  </w:r>
                </w:p>
              </w:tc>
              <w:tc>
                <w:tcPr>
                  <w:tcW w:w="65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eastAsia="zh-CN"/>
                    </w:rPr>
                    <w:t>不属于</w:t>
                  </w:r>
                </w:p>
              </w:tc>
              <w:tc>
                <w:tcPr>
                  <w:tcW w:w="1255"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w:t>
                  </w:r>
                </w:p>
              </w:tc>
              <w:tc>
                <w:tcPr>
                  <w:tcW w:w="2728"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532" w:hRule="atLeast"/>
                <w:jc w:val="center"/>
              </w:trPr>
              <w:tc>
                <w:tcPr>
                  <w:tcW w:w="502"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u w:val="none" w:color="auto"/>
                      <w:lang w:val="en-US" w:eastAsia="zh-CN"/>
                    </w:rPr>
                    <w:t>5</w:t>
                  </w:r>
                </w:p>
              </w:tc>
              <w:tc>
                <w:tcPr>
                  <w:tcW w:w="83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rPr>
                  </w:pPr>
                  <w:r>
                    <w:rPr>
                      <w:rFonts w:hint="default" w:ascii="Times New Roman" w:hAnsi="Times New Roman" w:eastAsia="宋体" w:cs="Times New Roman"/>
                      <w:b w:val="0"/>
                      <w:sz w:val="21"/>
                      <w:szCs w:val="21"/>
                      <w:u w:val="none" w:color="auto"/>
                    </w:rPr>
                    <w:t>水资源重点管控区</w:t>
                  </w:r>
                </w:p>
              </w:tc>
              <w:tc>
                <w:tcPr>
                  <w:tcW w:w="2018"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rPr>
                    <w:t>水资源利用重点管控区，含水资源利用效率临界超载（含临界达标）的区域</w:t>
                  </w:r>
                  <w:r>
                    <w:rPr>
                      <w:rFonts w:hint="default" w:ascii="Times New Roman" w:hAnsi="Times New Roman" w:eastAsia="宋体" w:cs="Times New Roman"/>
                      <w:b w:val="0"/>
                      <w:sz w:val="21"/>
                      <w:szCs w:val="21"/>
                      <w:u w:val="none" w:color="auto"/>
                      <w:lang w:eastAsia="zh-CN"/>
                    </w:rPr>
                    <w:t>、生态用水补给区，含生态用水保障不足及临界的区域、</w:t>
                  </w:r>
                </w:p>
              </w:tc>
              <w:tc>
                <w:tcPr>
                  <w:tcW w:w="65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eastAsia="zh-CN"/>
                    </w:rPr>
                    <w:t>不属于</w:t>
                  </w:r>
                </w:p>
              </w:tc>
              <w:tc>
                <w:tcPr>
                  <w:tcW w:w="1255"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w:t>
                  </w:r>
                </w:p>
              </w:tc>
              <w:tc>
                <w:tcPr>
                  <w:tcW w:w="2728"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535" w:hRule="atLeast"/>
                <w:jc w:val="center"/>
              </w:trPr>
              <w:tc>
                <w:tcPr>
                  <w:tcW w:w="502"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rPr>
                  </w:pPr>
                  <w:r>
                    <w:rPr>
                      <w:rFonts w:hint="default" w:ascii="Times New Roman" w:hAnsi="Times New Roman" w:eastAsia="宋体" w:cs="Times New Roman"/>
                      <w:b w:val="0"/>
                      <w:sz w:val="21"/>
                      <w:szCs w:val="21"/>
                      <w:u w:val="none" w:color="auto"/>
                      <w:lang w:val="en-US" w:eastAsia="zh-CN"/>
                    </w:rPr>
                    <w:t>6</w:t>
                  </w:r>
                </w:p>
              </w:tc>
              <w:tc>
                <w:tcPr>
                  <w:tcW w:w="83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rPr>
                  </w:pPr>
                  <w:r>
                    <w:rPr>
                      <w:rFonts w:hint="default" w:ascii="Times New Roman" w:hAnsi="Times New Roman" w:eastAsia="宋体" w:cs="Times New Roman"/>
                      <w:b w:val="0"/>
                      <w:sz w:val="21"/>
                      <w:szCs w:val="21"/>
                      <w:u w:val="none" w:color="auto"/>
                    </w:rPr>
                    <w:t>土地资源重点管控区</w:t>
                  </w:r>
                </w:p>
              </w:tc>
              <w:tc>
                <w:tcPr>
                  <w:tcW w:w="2018"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rPr>
                  </w:pPr>
                  <w:r>
                    <w:rPr>
                      <w:rFonts w:hint="default" w:ascii="Times New Roman" w:hAnsi="Times New Roman" w:eastAsia="宋体" w:cs="Times New Roman"/>
                      <w:b w:val="0"/>
                      <w:sz w:val="21"/>
                      <w:szCs w:val="21"/>
                      <w:u w:val="none" w:color="auto"/>
                    </w:rPr>
                    <w:t>含生态保护红线集中、重度污染农用地或污染地块集中的区域</w:t>
                  </w:r>
                </w:p>
              </w:tc>
              <w:tc>
                <w:tcPr>
                  <w:tcW w:w="654"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eastAsia="zh-CN"/>
                    </w:rPr>
                    <w:t>不属于</w:t>
                  </w:r>
                </w:p>
              </w:tc>
              <w:tc>
                <w:tcPr>
                  <w:tcW w:w="1255"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w:t>
                  </w:r>
                </w:p>
              </w:tc>
              <w:tc>
                <w:tcPr>
                  <w:tcW w:w="2728"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sz w:val="21"/>
                      <w:szCs w:val="21"/>
                      <w:u w:val="none" w:color="auto"/>
                      <w:lang w:eastAsia="zh-CN"/>
                    </w:rPr>
                  </w:pPr>
                  <w:r>
                    <w:rPr>
                      <w:rFonts w:hint="default" w:ascii="Times New Roman" w:hAnsi="Times New Roman" w:eastAsia="宋体" w:cs="Times New Roman"/>
                      <w:b w:val="0"/>
                      <w:sz w:val="21"/>
                      <w:szCs w:val="21"/>
                      <w:u w:val="none" w:color="auto"/>
                      <w:lang w:val="en-US" w:eastAsia="zh-CN"/>
                    </w:rPr>
                    <w:t>/</w:t>
                  </w:r>
                </w:p>
              </w:tc>
            </w:tr>
          </w:tbl>
          <w:p>
            <w:pPr>
              <w:wordWrap w:val="0"/>
              <w:topLinePunct/>
              <w:spacing w:line="360" w:lineRule="auto"/>
              <w:ind w:firstLine="480" w:firstLineChars="200"/>
              <w:jc w:val="left"/>
              <w:rPr>
                <w:rFonts w:ascii="Times New Roman" w:hAnsi="Times New Roman" w:cs="Times New Roman"/>
                <w:color w:val="000000"/>
                <w:kern w:val="0"/>
                <w:sz w:val="24"/>
                <w:szCs w:val="22"/>
                <w:u w:val="none" w:color="auto"/>
                <w:lang w:val="zh-CN" w:bidi="zh-CN"/>
              </w:rPr>
            </w:pPr>
            <w:r>
              <w:rPr>
                <w:rFonts w:hint="default" w:ascii="Times New Roman" w:hAnsi="Times New Roman" w:cs="Times New Roman"/>
                <w:color w:val="000000"/>
                <w:kern w:val="0"/>
                <w:sz w:val="24"/>
                <w:szCs w:val="22"/>
                <w:u w:val="none" w:color="auto"/>
                <w:lang w:val="zh-CN" w:bidi="zh-CN"/>
              </w:rPr>
              <w:t>综上，评价认为本项目在严格落实工程设计及评价要求的各种污染防治及管理措施后，项目符合湖南省人民政府关于实施“三线一单”生态环境分区管控的意见中有关要求。</w:t>
            </w:r>
          </w:p>
          <w:p>
            <w:pPr>
              <w:wordWrap w:val="0"/>
              <w:topLinePunct/>
              <w:spacing w:line="360" w:lineRule="auto"/>
              <w:ind w:firstLine="480" w:firstLineChars="200"/>
              <w:rPr>
                <w:rFonts w:ascii="Times New Roman" w:hAnsi="Times New Roman" w:cs="Times New Roman"/>
                <w:color w:val="000000"/>
                <w:kern w:val="0"/>
                <w:sz w:val="24"/>
                <w:szCs w:val="22"/>
                <w:u w:val="none" w:color="auto"/>
                <w:lang w:val="zh-CN" w:bidi="zh-CN"/>
              </w:rPr>
            </w:pPr>
            <w:r>
              <w:rPr>
                <w:rFonts w:hint="default" w:ascii="Times New Roman" w:hAnsi="Times New Roman" w:cs="Times New Roman"/>
                <w:color w:val="000000"/>
                <w:kern w:val="0"/>
                <w:sz w:val="24"/>
                <w:szCs w:val="22"/>
                <w:u w:val="none" w:color="auto"/>
                <w:lang w:val="zh-CN" w:bidi="zh-CN"/>
              </w:rPr>
              <w:t>（</w:t>
            </w:r>
            <w:r>
              <w:rPr>
                <w:rFonts w:hint="default" w:ascii="Times New Roman" w:hAnsi="Times New Roman" w:cs="Times New Roman"/>
                <w:color w:val="000000"/>
                <w:kern w:val="0"/>
                <w:sz w:val="24"/>
                <w:szCs w:val="22"/>
                <w:u w:val="none" w:color="auto"/>
                <w:lang w:val="en-US" w:bidi="zh-CN"/>
              </w:rPr>
              <w:t>3</w:t>
            </w:r>
            <w:r>
              <w:rPr>
                <w:rFonts w:hint="default" w:ascii="Times New Roman" w:hAnsi="Times New Roman" w:cs="Times New Roman"/>
                <w:color w:val="000000"/>
                <w:kern w:val="0"/>
                <w:sz w:val="24"/>
                <w:szCs w:val="22"/>
                <w:u w:val="none" w:color="auto"/>
                <w:lang w:val="zh-CN" w:bidi="zh-CN"/>
              </w:rPr>
              <w:t>）与湘西州“三线一单”符合性分析</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根据《湖南省环境保护条例》《关于加快实施长江经济带11省（市）及青海省“三线一单”生态环境分区管控的指导意见》、《湖南省人民政府关于实施“三线一单”生态环境分区管控的意见》（湘政发〔2020〕12号）等有关规定，州人民政府组织编制了湘西州“三线一单”（生态保护红线、环境质量底线、资源利用上线和生态环境准入清单），湘西自治州人民政府关于实施“三线一单”生态环境分区管控的意见中指出：</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一、总体要求</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（一）指导思想</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以习近平新时代中国特色社会主义思想为指导，深入践行习近平生态文明思想，全面贯彻党的十九大和十九届二中、三中、四中全会精神，坚定不移走生态优先、绿色发展之路，坚持“守底线、优格局、提质量、保安全”的总体思路，建立以“三线一单”为核心的生态环境分区管控体系，提升生态环境治理体系和治理能力现代化水平，推动生态文明建设迈上新台阶，加快建设美丽开放幸福新湘西。</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（二）基本原则</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保护优先。落实生态保护红线、环境质量底线、资源利用上线硬约束，推动形成绿色发展方式和生活方式，筑牢生态安全屏障，促进精准脱贫和经济社会高质量发展。</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分区管控。根据生态环境功能、自然资源禀赋、经济与社会发展实际，对环境管控单元实施差异化生态环境准入管理，促进环境质量持续改善。</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动态管理。坚持部门协调、上下联动、规划衔接，建立和完善生态环境数据共享体系及成果应用机制，实施动态更新。</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二、分区管控</w:t>
            </w:r>
          </w:p>
          <w:p>
            <w:pPr>
              <w:spacing w:line="360" w:lineRule="auto"/>
              <w:ind w:firstLine="480" w:firstLineChars="200"/>
              <w:rPr>
                <w:rFonts w:ascii="Times New Roman" w:hAnsi="Times New Roman" w:cs="Times New Roman"/>
                <w:sz w:val="24"/>
                <w:u w:val="none" w:color="auto"/>
              </w:rPr>
            </w:pPr>
            <w:r>
              <w:rPr>
                <w:rFonts w:ascii="Times New Roman" w:hAnsi="Times New Roman" w:cs="Times New Roman"/>
                <w:sz w:val="24"/>
                <w:u w:val="none" w:color="auto"/>
              </w:rPr>
              <w:t>（一）管控单元划分。根据省级“三线一单”成果，全州共划定环境管控单元59个，其中：优先保护单元21个，面积占全州国土面积的46.2%；重点管控单元21个（全州9家省级产业园区均划为重点管控单元），面积占比为16.3%；一般管控单元17个，面积占比为37.5%。</w:t>
            </w:r>
          </w:p>
          <w:p>
            <w:pPr>
              <w:pStyle w:val="49"/>
              <w:keepNext w:val="0"/>
              <w:keepLines w:val="0"/>
              <w:pageBreakBefore w:val="0"/>
              <w:widowControl w:val="0"/>
              <w:kinsoku/>
              <w:wordWrap w:val="0"/>
              <w:overflowPunct/>
              <w:topLinePunct w:val="0"/>
              <w:autoSpaceDE w:val="0"/>
              <w:autoSpaceDN w:val="0"/>
              <w:bidi w:val="0"/>
              <w:adjustRightInd w:val="0"/>
              <w:snapToGrid/>
              <w:spacing w:line="360" w:lineRule="auto"/>
              <w:ind w:left="0" w:right="0" w:firstLine="480" w:firstLineChars="200"/>
              <w:jc w:val="both"/>
              <w:textAlignment w:val="auto"/>
              <w:rPr>
                <w:rFonts w:ascii="Times New Roman" w:hAnsi="Times New Roman" w:cs="Times New Roman"/>
                <w:sz w:val="24"/>
                <w:szCs w:val="24"/>
                <w:u w:val="none" w:color="auto"/>
              </w:rPr>
            </w:pPr>
            <w:r>
              <w:rPr>
                <w:rFonts w:ascii="Times New Roman" w:hAnsi="Times New Roman" w:cs="Times New Roman"/>
                <w:sz w:val="24"/>
                <w:szCs w:val="24"/>
                <w:u w:val="none" w:color="auto"/>
              </w:rPr>
              <w:t>（二）总体管控要求。严禁高耗能、高排放等产业转入，提高水源涵养能力，保护森林生态系统，维护生物多样性功能，加强矿区生态治理与修复，强化沅水</w:t>
            </w:r>
            <w:r>
              <w:rPr>
                <w:rFonts w:ascii="Times New Roman" w:hAnsi="Times New Roman" w:cs="Times New Roman"/>
                <w:spacing w:val="-7"/>
                <w:sz w:val="24"/>
                <w:szCs w:val="24"/>
                <w:u w:val="none" w:color="auto"/>
              </w:rPr>
              <w:t>源头防控和流域重金属污染治理。科学推进产城融合发展，优化空间布局和产业</w:t>
            </w:r>
            <w:r>
              <w:rPr>
                <w:rFonts w:ascii="Times New Roman" w:hAnsi="Times New Roman" w:cs="Times New Roman"/>
                <w:spacing w:val="-10"/>
                <w:sz w:val="24"/>
                <w:szCs w:val="24"/>
                <w:u w:val="none" w:color="auto"/>
              </w:rPr>
              <w:t>结构，保护生态空间和城市人居环境；有序推进园区调区扩区，鼓励园区优化整</w:t>
            </w:r>
            <w:r>
              <w:rPr>
                <w:rFonts w:ascii="Times New Roman" w:hAnsi="Times New Roman" w:cs="Times New Roman"/>
                <w:spacing w:val="-11"/>
                <w:sz w:val="24"/>
                <w:szCs w:val="24"/>
                <w:u w:val="none" w:color="auto"/>
              </w:rPr>
              <w:t>合与升级，促进产业向园区集聚；园区积极发展生态工业，加强环境基础设施建</w:t>
            </w:r>
            <w:r>
              <w:rPr>
                <w:rFonts w:ascii="Times New Roman" w:hAnsi="Times New Roman" w:cs="Times New Roman"/>
                <w:sz w:val="24"/>
                <w:szCs w:val="24"/>
                <w:u w:val="none" w:color="auto"/>
              </w:rPr>
              <w:t>设，加快推行区域评估，提升绿色发展水平。</w:t>
            </w:r>
          </w:p>
          <w:p>
            <w:pPr>
              <w:pStyle w:val="49"/>
              <w:spacing w:before="3" w:line="364" w:lineRule="auto"/>
              <w:ind w:left="108" w:right="91" w:firstLine="360"/>
              <w:jc w:val="both"/>
              <w:rPr>
                <w:rFonts w:ascii="Times New Roman" w:hAnsi="Times New Roman" w:cs="Times New Roman"/>
                <w:sz w:val="24"/>
                <w:szCs w:val="24"/>
                <w:u w:val="none" w:color="auto"/>
              </w:rPr>
            </w:pPr>
            <w:r>
              <w:rPr>
                <w:rFonts w:ascii="Times New Roman" w:hAnsi="Times New Roman" w:cs="Times New Roman"/>
                <w:sz w:val="24"/>
                <w:szCs w:val="24"/>
                <w:u w:val="none" w:color="auto"/>
              </w:rPr>
              <w:t>（三）</w:t>
            </w:r>
            <w:r>
              <w:rPr>
                <w:rFonts w:ascii="Times New Roman" w:hAnsi="Times New Roman" w:cs="Times New Roman"/>
                <w:spacing w:val="-1"/>
                <w:sz w:val="24"/>
                <w:szCs w:val="24"/>
                <w:u w:val="none" w:color="auto"/>
              </w:rPr>
              <w:t>清单实施准则。州级生态环境准入清单和省级生态环境准入清单构成</w:t>
            </w:r>
            <w:r>
              <w:rPr>
                <w:rFonts w:ascii="Times New Roman" w:hAnsi="Times New Roman" w:cs="Times New Roman"/>
                <w:spacing w:val="-12"/>
                <w:sz w:val="24"/>
                <w:szCs w:val="24"/>
                <w:u w:val="none" w:color="auto"/>
              </w:rPr>
              <w:t>完整体系，同步执行。根据环境管控单元所在区域、流域和单元内地块的具体属</w:t>
            </w:r>
            <w:r>
              <w:rPr>
                <w:rFonts w:ascii="Times New Roman" w:hAnsi="Times New Roman" w:cs="Times New Roman"/>
                <w:spacing w:val="-11"/>
                <w:sz w:val="24"/>
                <w:szCs w:val="24"/>
                <w:u w:val="none" w:color="auto"/>
              </w:rPr>
              <w:t>性，确定应当执行的管控要求。管控要求的编制依据发生变化调整后，按最新要求执行；管控对象发生变化后，按最新的管控对象进行管控；编制依据废止或失效、具体环境问题解决或特定产业、企业退出以后，经生态环境部门确认，相应</w:t>
            </w:r>
            <w:r>
              <w:rPr>
                <w:rFonts w:ascii="Times New Roman" w:hAnsi="Times New Roman" w:cs="Times New Roman"/>
                <w:spacing w:val="-8"/>
                <w:sz w:val="24"/>
                <w:szCs w:val="24"/>
                <w:u w:val="none" w:color="auto"/>
              </w:rPr>
              <w:t>管控要求不再执行。凡清单未明确禁止且符合国家和湖南省法律法规、规章、政</w:t>
            </w:r>
            <w:r>
              <w:rPr>
                <w:rFonts w:ascii="Times New Roman" w:hAnsi="Times New Roman" w:cs="Times New Roman"/>
                <w:sz w:val="24"/>
                <w:szCs w:val="24"/>
                <w:u w:val="none" w:color="auto"/>
              </w:rPr>
              <w:t>策的建设项目或经营活动，在依法履行必要手续的前提下允许实施。</w:t>
            </w:r>
          </w:p>
          <w:p>
            <w:pPr>
              <w:pStyle w:val="49"/>
              <w:spacing w:before="4" w:line="364" w:lineRule="auto"/>
              <w:ind w:left="108" w:right="90" w:firstLine="480"/>
              <w:jc w:val="both"/>
              <w:rPr>
                <w:rFonts w:ascii="Times New Roman" w:hAnsi="Times New Roman" w:cs="Times New Roman"/>
                <w:sz w:val="24"/>
                <w:szCs w:val="24"/>
                <w:u w:val="none" w:color="auto"/>
              </w:rPr>
            </w:pPr>
            <w:r>
              <w:rPr>
                <w:rFonts w:ascii="Times New Roman" w:hAnsi="Times New Roman" w:cs="Times New Roman"/>
                <w:spacing w:val="-3"/>
                <w:sz w:val="24"/>
                <w:szCs w:val="24"/>
                <w:u w:val="none" w:color="auto"/>
              </w:rPr>
              <w:t>本项目选址位于</w:t>
            </w:r>
            <w:r>
              <w:rPr>
                <w:rFonts w:hint="default" w:ascii="Times New Roman" w:hAnsi="Times New Roman" w:cs="Times New Roman"/>
                <w:sz w:val="24"/>
                <w:u w:val="none" w:color="auto"/>
                <w:lang w:val="en-US" w:eastAsia="zh-CN"/>
              </w:rPr>
              <w:t>泸溪县</w:t>
            </w:r>
            <w:r>
              <w:rPr>
                <w:rFonts w:hint="default" w:ascii="Times New Roman" w:hAnsi="Times New Roman" w:cs="Times New Roman"/>
                <w:u w:val="none" w:color="auto"/>
                <w:lang w:val="en-US" w:eastAsia="zh-CN"/>
              </w:rPr>
              <w:t>武溪镇红土溪村</w:t>
            </w:r>
            <w:r>
              <w:rPr>
                <w:rFonts w:ascii="Times New Roman" w:hAnsi="Times New Roman" w:cs="Times New Roman"/>
                <w:spacing w:val="-36"/>
                <w:sz w:val="24"/>
                <w:szCs w:val="24"/>
                <w:u w:val="none" w:color="auto"/>
              </w:rPr>
              <w:t>，</w:t>
            </w:r>
            <w:r>
              <w:rPr>
                <w:rFonts w:ascii="Times New Roman" w:hAnsi="Times New Roman" w:cs="Times New Roman"/>
                <w:spacing w:val="-12"/>
                <w:sz w:val="24"/>
                <w:szCs w:val="24"/>
                <w:u w:val="none" w:color="auto"/>
              </w:rPr>
              <w:t>选址所在地属于</w:t>
            </w:r>
            <w:r>
              <w:rPr>
                <w:rFonts w:hint="default" w:ascii="Times New Roman" w:hAnsi="Times New Roman" w:cs="Times New Roman"/>
                <w:spacing w:val="-12"/>
                <w:sz w:val="24"/>
                <w:szCs w:val="24"/>
                <w:u w:val="none" w:color="auto"/>
                <w:lang w:val="en-US" w:eastAsia="zh-CN"/>
              </w:rPr>
              <w:t>泸溪重点管控单元</w:t>
            </w:r>
            <w:r>
              <w:rPr>
                <w:rFonts w:ascii="Times New Roman" w:hAnsi="Times New Roman" w:cs="Times New Roman"/>
                <w:spacing w:val="-12"/>
                <w:sz w:val="24"/>
                <w:szCs w:val="24"/>
                <w:u w:val="none" w:color="auto"/>
              </w:rPr>
              <w:t>，建设单位在落实本环评提出的污</w:t>
            </w:r>
            <w:r>
              <w:rPr>
                <w:rFonts w:ascii="Times New Roman" w:hAnsi="Times New Roman" w:cs="Times New Roman"/>
                <w:spacing w:val="-7"/>
                <w:sz w:val="24"/>
                <w:szCs w:val="24"/>
                <w:u w:val="none" w:color="auto"/>
              </w:rPr>
              <w:t>染防治措施后污染物能够实现达标排放，对生态环境影响较小，符合湘西州</w:t>
            </w:r>
            <w:r>
              <w:rPr>
                <w:rFonts w:hint="default" w:ascii="Times New Roman" w:hAnsi="Times New Roman" w:cs="Times New Roman"/>
                <w:spacing w:val="-7"/>
                <w:sz w:val="24"/>
                <w:szCs w:val="24"/>
                <w:u w:val="none" w:color="auto"/>
                <w:lang w:eastAsia="zh-CN"/>
              </w:rPr>
              <w:t>“</w:t>
            </w:r>
            <w:r>
              <w:rPr>
                <w:rFonts w:ascii="Times New Roman" w:hAnsi="Times New Roman" w:cs="Times New Roman"/>
                <w:spacing w:val="-7"/>
                <w:sz w:val="24"/>
                <w:szCs w:val="24"/>
                <w:u w:val="none" w:color="auto"/>
              </w:rPr>
              <w:t>三线</w:t>
            </w:r>
            <w:r>
              <w:rPr>
                <w:rFonts w:ascii="Times New Roman" w:hAnsi="Times New Roman" w:cs="Times New Roman"/>
                <w:sz w:val="24"/>
                <w:szCs w:val="24"/>
                <w:u w:val="none" w:color="auto"/>
              </w:rPr>
              <w:t>一单</w:t>
            </w:r>
            <w:r>
              <w:rPr>
                <w:rFonts w:hint="default" w:ascii="Times New Roman" w:hAnsi="Times New Roman" w:cs="Times New Roman"/>
                <w:spacing w:val="-7"/>
                <w:sz w:val="24"/>
                <w:szCs w:val="24"/>
                <w:u w:val="none" w:color="auto"/>
                <w:lang w:eastAsia="zh-CN"/>
              </w:rPr>
              <w:t>”</w:t>
            </w:r>
            <w:r>
              <w:rPr>
                <w:rFonts w:ascii="Times New Roman" w:hAnsi="Times New Roman" w:cs="Times New Roman"/>
                <w:sz w:val="24"/>
                <w:szCs w:val="24"/>
                <w:u w:val="none" w:color="auto"/>
              </w:rPr>
              <w:t>分区管控要求。</w:t>
            </w:r>
          </w:p>
          <w:p>
            <w:pPr>
              <w:wordWrap/>
              <w:topLinePunct w:val="0"/>
              <w:spacing w:line="360" w:lineRule="auto"/>
              <w:ind w:firstLine="364" w:firstLineChars="200"/>
              <w:rPr>
                <w:rFonts w:ascii="Times New Roman" w:hAnsi="Times New Roman" w:cs="Times New Roman"/>
                <w:color w:val="000000"/>
                <w:kern w:val="0"/>
                <w:szCs w:val="22"/>
                <w:u w:val="none" w:color="auto"/>
                <w:lang w:val="zh-CN" w:bidi="zh-CN"/>
              </w:rPr>
            </w:pPr>
            <w:r>
              <w:rPr>
                <w:rFonts w:ascii="Times New Roman" w:hAnsi="Times New Roman" w:cs="Times New Roman"/>
                <w:spacing w:val="-29"/>
                <w:sz w:val="24"/>
                <w:u w:val="none" w:color="auto"/>
              </w:rPr>
              <w:t>根据《湘西自治州人民政府关于实施“三线一单”生态环境分区管控的意见》，</w:t>
            </w:r>
            <w:r>
              <w:rPr>
                <w:rFonts w:ascii="Times New Roman" w:hAnsi="Times New Roman" w:cs="Times New Roman"/>
                <w:spacing w:val="-118"/>
                <w:sz w:val="24"/>
                <w:u w:val="none" w:color="auto"/>
              </w:rPr>
              <w:t xml:space="preserve"> </w:t>
            </w:r>
            <w:r>
              <w:rPr>
                <w:rFonts w:ascii="Times New Roman" w:hAnsi="Times New Roman" w:cs="Times New Roman"/>
                <w:sz w:val="24"/>
                <w:u w:val="none" w:color="auto"/>
              </w:rPr>
              <w:t>本项目与湘西州生态环境管控基本要求符合性分析以及湘西自治州环境管控单元（</w:t>
            </w:r>
            <w:r>
              <w:rPr>
                <w:rFonts w:hint="default" w:ascii="Times New Roman" w:hAnsi="Times New Roman" w:cs="Times New Roman"/>
                <w:sz w:val="24"/>
                <w:u w:val="none" w:color="auto"/>
                <w:lang w:val="en-US" w:eastAsia="zh-CN"/>
              </w:rPr>
              <w:t>泸溪县</w:t>
            </w:r>
            <w:r>
              <w:rPr>
                <w:rFonts w:hint="default" w:ascii="Times New Roman" w:hAnsi="Times New Roman" w:cs="Times New Roman"/>
                <w:u w:val="none" w:color="auto"/>
                <w:lang w:val="en-US" w:eastAsia="zh-CN"/>
              </w:rPr>
              <w:t>武溪镇</w:t>
            </w:r>
            <w:r>
              <w:rPr>
                <w:rFonts w:ascii="Times New Roman" w:hAnsi="Times New Roman" w:cs="Times New Roman"/>
                <w:sz w:val="24"/>
                <w:u w:val="none" w:color="auto"/>
              </w:rPr>
              <w:t>）生态环境准入清单符合性分析见下表。</w:t>
            </w:r>
          </w:p>
          <w:p>
            <w:pPr>
              <w:pStyle w:val="43"/>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zh-CN"/>
              </w:rPr>
              <w:t>表</w:t>
            </w:r>
            <w:r>
              <w:rPr>
                <w:rFonts w:hint="default" w:ascii="Times New Roman" w:hAnsi="Times New Roman" w:cs="Times New Roman"/>
                <w:sz w:val="21"/>
                <w:szCs w:val="21"/>
                <w:u w:val="none" w:color="auto"/>
                <w:lang w:val="en-US" w:eastAsia="zh-CN"/>
              </w:rPr>
              <w:t xml:space="preserve"> 1.1-2  项目与湘西州生态环境管控基本要求符合性分析</w:t>
            </w:r>
          </w:p>
          <w:tbl>
            <w:tblPr>
              <w:tblStyle w:val="29"/>
              <w:tblW w:w="4945"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007"/>
              <w:gridCol w:w="3414"/>
              <w:gridCol w:w="3079"/>
              <w:gridCol w:w="106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b/>
                      <w:bCs/>
                      <w:sz w:val="21"/>
                      <w:szCs w:val="21"/>
                      <w:u w:val="none" w:color="auto"/>
                      <w:vertAlign w:val="baseline"/>
                      <w:lang w:val="zh-CN"/>
                    </w:rPr>
                  </w:pPr>
                  <w:r>
                    <w:rPr>
                      <w:rFonts w:hint="default" w:ascii="Times New Roman" w:hAnsi="Times New Roman" w:cs="Times New Roman"/>
                      <w:b/>
                      <w:bCs/>
                      <w:sz w:val="21"/>
                      <w:szCs w:val="21"/>
                      <w:u w:val="none" w:color="auto"/>
                      <w:vertAlign w:val="baseline"/>
                      <w:lang w:val="zh-CN"/>
                    </w:rPr>
                    <w:t>序号</w:t>
                  </w:r>
                </w:p>
              </w:tc>
              <w:tc>
                <w:tcPr>
                  <w:tcW w:w="1993"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b/>
                      <w:bCs/>
                      <w:sz w:val="21"/>
                      <w:szCs w:val="21"/>
                      <w:u w:val="none" w:color="auto"/>
                      <w:vertAlign w:val="baseline"/>
                      <w:lang w:val="zh-CN"/>
                    </w:rPr>
                  </w:pPr>
                  <w:r>
                    <w:rPr>
                      <w:rFonts w:hint="default" w:ascii="Times New Roman" w:hAnsi="Times New Roman" w:cs="Times New Roman"/>
                      <w:b/>
                      <w:bCs/>
                      <w:sz w:val="21"/>
                      <w:szCs w:val="21"/>
                      <w:u w:val="none" w:color="auto"/>
                      <w:vertAlign w:val="baseline"/>
                      <w:lang w:val="zh-CN"/>
                    </w:rPr>
                    <w:t>管控要求</w:t>
                  </w:r>
                </w:p>
              </w:tc>
              <w:tc>
                <w:tcPr>
                  <w:tcW w:w="1797"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b/>
                      <w:bCs/>
                      <w:sz w:val="21"/>
                      <w:szCs w:val="21"/>
                      <w:u w:val="none" w:color="auto"/>
                      <w:vertAlign w:val="baseline"/>
                      <w:lang w:val="zh-CN"/>
                    </w:rPr>
                  </w:pPr>
                  <w:r>
                    <w:rPr>
                      <w:rFonts w:hint="default" w:ascii="Times New Roman" w:hAnsi="Times New Roman" w:cs="Times New Roman"/>
                      <w:b/>
                      <w:bCs/>
                      <w:sz w:val="21"/>
                      <w:szCs w:val="21"/>
                      <w:u w:val="none" w:color="auto"/>
                      <w:vertAlign w:val="baseline"/>
                      <w:lang w:val="zh-CN"/>
                    </w:rPr>
                    <w:t>本项目</w:t>
                  </w:r>
                </w:p>
              </w:tc>
              <w:tc>
                <w:tcPr>
                  <w:tcW w:w="620"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b/>
                      <w:bCs/>
                      <w:sz w:val="21"/>
                      <w:szCs w:val="21"/>
                      <w:u w:val="none" w:color="auto"/>
                      <w:vertAlign w:val="baseline"/>
                      <w:lang w:val="zh-CN"/>
                    </w:rPr>
                  </w:pPr>
                  <w:r>
                    <w:rPr>
                      <w:rFonts w:hint="default" w:ascii="Times New Roman" w:hAnsi="Times New Roman" w:cs="Times New Roman"/>
                      <w:b/>
                      <w:bCs/>
                      <w:sz w:val="21"/>
                      <w:szCs w:val="21"/>
                      <w:u w:val="none" w:color="auto"/>
                      <w:vertAlign w:val="baseline"/>
                      <w:lang w:val="zh-CN"/>
                    </w:rPr>
                    <w:t>符合性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一</w:t>
                  </w:r>
                </w:p>
              </w:tc>
              <w:tc>
                <w:tcPr>
                  <w:tcW w:w="4411" w:type="pct"/>
                  <w:gridSpan w:val="3"/>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落实差别准入，强化空间管控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99"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1</w:t>
                  </w:r>
                </w:p>
              </w:tc>
              <w:tc>
                <w:tcPr>
                  <w:tcW w:w="1993"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全面实施市场准入负面清单制度，清单以外的行业、领域、业务等，各类市场主体均可依法平等进入，不得设置附加条件、歧视性条款和准入门槛</w:t>
                  </w:r>
                </w:p>
              </w:tc>
              <w:tc>
                <w:tcPr>
                  <w:tcW w:w="1797" w:type="pct"/>
                  <w:vMerge w:val="restar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highlight w:val="none"/>
                      <w:u w:val="none" w:color="auto"/>
                      <w:vertAlign w:val="baseline"/>
                      <w:lang w:val="zh-CN"/>
                    </w:rPr>
                    <w:t>项目</w:t>
                  </w:r>
                  <w:r>
                    <w:rPr>
                      <w:rFonts w:hint="default" w:ascii="Times New Roman" w:hAnsi="Times New Roman" w:cs="Times New Roman"/>
                      <w:sz w:val="21"/>
                      <w:szCs w:val="21"/>
                      <w:highlight w:val="none"/>
                      <w:u w:val="none" w:color="auto"/>
                      <w:vertAlign w:val="baseline"/>
                      <w:lang w:val="en-US" w:eastAsia="zh-CN"/>
                    </w:rPr>
                    <w:t>属于</w:t>
                  </w:r>
                  <w:r>
                    <w:rPr>
                      <w:rFonts w:hint="default" w:ascii="Times New Roman" w:hAnsi="Times New Roman" w:eastAsia="宋体" w:cs="Times New Roman"/>
                      <w:sz w:val="21"/>
                      <w:szCs w:val="21"/>
                      <w:highlight w:val="none"/>
                      <w:u w:val="none" w:color="auto"/>
                      <w:lang w:eastAsia="zh-CN"/>
                    </w:rPr>
                    <w:t>属</w:t>
                  </w:r>
                  <w:r>
                    <w:rPr>
                      <w:rFonts w:hint="default" w:ascii="Times New Roman" w:hAnsi="Times New Roman" w:eastAsia="宋体" w:cs="Times New Roman"/>
                      <w:b w:val="0"/>
                      <w:sz w:val="21"/>
                      <w:szCs w:val="21"/>
                      <w:highlight w:val="none"/>
                      <w:u w:val="none" w:color="auto"/>
                      <w:lang w:eastAsia="zh-CN"/>
                    </w:rPr>
                    <w:t>“</w:t>
                  </w:r>
                  <w:r>
                    <w:rPr>
                      <w:rFonts w:hint="default" w:ascii="Times New Roman" w:hAnsi="Times New Roman" w:cs="Times New Roman"/>
                      <w:b w:val="0"/>
                      <w:sz w:val="21"/>
                      <w:szCs w:val="21"/>
                      <w:highlight w:val="none"/>
                      <w:u w:val="none" w:color="auto"/>
                      <w:lang w:val="en-US" w:eastAsia="zh-CN"/>
                    </w:rPr>
                    <w:t>十四</w:t>
                  </w:r>
                  <w:r>
                    <w:rPr>
                      <w:rFonts w:hint="default" w:ascii="Times New Roman" w:hAnsi="Times New Roman" w:eastAsia="宋体" w:cs="Times New Roman"/>
                      <w:b w:val="0"/>
                      <w:sz w:val="21"/>
                      <w:szCs w:val="21"/>
                      <w:highlight w:val="none"/>
                      <w:u w:val="none" w:color="auto"/>
                      <w:lang w:eastAsia="zh-CN"/>
                    </w:rPr>
                    <w:t>、</w:t>
                  </w:r>
                  <w:r>
                    <w:rPr>
                      <w:rFonts w:hint="default" w:ascii="Times New Roman" w:hAnsi="Times New Roman" w:cs="Times New Roman"/>
                      <w:b w:val="0"/>
                      <w:sz w:val="21"/>
                      <w:szCs w:val="21"/>
                      <w:highlight w:val="none"/>
                      <w:u w:val="none" w:color="auto"/>
                      <w:lang w:val="en-US" w:eastAsia="zh-CN"/>
                    </w:rPr>
                    <w:t>食品制造业</w:t>
                  </w:r>
                  <w:r>
                    <w:rPr>
                      <w:rFonts w:hint="default" w:ascii="Times New Roman" w:hAnsi="Times New Roman" w:eastAsia="宋体" w:cs="Times New Roman"/>
                      <w:b w:val="0"/>
                      <w:sz w:val="21"/>
                      <w:szCs w:val="21"/>
                      <w:highlight w:val="none"/>
                      <w:u w:val="none" w:color="auto"/>
                      <w:lang w:eastAsia="zh-CN"/>
                    </w:rPr>
                    <w:t>”中“</w:t>
                  </w:r>
                  <w:r>
                    <w:rPr>
                      <w:rFonts w:hint="default" w:ascii="Times New Roman" w:hAnsi="Times New Roman" w:eastAsia="宋体" w:cs="Times New Roman"/>
                      <w:b w:val="0"/>
                      <w:sz w:val="21"/>
                      <w:szCs w:val="21"/>
                      <w:highlight w:val="none"/>
                      <w:u w:val="none" w:color="auto"/>
                      <w:lang w:val="en-US" w:eastAsia="zh-CN"/>
                    </w:rPr>
                    <w:t>米、面制品制造</w:t>
                  </w:r>
                  <w:r>
                    <w:rPr>
                      <w:rFonts w:hint="default" w:ascii="Times New Roman" w:hAnsi="Times New Roman" w:eastAsia="宋体" w:cs="Times New Roman"/>
                      <w:b w:val="0"/>
                      <w:sz w:val="21"/>
                      <w:szCs w:val="21"/>
                      <w:highlight w:val="none"/>
                      <w:u w:val="none" w:color="auto"/>
                      <w:lang w:eastAsia="zh-CN"/>
                    </w:rPr>
                    <w:t>”</w:t>
                  </w:r>
                  <w:r>
                    <w:rPr>
                      <w:rFonts w:hint="default" w:ascii="Times New Roman" w:hAnsi="Times New Roman" w:cs="Times New Roman"/>
                      <w:sz w:val="21"/>
                      <w:szCs w:val="21"/>
                      <w:highlight w:val="none"/>
                      <w:u w:val="none" w:color="auto"/>
                      <w:vertAlign w:val="baseline"/>
                      <w:lang w:val="en-US" w:eastAsia="zh-CN"/>
                    </w:rPr>
                    <w:t>，</w:t>
                  </w:r>
                  <w:r>
                    <w:rPr>
                      <w:rFonts w:hint="default" w:ascii="Times New Roman" w:hAnsi="Times New Roman" w:cs="Times New Roman"/>
                      <w:sz w:val="21"/>
                      <w:szCs w:val="21"/>
                      <w:u w:val="none" w:color="auto"/>
                      <w:vertAlign w:val="baseline"/>
                      <w:lang w:val="zh-CN"/>
                    </w:rPr>
                    <w:t>不属于湖南省国家重点生态功能区产业准入负面清单项目；本项目不属于《市场准入负面清单》（20</w:t>
                  </w:r>
                  <w:r>
                    <w:rPr>
                      <w:rFonts w:hint="default" w:ascii="Times New Roman" w:hAnsi="Times New Roman" w:cs="Times New Roman"/>
                      <w:sz w:val="21"/>
                      <w:szCs w:val="21"/>
                      <w:u w:val="none" w:color="auto"/>
                      <w:vertAlign w:val="baseline"/>
                      <w:lang w:val="en-US" w:eastAsia="zh-CN"/>
                    </w:rPr>
                    <w:t>22</w:t>
                  </w:r>
                  <w:r>
                    <w:rPr>
                      <w:rFonts w:hint="default" w:ascii="Times New Roman" w:hAnsi="Times New Roman" w:cs="Times New Roman"/>
                      <w:sz w:val="21"/>
                      <w:szCs w:val="21"/>
                      <w:u w:val="none" w:color="auto"/>
                      <w:vertAlign w:val="baseline"/>
                      <w:lang w:val="zh-CN"/>
                    </w:rPr>
                    <w:t>年版）发改体改规﹝20</w:t>
                  </w:r>
                  <w:r>
                    <w:rPr>
                      <w:rFonts w:hint="default" w:ascii="Times New Roman" w:hAnsi="Times New Roman" w:cs="Times New Roman"/>
                      <w:sz w:val="21"/>
                      <w:szCs w:val="21"/>
                      <w:u w:val="none" w:color="auto"/>
                      <w:vertAlign w:val="baseline"/>
                      <w:lang w:val="en-US" w:eastAsia="zh-CN"/>
                    </w:rPr>
                    <w:t>22</w:t>
                  </w:r>
                  <w:r>
                    <w:rPr>
                      <w:rFonts w:hint="default" w:ascii="Times New Roman" w:hAnsi="Times New Roman" w:cs="Times New Roman"/>
                      <w:sz w:val="21"/>
                      <w:szCs w:val="21"/>
                      <w:u w:val="none" w:color="auto"/>
                      <w:vertAlign w:val="baseline"/>
                      <w:lang w:val="zh-CN"/>
                    </w:rPr>
                    <w:t>﹞</w:t>
                  </w:r>
                  <w:r>
                    <w:rPr>
                      <w:rFonts w:hint="default" w:ascii="Times New Roman" w:hAnsi="Times New Roman" w:cs="Times New Roman"/>
                      <w:sz w:val="21"/>
                      <w:szCs w:val="21"/>
                      <w:u w:val="none" w:color="auto"/>
                      <w:vertAlign w:val="baseline"/>
                      <w:lang w:val="en-US" w:eastAsia="zh-CN"/>
                    </w:rPr>
                    <w:t>367</w:t>
                  </w:r>
                  <w:r>
                    <w:rPr>
                      <w:rFonts w:hint="default" w:ascii="Times New Roman" w:hAnsi="Times New Roman" w:cs="Times New Roman"/>
                      <w:sz w:val="21"/>
                      <w:szCs w:val="21"/>
                      <w:u w:val="none" w:color="auto"/>
                      <w:vertAlign w:val="baseline"/>
                      <w:lang w:val="zh-CN"/>
                    </w:rPr>
                    <w:t>号中禁止准入类事项，项目不属于国家和地方产业准入负面清单项目</w:t>
                  </w:r>
                </w:p>
              </w:tc>
              <w:tc>
                <w:tcPr>
                  <w:tcW w:w="620"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2</w:t>
                  </w:r>
                </w:p>
              </w:tc>
              <w:tc>
                <w:tcPr>
                  <w:tcW w:w="1993"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zh-CN"/>
                    </w:rPr>
                    <w:t>湘西州全境均属国家级重点生态功能区，</w:t>
                  </w:r>
                  <w:r>
                    <w:rPr>
                      <w:rFonts w:hint="default" w:ascii="Times New Roman" w:hAnsi="Times New Roman" w:cs="Times New Roman"/>
                      <w:sz w:val="21"/>
                      <w:szCs w:val="21"/>
                      <w:u w:val="none" w:color="auto"/>
                      <w:vertAlign w:val="baseline"/>
                      <w:lang w:val="en-US" w:eastAsia="zh-CN"/>
                    </w:rPr>
                    <w:t>泸溪</w:t>
                  </w:r>
                  <w:r>
                    <w:rPr>
                      <w:rFonts w:hint="default" w:ascii="Times New Roman" w:hAnsi="Times New Roman" w:cs="Times New Roman"/>
                      <w:sz w:val="21"/>
                      <w:szCs w:val="21"/>
                      <w:u w:val="none" w:color="auto"/>
                      <w:vertAlign w:val="baseline"/>
                      <w:lang w:val="zh-CN"/>
                    </w:rPr>
                    <w:t>县执行《湖南省国家重点生</w:t>
                  </w:r>
                  <w:r>
                    <w:rPr>
                      <w:rFonts w:hint="default" w:ascii="Times New Roman" w:hAnsi="Times New Roman" w:cs="Times New Roman"/>
                      <w:sz w:val="21"/>
                      <w:szCs w:val="21"/>
                      <w:highlight w:val="none"/>
                      <w:u w:val="none" w:color="auto"/>
                      <w:vertAlign w:val="baseline"/>
                      <w:lang w:val="zh-CN"/>
                    </w:rPr>
                    <w:t>态功能区产业准入负面清单（</w:t>
                  </w:r>
                  <w:r>
                    <w:rPr>
                      <w:rFonts w:hint="default" w:ascii="Times New Roman" w:hAnsi="Times New Roman" w:cs="Times New Roman"/>
                      <w:sz w:val="21"/>
                      <w:szCs w:val="21"/>
                      <w:highlight w:val="none"/>
                      <w:u w:val="none" w:color="auto"/>
                      <w:vertAlign w:val="baseline"/>
                      <w:lang w:val="en-US" w:eastAsia="zh-CN"/>
                    </w:rPr>
                    <w:t>试行</w:t>
                  </w:r>
                  <w:r>
                    <w:rPr>
                      <w:rFonts w:hint="default" w:ascii="Times New Roman" w:hAnsi="Times New Roman" w:cs="Times New Roman"/>
                      <w:sz w:val="21"/>
                      <w:szCs w:val="21"/>
                      <w:highlight w:val="none"/>
                      <w:u w:val="none" w:color="auto"/>
                      <w:vertAlign w:val="baseline"/>
                      <w:lang w:val="zh-CN"/>
                    </w:rPr>
                    <w:t>）》（湘发改规划〔201</w:t>
                  </w:r>
                  <w:r>
                    <w:rPr>
                      <w:rFonts w:hint="default" w:ascii="Times New Roman" w:hAnsi="Times New Roman" w:cs="Times New Roman"/>
                      <w:sz w:val="21"/>
                      <w:szCs w:val="21"/>
                      <w:highlight w:val="none"/>
                      <w:u w:val="none" w:color="auto"/>
                      <w:vertAlign w:val="baseline"/>
                      <w:lang w:val="en-US" w:eastAsia="zh-CN"/>
                    </w:rPr>
                    <w:t>6</w:t>
                  </w:r>
                  <w:r>
                    <w:rPr>
                      <w:rFonts w:hint="default" w:ascii="Times New Roman" w:hAnsi="Times New Roman" w:cs="Times New Roman"/>
                      <w:sz w:val="21"/>
                      <w:szCs w:val="21"/>
                      <w:highlight w:val="none"/>
                      <w:u w:val="none" w:color="auto"/>
                      <w:vertAlign w:val="baseline"/>
                      <w:lang w:val="zh-CN"/>
                    </w:rPr>
                    <w:t>〕</w:t>
                  </w:r>
                  <w:r>
                    <w:rPr>
                      <w:rFonts w:hint="default" w:ascii="Times New Roman" w:hAnsi="Times New Roman" w:cs="Times New Roman"/>
                      <w:sz w:val="21"/>
                      <w:szCs w:val="21"/>
                      <w:highlight w:val="none"/>
                      <w:u w:val="none" w:color="auto"/>
                      <w:vertAlign w:val="baseline"/>
                      <w:lang w:val="en-US" w:eastAsia="zh-CN"/>
                    </w:rPr>
                    <w:t>659</w:t>
                  </w:r>
                  <w:r>
                    <w:rPr>
                      <w:rFonts w:hint="default" w:ascii="Times New Roman" w:hAnsi="Times New Roman" w:cs="Times New Roman"/>
                      <w:sz w:val="21"/>
                      <w:szCs w:val="21"/>
                      <w:highlight w:val="none"/>
                      <w:u w:val="none" w:color="auto"/>
                      <w:vertAlign w:val="baseline"/>
                      <w:lang w:val="zh-CN"/>
                    </w:rPr>
                    <w:t>号）的“</w:t>
                  </w:r>
                  <w:r>
                    <w:rPr>
                      <w:rFonts w:hint="default" w:ascii="Times New Roman" w:hAnsi="Times New Roman" w:cs="Times New Roman"/>
                      <w:sz w:val="21"/>
                      <w:szCs w:val="21"/>
                      <w:highlight w:val="none"/>
                      <w:u w:val="none" w:color="auto"/>
                      <w:vertAlign w:val="baseline"/>
                      <w:lang w:val="en-US" w:eastAsia="zh-CN"/>
                    </w:rPr>
                    <w:t>16</w:t>
                  </w:r>
                  <w:r>
                    <w:rPr>
                      <w:rFonts w:hint="default" w:ascii="Times New Roman" w:hAnsi="Times New Roman" w:cs="Times New Roman"/>
                      <w:sz w:val="21"/>
                      <w:szCs w:val="21"/>
                      <w:highlight w:val="none"/>
                      <w:u w:val="none" w:color="auto"/>
                      <w:vertAlign w:val="baseline"/>
                      <w:lang w:val="zh-CN"/>
                    </w:rPr>
                    <w:t>、</w:t>
                  </w:r>
                  <w:r>
                    <w:rPr>
                      <w:rFonts w:hint="default" w:ascii="Times New Roman" w:hAnsi="Times New Roman" w:cs="Times New Roman"/>
                      <w:sz w:val="21"/>
                      <w:szCs w:val="21"/>
                      <w:highlight w:val="none"/>
                      <w:u w:val="none" w:color="auto"/>
                      <w:vertAlign w:val="baseline"/>
                      <w:lang w:val="en-US" w:eastAsia="zh-CN"/>
                    </w:rPr>
                    <w:t>泸溪</w:t>
                  </w:r>
                  <w:r>
                    <w:rPr>
                      <w:rFonts w:hint="default" w:ascii="Times New Roman" w:hAnsi="Times New Roman" w:cs="Times New Roman"/>
                      <w:sz w:val="21"/>
                      <w:szCs w:val="21"/>
                      <w:highlight w:val="none"/>
                      <w:u w:val="none" w:color="auto"/>
                      <w:vertAlign w:val="baseline"/>
                      <w:lang w:val="zh-CN"/>
                    </w:rPr>
                    <w:t>县产业准入负面清单”</w:t>
                  </w:r>
                  <w:r>
                    <w:rPr>
                      <w:rFonts w:hint="default" w:ascii="Times New Roman" w:hAnsi="Times New Roman" w:cs="Times New Roman"/>
                      <w:sz w:val="21"/>
                      <w:szCs w:val="21"/>
                      <w:highlight w:val="none"/>
                      <w:u w:val="none" w:color="auto"/>
                      <w:vertAlign w:val="baseline"/>
                      <w:lang w:val="en-US" w:eastAsia="zh-CN"/>
                    </w:rPr>
                    <w:t>。</w:t>
                  </w:r>
                </w:p>
              </w:tc>
              <w:tc>
                <w:tcPr>
                  <w:tcW w:w="1797"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p>
              </w:tc>
              <w:tc>
                <w:tcPr>
                  <w:tcW w:w="620"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二</w:t>
                  </w:r>
                </w:p>
              </w:tc>
              <w:tc>
                <w:tcPr>
                  <w:tcW w:w="4411" w:type="pct"/>
                  <w:gridSpan w:val="3"/>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加强污染防治，改善环境质量</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08"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1</w:t>
                  </w:r>
                </w:p>
              </w:tc>
              <w:tc>
                <w:tcPr>
                  <w:tcW w:w="1993"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严格控制排污总量。实施环境影响评价总量前置，新、改、扩建项目主要污染物实行减量替代</w:t>
                  </w:r>
                </w:p>
              </w:tc>
              <w:tc>
                <w:tcPr>
                  <w:tcW w:w="1797"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cs="Times New Roman"/>
                      <w:sz w:val="21"/>
                      <w:szCs w:val="21"/>
                      <w:highlight w:val="none"/>
                      <w:u w:val="none" w:color="auto"/>
                      <w:vertAlign w:val="baseline"/>
                      <w:lang w:val="en-US" w:eastAsia="zh-CN"/>
                    </w:rPr>
                    <w:t>根据本项目工程特征及污染物排放特征分析，无废水外排，故不设置废水总量控制指标；项目所使用的蒸汽发生器采用生物质颗粒作为燃料，产生的废气经排气筒高空排放，废气特征污染物为二氧化硫、氮氧化物，确定项目特征污染物为SO</w:t>
                  </w:r>
                  <w:r>
                    <w:rPr>
                      <w:rFonts w:hint="default" w:ascii="Times New Roman" w:hAnsi="Times New Roman" w:cs="Times New Roman"/>
                      <w:sz w:val="21"/>
                      <w:szCs w:val="21"/>
                      <w:highlight w:val="none"/>
                      <w:u w:val="none" w:color="auto"/>
                      <w:vertAlign w:val="subscript"/>
                      <w:lang w:val="en-US" w:eastAsia="zh-CN"/>
                    </w:rPr>
                    <w:t>2</w:t>
                  </w:r>
                  <w:r>
                    <w:rPr>
                      <w:rFonts w:hint="default" w:ascii="Times New Roman" w:hAnsi="Times New Roman" w:cs="Times New Roman"/>
                      <w:sz w:val="21"/>
                      <w:szCs w:val="21"/>
                      <w:highlight w:val="none"/>
                      <w:u w:val="none" w:color="auto"/>
                      <w:vertAlign w:val="baseline"/>
                      <w:lang w:val="en-US" w:eastAsia="zh-CN"/>
                    </w:rPr>
                    <w:t>、NOx，将其纳入项目废气总量指标。</w:t>
                  </w:r>
                </w:p>
              </w:tc>
              <w:tc>
                <w:tcPr>
                  <w:tcW w:w="620"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2</w:t>
                  </w:r>
                </w:p>
              </w:tc>
              <w:tc>
                <w:tcPr>
                  <w:tcW w:w="1993"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加强水污染防治。强化城镇生活污染治理，加快城镇污水处理设施建设与改造，全面加强配套管网建设，推进污泥处理处置。地表水常规监测断面的年均水质类别应符合水环境质量底线目标要求，月均水质类别应符合水（环境）功能区划要求</w:t>
                  </w:r>
                </w:p>
              </w:tc>
              <w:tc>
                <w:tcPr>
                  <w:tcW w:w="1797"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根据湘西州生态环境监测中心发布的</w:t>
                  </w:r>
                  <w:r>
                    <w:rPr>
                      <w:rFonts w:hint="default" w:ascii="Times New Roman" w:hAnsi="Times New Roman" w:cs="Times New Roman"/>
                      <w:sz w:val="21"/>
                      <w:szCs w:val="21"/>
                      <w:u w:val="none" w:color="auto"/>
                      <w:vertAlign w:val="baseline"/>
                      <w:lang w:val="en-US" w:eastAsia="zh-CN"/>
                    </w:rPr>
                    <w:t>2022年</w:t>
                  </w:r>
                  <w:r>
                    <w:rPr>
                      <w:rFonts w:hint="default" w:ascii="Times New Roman" w:hAnsi="Times New Roman" w:cs="Times New Roman"/>
                      <w:sz w:val="21"/>
                      <w:szCs w:val="21"/>
                      <w:u w:val="none" w:color="auto"/>
                      <w:vertAlign w:val="baseline"/>
                      <w:lang w:val="zh-CN"/>
                    </w:rPr>
                    <w:t>湘西州地表水水质情况年报中关于</w:t>
                  </w:r>
                  <w:r>
                    <w:rPr>
                      <w:rFonts w:hint="default" w:ascii="Times New Roman" w:hAnsi="Times New Roman" w:cs="Times New Roman"/>
                      <w:sz w:val="21"/>
                      <w:szCs w:val="21"/>
                      <w:u w:val="none" w:color="auto"/>
                      <w:vertAlign w:val="baseline"/>
                      <w:lang w:val="en-US" w:eastAsia="zh-CN"/>
                    </w:rPr>
                    <w:t>泸溪县</w:t>
                  </w:r>
                  <w:r>
                    <w:rPr>
                      <w:rFonts w:hint="default" w:ascii="Times New Roman" w:hAnsi="Times New Roman" w:cs="Times New Roman"/>
                      <w:sz w:val="21"/>
                      <w:szCs w:val="21"/>
                      <w:u w:val="none" w:color="auto"/>
                      <w:vertAlign w:val="baseline"/>
                      <w:lang w:val="zh-CN"/>
                    </w:rPr>
                    <w:t>省控断面地表水环境质量监测结果，各监控断面水质均符合（环境）功能区划要求，属于达标区，项目</w:t>
                  </w:r>
                  <w:r>
                    <w:rPr>
                      <w:rFonts w:hint="default" w:ascii="Times New Roman" w:hAnsi="Times New Roman" w:cs="Times New Roman"/>
                      <w:sz w:val="21"/>
                      <w:szCs w:val="21"/>
                      <w:u w:val="none" w:color="auto"/>
                      <w:vertAlign w:val="baseline"/>
                      <w:lang w:val="en-US" w:eastAsia="zh-CN"/>
                    </w:rPr>
                    <w:t>生活</w:t>
                  </w:r>
                  <w:r>
                    <w:rPr>
                      <w:rFonts w:hint="default" w:ascii="Times New Roman" w:hAnsi="Times New Roman" w:cs="Times New Roman"/>
                      <w:sz w:val="21"/>
                      <w:szCs w:val="21"/>
                      <w:u w:val="none" w:color="auto"/>
                      <w:vertAlign w:val="baseline"/>
                      <w:lang w:val="zh-CN"/>
                    </w:rPr>
                    <w:t>废水经</w:t>
                  </w:r>
                  <w:r>
                    <w:rPr>
                      <w:rFonts w:hint="default" w:ascii="Times New Roman" w:hAnsi="Times New Roman" w:cs="Times New Roman"/>
                      <w:sz w:val="21"/>
                      <w:szCs w:val="21"/>
                      <w:u w:val="none" w:color="auto"/>
                      <w:vertAlign w:val="baseline"/>
                      <w:lang w:val="en-US" w:eastAsia="zh-CN"/>
                    </w:rPr>
                    <w:t>化粪池</w:t>
                  </w:r>
                  <w:r>
                    <w:rPr>
                      <w:rFonts w:hint="default" w:ascii="Times New Roman" w:hAnsi="Times New Roman" w:cs="Times New Roman"/>
                      <w:sz w:val="21"/>
                      <w:szCs w:val="21"/>
                      <w:u w:val="none" w:color="auto"/>
                      <w:vertAlign w:val="baseline"/>
                      <w:lang w:val="zh-CN"/>
                    </w:rPr>
                    <w:t>预处理后</w:t>
                  </w:r>
                  <w:r>
                    <w:rPr>
                      <w:rFonts w:hint="default" w:ascii="Times New Roman" w:hAnsi="Times New Roman" w:cs="Times New Roman"/>
                      <w:sz w:val="21"/>
                      <w:szCs w:val="21"/>
                      <w:u w:val="none" w:color="auto"/>
                      <w:vertAlign w:val="baseline"/>
                      <w:lang w:val="en-US" w:eastAsia="zh-CN"/>
                    </w:rPr>
                    <w:t>经自建污水处理设施处理达标后用于农灌</w:t>
                  </w:r>
                  <w:r>
                    <w:rPr>
                      <w:rFonts w:hint="default" w:ascii="Times New Roman" w:hAnsi="Times New Roman" w:cs="Times New Roman"/>
                      <w:sz w:val="21"/>
                      <w:szCs w:val="21"/>
                      <w:u w:val="none" w:color="auto"/>
                      <w:vertAlign w:val="baseline"/>
                      <w:lang w:val="zh-CN"/>
                    </w:rPr>
                    <w:t>，</w:t>
                  </w:r>
                  <w:r>
                    <w:rPr>
                      <w:rFonts w:hint="default" w:ascii="Times New Roman" w:hAnsi="Times New Roman" w:cs="Times New Roman"/>
                      <w:sz w:val="21"/>
                      <w:szCs w:val="21"/>
                      <w:u w:val="none" w:color="auto"/>
                      <w:vertAlign w:val="baseline"/>
                      <w:lang w:val="en-US" w:eastAsia="zh-CN"/>
                    </w:rPr>
                    <w:t>生产废水经收集沟汇入自建污水处理设施处理达标后用于农灌，项目废水均不外排</w:t>
                  </w:r>
                  <w:r>
                    <w:rPr>
                      <w:rFonts w:hint="default" w:ascii="Times New Roman" w:hAnsi="Times New Roman" w:cs="Times New Roman"/>
                      <w:sz w:val="21"/>
                      <w:szCs w:val="21"/>
                      <w:highlight w:val="none"/>
                      <w:u w:val="none" w:color="auto"/>
                      <w:vertAlign w:val="baseline"/>
                      <w:lang w:val="en-US" w:eastAsia="zh-CN"/>
                    </w:rPr>
                    <w:t>，</w:t>
                  </w:r>
                  <w:r>
                    <w:rPr>
                      <w:rFonts w:hint="default" w:ascii="Times New Roman" w:hAnsi="Times New Roman" w:cs="Times New Roman"/>
                      <w:sz w:val="21"/>
                      <w:szCs w:val="21"/>
                      <w:u w:val="none" w:color="auto"/>
                      <w:vertAlign w:val="baseline"/>
                      <w:lang w:val="zh-CN"/>
                    </w:rPr>
                    <w:t>对地表水环境影响较小</w:t>
                  </w:r>
                </w:p>
              </w:tc>
              <w:tc>
                <w:tcPr>
                  <w:tcW w:w="620"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08"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3</w:t>
                  </w:r>
                </w:p>
              </w:tc>
              <w:tc>
                <w:tcPr>
                  <w:tcW w:w="1993"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加强大气污染防治。各县市根据环境空气质量改善需求主动实施特别排放限值。各县市人民政府依法划定并公布禁止使用高排放非道路移动机械的区域，区域内禁止使用达不到第三阶段排放标准的非道路移动机械</w:t>
                  </w:r>
                </w:p>
              </w:tc>
              <w:tc>
                <w:tcPr>
                  <w:tcW w:w="1797"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根据20</w:t>
                  </w:r>
                  <w:r>
                    <w:rPr>
                      <w:rFonts w:hint="default" w:ascii="Times New Roman" w:hAnsi="Times New Roman" w:cs="Times New Roman"/>
                      <w:sz w:val="21"/>
                      <w:szCs w:val="21"/>
                      <w:u w:val="none" w:color="auto"/>
                      <w:vertAlign w:val="baseline"/>
                      <w:lang w:val="en-US" w:eastAsia="zh-CN"/>
                    </w:rPr>
                    <w:t>22</w:t>
                  </w:r>
                  <w:r>
                    <w:rPr>
                      <w:rFonts w:hint="default" w:ascii="Times New Roman" w:hAnsi="Times New Roman" w:cs="Times New Roman"/>
                      <w:sz w:val="21"/>
                      <w:szCs w:val="21"/>
                      <w:u w:val="none" w:color="auto"/>
                      <w:vertAlign w:val="baseline"/>
                      <w:lang w:val="zh-CN"/>
                    </w:rPr>
                    <w:t>年全年全州县市环境质量状况，</w:t>
                  </w:r>
                  <w:r>
                    <w:rPr>
                      <w:rFonts w:hint="default" w:ascii="Times New Roman" w:hAnsi="Times New Roman" w:cs="Times New Roman"/>
                      <w:sz w:val="21"/>
                      <w:szCs w:val="21"/>
                      <w:u w:val="none" w:color="auto"/>
                      <w:vertAlign w:val="baseline"/>
                      <w:lang w:val="en-US" w:eastAsia="zh-CN"/>
                    </w:rPr>
                    <w:t>泸溪</w:t>
                  </w:r>
                  <w:r>
                    <w:rPr>
                      <w:rFonts w:hint="default" w:ascii="Times New Roman" w:hAnsi="Times New Roman" w:cs="Times New Roman"/>
                      <w:sz w:val="21"/>
                      <w:szCs w:val="21"/>
                      <w:u w:val="none" w:color="auto"/>
                      <w:vertAlign w:val="baseline"/>
                      <w:lang w:val="zh-CN"/>
                    </w:rPr>
                    <w:t>县环境空气质量较好，属达标区</w:t>
                  </w:r>
                </w:p>
              </w:tc>
              <w:tc>
                <w:tcPr>
                  <w:tcW w:w="620"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47"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4</w:t>
                  </w:r>
                </w:p>
              </w:tc>
              <w:tc>
                <w:tcPr>
                  <w:tcW w:w="1993"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加强固体废物污染防治。推进城乡生活垃圾收集和处置。积极推进垃圾分类，建设覆盖城乡的垃圾收运体系和垃圾分类收集系统。按照区域统筹、城乡统筹模式，完成省定新建扩建生活垃圾焚烧处理项目和存量垃圾填埋场治理任务。</w:t>
                  </w:r>
                </w:p>
              </w:tc>
              <w:tc>
                <w:tcPr>
                  <w:tcW w:w="1797"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highlight w:val="yellow"/>
                      <w:u w:val="none" w:color="auto"/>
                      <w:vertAlign w:val="baseline"/>
                      <w:lang w:val="zh-CN"/>
                    </w:rPr>
                  </w:pPr>
                  <w:r>
                    <w:rPr>
                      <w:rFonts w:hint="eastAsia"/>
                      <w:sz w:val="21"/>
                      <w:szCs w:val="21"/>
                      <w:u w:val="single"/>
                      <w:lang w:val="en-US"/>
                    </w:rPr>
                    <w:t>生活垃圾</w:t>
                  </w:r>
                  <w:r>
                    <w:rPr>
                      <w:rFonts w:hint="eastAsia"/>
                      <w:sz w:val="21"/>
                      <w:szCs w:val="21"/>
                      <w:u w:val="single"/>
                      <w:lang w:val="en-US" w:eastAsia="zh-CN"/>
                    </w:rPr>
                    <w:t>及砂石</w:t>
                  </w:r>
                  <w:r>
                    <w:rPr>
                      <w:rFonts w:hint="eastAsia"/>
                      <w:sz w:val="21"/>
                      <w:szCs w:val="21"/>
                      <w:u w:val="single"/>
                      <w:lang w:val="en-US"/>
                    </w:rPr>
                    <w:t>收集后由环卫部门统一清运处理</w:t>
                  </w:r>
                  <w:r>
                    <w:rPr>
                      <w:rFonts w:hint="eastAsia"/>
                      <w:sz w:val="21"/>
                      <w:szCs w:val="21"/>
                      <w:u w:val="single"/>
                      <w:lang w:val="en-US" w:eastAsia="zh-CN"/>
                    </w:rPr>
                    <w:t>；</w:t>
                  </w:r>
                  <w:r>
                    <w:rPr>
                      <w:rFonts w:hint="eastAsia"/>
                      <w:sz w:val="21"/>
                      <w:szCs w:val="21"/>
                      <w:u w:val="single"/>
                      <w:lang w:val="en-US"/>
                    </w:rPr>
                    <w:t>废包装物收集后外售至废品回收站</w:t>
                  </w:r>
                  <w:r>
                    <w:rPr>
                      <w:rFonts w:hint="eastAsia"/>
                      <w:sz w:val="21"/>
                      <w:szCs w:val="21"/>
                      <w:u w:val="single"/>
                      <w:lang w:val="en-US" w:eastAsia="zh-CN"/>
                    </w:rPr>
                    <w:t>；过期原辅料同生产性废料</w:t>
                  </w:r>
                  <w:r>
                    <w:rPr>
                      <w:rFonts w:hint="eastAsia"/>
                      <w:sz w:val="21"/>
                      <w:szCs w:val="21"/>
                      <w:u w:val="single"/>
                      <w:lang w:val="en-US"/>
                    </w:rPr>
                    <w:t>收集后当天及时出售给养殖户作为饲料使用</w:t>
                  </w:r>
                  <w:r>
                    <w:rPr>
                      <w:rFonts w:hint="eastAsia"/>
                      <w:sz w:val="21"/>
                      <w:szCs w:val="21"/>
                      <w:u w:val="single"/>
                      <w:lang w:val="en-US" w:eastAsia="zh-CN"/>
                    </w:rPr>
                    <w:t>；</w:t>
                  </w:r>
                  <w:r>
                    <w:rPr>
                      <w:rFonts w:hint="eastAsia"/>
                      <w:sz w:val="21"/>
                      <w:szCs w:val="21"/>
                      <w:u w:val="single"/>
                      <w:lang w:val="en-US"/>
                    </w:rPr>
                    <w:t>污泥经污泥干化池脱水后的污泥采取密闭封装</w:t>
                  </w:r>
                  <w:r>
                    <w:rPr>
                      <w:rFonts w:hint="eastAsia"/>
                      <w:sz w:val="21"/>
                      <w:szCs w:val="21"/>
                      <w:u w:val="single"/>
                      <w:lang w:val="en-US" w:eastAsia="zh-CN"/>
                    </w:rPr>
                    <w:t>，交</w:t>
                  </w:r>
                  <w:r>
                    <w:rPr>
                      <w:rFonts w:hint="eastAsia"/>
                      <w:sz w:val="21"/>
                      <w:szCs w:val="21"/>
                      <w:u w:val="single"/>
                      <w:lang w:val="en-US"/>
                    </w:rPr>
                    <w:t>由环卫部门统一清运</w:t>
                  </w:r>
                  <w:r>
                    <w:rPr>
                      <w:rFonts w:hint="eastAsia"/>
                      <w:sz w:val="21"/>
                      <w:szCs w:val="21"/>
                      <w:u w:val="single"/>
                      <w:lang w:val="en-US" w:eastAsia="zh-CN"/>
                    </w:rPr>
                    <w:t>至吉首垃圾焚烧厂焚烧</w:t>
                  </w:r>
                  <w:r>
                    <w:rPr>
                      <w:rFonts w:hint="eastAsia"/>
                      <w:sz w:val="21"/>
                      <w:szCs w:val="21"/>
                      <w:u w:val="single"/>
                      <w:lang w:val="en-US"/>
                    </w:rPr>
                    <w:t>处理</w:t>
                  </w:r>
                  <w:r>
                    <w:rPr>
                      <w:rFonts w:hint="eastAsia"/>
                      <w:sz w:val="21"/>
                      <w:szCs w:val="21"/>
                      <w:u w:val="single"/>
                      <w:lang w:val="en-US" w:eastAsia="zh-CN"/>
                    </w:rPr>
                    <w:t>；检验室固废</w:t>
                  </w:r>
                  <w:r>
                    <w:rPr>
                      <w:rFonts w:hint="eastAsia"/>
                      <w:sz w:val="21"/>
                      <w:szCs w:val="21"/>
                      <w:u w:val="single"/>
                      <w:lang w:eastAsia="zh-CN"/>
                    </w:rPr>
                    <w:t>属于一般固废，</w:t>
                  </w:r>
                  <w:r>
                    <w:rPr>
                      <w:rFonts w:hint="eastAsia"/>
                      <w:sz w:val="21"/>
                      <w:szCs w:val="21"/>
                      <w:u w:val="single"/>
                      <w:lang w:val="en-US" w:eastAsia="zh-CN"/>
                    </w:rPr>
                    <w:t>其中培养基经高温灭活后可按一般固废处置，</w:t>
                  </w:r>
                  <w:r>
                    <w:rPr>
                      <w:rFonts w:hint="eastAsia"/>
                      <w:sz w:val="21"/>
                      <w:szCs w:val="21"/>
                      <w:u w:val="single"/>
                      <w:lang w:eastAsia="zh-CN"/>
                    </w:rPr>
                    <w:t>交由环卫部门清运；</w:t>
                  </w:r>
                  <w:r>
                    <w:rPr>
                      <w:rFonts w:hint="eastAsia"/>
                      <w:sz w:val="21"/>
                      <w:szCs w:val="21"/>
                      <w:u w:val="single"/>
                      <w:lang w:val="en-US" w:eastAsia="zh-CN"/>
                    </w:rPr>
                    <w:t>除尘灰同锅炉灰渣</w:t>
                  </w:r>
                  <w:r>
                    <w:rPr>
                      <w:sz w:val="21"/>
                      <w:szCs w:val="21"/>
                      <w:u w:val="single"/>
                    </w:rPr>
                    <w:t>交由附近村庄农户用作果园、苗圃、蔬菜地或绿化树木的肥料</w:t>
                  </w:r>
                  <w:r>
                    <w:rPr>
                      <w:rFonts w:hint="eastAsia"/>
                      <w:sz w:val="21"/>
                      <w:szCs w:val="21"/>
                      <w:u w:val="single"/>
                      <w:lang w:eastAsia="zh-CN"/>
                    </w:rPr>
                    <w:t>；过滤器（</w:t>
                  </w:r>
                  <w:r>
                    <w:rPr>
                      <w:rFonts w:hint="eastAsia"/>
                      <w:sz w:val="21"/>
                      <w:szCs w:val="21"/>
                      <w:u w:val="single"/>
                      <w:lang w:val="en-US" w:eastAsia="zh-CN"/>
                    </w:rPr>
                    <w:t>含活性炭</w:t>
                  </w:r>
                  <w:r>
                    <w:rPr>
                      <w:rFonts w:hint="eastAsia"/>
                      <w:sz w:val="21"/>
                      <w:szCs w:val="21"/>
                      <w:u w:val="single"/>
                      <w:lang w:eastAsia="zh-CN"/>
                    </w:rPr>
                    <w:t>）、反渗透膜经处理后可以重复使用，</w:t>
                  </w:r>
                  <w:r>
                    <w:rPr>
                      <w:rFonts w:hint="eastAsia"/>
                      <w:sz w:val="21"/>
                      <w:szCs w:val="21"/>
                      <w:u w:val="single"/>
                      <w:lang w:val="en-US" w:eastAsia="zh-CN"/>
                    </w:rPr>
                    <w:t>与废树脂一同</w:t>
                  </w:r>
                  <w:r>
                    <w:rPr>
                      <w:rFonts w:hint="eastAsia"/>
                      <w:sz w:val="21"/>
                      <w:szCs w:val="21"/>
                      <w:u w:val="single"/>
                      <w:lang w:eastAsia="zh-CN"/>
                    </w:rPr>
                    <w:t>由设备服务公司回收；</w:t>
                  </w:r>
                  <w:r>
                    <w:rPr>
                      <w:rFonts w:hint="eastAsia"/>
                      <w:sz w:val="21"/>
                      <w:szCs w:val="21"/>
                      <w:u w:val="single"/>
                      <w:lang w:val="en-US" w:eastAsia="zh-CN"/>
                    </w:rPr>
                    <w:t>废紫外灯管以及检验室废液属于危险废物，定期交由资质单位处置</w:t>
                  </w:r>
                </w:p>
              </w:tc>
              <w:tc>
                <w:tcPr>
                  <w:tcW w:w="620"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highlight w:val="yellow"/>
                      <w:u w:val="none" w:color="auto"/>
                      <w:vertAlign w:val="baseline"/>
                      <w:lang w:val="zh-CN"/>
                    </w:rPr>
                  </w:pPr>
                  <w:r>
                    <w:rPr>
                      <w:rFonts w:hint="default" w:ascii="Times New Roman" w:hAnsi="Times New Roman" w:cs="Times New Roman"/>
                      <w:sz w:val="21"/>
                      <w:szCs w:val="21"/>
                      <w:highlight w:val="none"/>
                      <w:u w:val="none" w:color="auto"/>
                      <w:vertAlign w:val="baseli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三</w:t>
                  </w:r>
                </w:p>
              </w:tc>
              <w:tc>
                <w:tcPr>
                  <w:tcW w:w="4411" w:type="pct"/>
                  <w:gridSpan w:val="3"/>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eastAsia="宋体" w:cs="Times New Roman"/>
                      <w:sz w:val="21"/>
                      <w:szCs w:val="21"/>
                      <w:u w:val="none" w:color="auto"/>
                      <w:vertAlign w:val="baseline"/>
                      <w:lang w:val="en-US" w:eastAsia="zh-CN"/>
                    </w:rPr>
                    <w:t>合理利用资源，严守资源上线</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49" w:hRule="atLeast"/>
                <w:jc w:val="center"/>
              </w:trPr>
              <w:tc>
                <w:tcPr>
                  <w:tcW w:w="588"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1</w:t>
                  </w:r>
                </w:p>
              </w:tc>
              <w:tc>
                <w:tcPr>
                  <w:tcW w:w="1993"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积极推广和应用新能源，强化清洁能源和可再生能源生产消费激励</w:t>
                  </w:r>
                </w:p>
              </w:tc>
              <w:tc>
                <w:tcPr>
                  <w:tcW w:w="1797"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本项目运营期使用能源主要为电能、</w:t>
                  </w:r>
                  <w:r>
                    <w:rPr>
                      <w:rFonts w:hint="default" w:ascii="Times New Roman" w:hAnsi="Times New Roman" w:cs="Times New Roman"/>
                      <w:sz w:val="21"/>
                      <w:szCs w:val="21"/>
                      <w:u w:val="none" w:color="auto"/>
                      <w:vertAlign w:val="baseline"/>
                      <w:lang w:val="en-US" w:eastAsia="zh-CN"/>
                    </w:rPr>
                    <w:t>水以及生物质颗粒</w:t>
                  </w:r>
                  <w:r>
                    <w:rPr>
                      <w:rFonts w:hint="default" w:ascii="Times New Roman" w:hAnsi="Times New Roman" w:cs="Times New Roman"/>
                      <w:sz w:val="21"/>
                      <w:szCs w:val="21"/>
                      <w:u w:val="none" w:color="auto"/>
                      <w:vertAlign w:val="baseline"/>
                      <w:lang w:val="zh-CN"/>
                    </w:rPr>
                    <w:t>，不使用燃煤等高污染燃料</w:t>
                  </w:r>
                </w:p>
              </w:tc>
              <w:tc>
                <w:tcPr>
                  <w:tcW w:w="620" w:type="pct"/>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ascii="Times New Roman" w:hAnsi="Times New Roman" w:cs="Times New Roman"/>
                      <w:sz w:val="21"/>
                      <w:szCs w:val="21"/>
                      <w:u w:val="none" w:color="auto"/>
                      <w:vertAlign w:val="baseline"/>
                      <w:lang w:val="zh-CN"/>
                    </w:rPr>
                  </w:pPr>
                  <w:r>
                    <w:rPr>
                      <w:rFonts w:hint="default" w:ascii="Times New Roman" w:hAnsi="Times New Roman" w:cs="Times New Roman"/>
                      <w:sz w:val="21"/>
                      <w:szCs w:val="21"/>
                      <w:u w:val="none" w:color="auto"/>
                      <w:vertAlign w:val="baseline"/>
                      <w:lang w:val="zh-CN"/>
                    </w:rPr>
                    <w:t>符合</w:t>
                  </w:r>
                </w:p>
              </w:tc>
            </w:tr>
          </w:tbl>
          <w:p>
            <w:pPr>
              <w:pStyle w:val="43"/>
              <w:bidi w:val="0"/>
              <w:ind w:firstLine="0" w:firstLineChars="0"/>
              <w:jc w:val="both"/>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zh-CN"/>
              </w:rPr>
              <w:t>表</w:t>
            </w:r>
            <w:r>
              <w:rPr>
                <w:rFonts w:hint="default" w:ascii="Times New Roman" w:hAnsi="Times New Roman" w:cs="Times New Roman"/>
                <w:sz w:val="21"/>
                <w:szCs w:val="21"/>
                <w:u w:val="none" w:color="auto"/>
                <w:lang w:val="en-US" w:eastAsia="zh-CN"/>
              </w:rPr>
              <w:t>1.1-3  项目与湘西自治州环境管控单元（泸溪县武溪镇）生态环境准入清单符合性</w:t>
            </w:r>
          </w:p>
          <w:tbl>
            <w:tblPr>
              <w:tblStyle w:val="29"/>
              <w:tblW w:w="4943"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003"/>
              <w:gridCol w:w="962"/>
              <w:gridCol w:w="827"/>
              <w:gridCol w:w="950"/>
              <w:gridCol w:w="914"/>
              <w:gridCol w:w="1223"/>
              <w:gridCol w:w="1485"/>
              <w:gridCol w:w="119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6" w:type="pct"/>
                  <w:tcBorders>
                    <w:tl2br w:val="nil"/>
                    <w:tr2bl w:val="nil"/>
                  </w:tcBorders>
                  <w:noWrap w:val="0"/>
                  <w:vAlign w:val="center"/>
                </w:tcPr>
                <w:p>
                  <w:pPr>
                    <w:pStyle w:val="39"/>
                    <w:widowControl w:val="0"/>
                    <w:bidi w:val="0"/>
                    <w:jc w:val="center"/>
                    <w:rPr>
                      <w:rFonts w:hint="default" w:ascii="Times New Roman" w:hAnsi="Times New Roman" w:cs="Times New Roman"/>
                      <w:b/>
                      <w:bCs w:val="0"/>
                      <w:szCs w:val="21"/>
                      <w:u w:val="none" w:color="auto"/>
                      <w:lang w:val="en-US" w:eastAsia="zh-CN"/>
                    </w:rPr>
                  </w:pPr>
                  <w:r>
                    <w:rPr>
                      <w:rFonts w:hint="default" w:ascii="Times New Roman" w:hAnsi="Times New Roman" w:cs="Times New Roman"/>
                      <w:b/>
                      <w:bCs w:val="0"/>
                      <w:szCs w:val="21"/>
                      <w:u w:val="none" w:color="auto"/>
                      <w:lang w:val="en-US" w:eastAsia="zh-CN"/>
                    </w:rPr>
                    <w:t>环境管控单元编码</w:t>
                  </w:r>
                </w:p>
              </w:tc>
              <w:tc>
                <w:tcPr>
                  <w:tcW w:w="562" w:type="pct"/>
                  <w:tcBorders>
                    <w:tl2br w:val="nil"/>
                    <w:tr2bl w:val="nil"/>
                  </w:tcBorders>
                  <w:noWrap w:val="0"/>
                  <w:vAlign w:val="center"/>
                </w:tcPr>
                <w:p>
                  <w:pPr>
                    <w:pStyle w:val="39"/>
                    <w:widowControl w:val="0"/>
                    <w:bidi w:val="0"/>
                    <w:jc w:val="center"/>
                    <w:rPr>
                      <w:rFonts w:hint="default" w:ascii="Times New Roman" w:hAnsi="Times New Roman" w:cs="Times New Roman"/>
                      <w:b/>
                      <w:bCs w:val="0"/>
                      <w:szCs w:val="21"/>
                      <w:u w:val="none" w:color="auto"/>
                      <w:lang w:val="en-US" w:eastAsia="zh-CN"/>
                    </w:rPr>
                  </w:pPr>
                  <w:r>
                    <w:rPr>
                      <w:rFonts w:hint="default" w:ascii="Times New Roman" w:hAnsi="Times New Roman" w:cs="Times New Roman"/>
                      <w:b/>
                      <w:bCs w:val="0"/>
                      <w:szCs w:val="21"/>
                      <w:u w:val="none" w:color="auto"/>
                      <w:lang w:val="en-US" w:eastAsia="zh-CN"/>
                    </w:rPr>
                    <w:t>行政区划</w:t>
                  </w:r>
                </w:p>
              </w:tc>
              <w:tc>
                <w:tcPr>
                  <w:tcW w:w="483" w:type="pct"/>
                  <w:tcBorders>
                    <w:tl2br w:val="nil"/>
                    <w:tr2bl w:val="nil"/>
                  </w:tcBorders>
                  <w:noWrap w:val="0"/>
                  <w:vAlign w:val="center"/>
                </w:tcPr>
                <w:p>
                  <w:pPr>
                    <w:pStyle w:val="39"/>
                    <w:widowControl w:val="0"/>
                    <w:bidi w:val="0"/>
                    <w:jc w:val="center"/>
                    <w:rPr>
                      <w:rFonts w:hint="default" w:ascii="Times New Roman" w:hAnsi="Times New Roman" w:cs="Times New Roman"/>
                      <w:b/>
                      <w:bCs w:val="0"/>
                      <w:szCs w:val="21"/>
                      <w:u w:val="none" w:color="auto"/>
                      <w:lang w:val="en-US" w:eastAsia="zh-CN"/>
                    </w:rPr>
                  </w:pPr>
                  <w:r>
                    <w:rPr>
                      <w:rFonts w:hint="default" w:ascii="Times New Roman" w:hAnsi="Times New Roman" w:cs="Times New Roman"/>
                      <w:b/>
                      <w:bCs w:val="0"/>
                      <w:szCs w:val="21"/>
                      <w:u w:val="none" w:color="auto"/>
                      <w:lang w:val="en-US" w:eastAsia="zh-CN"/>
                    </w:rPr>
                    <w:t>单元分类</w:t>
                  </w:r>
                </w:p>
              </w:tc>
              <w:tc>
                <w:tcPr>
                  <w:tcW w:w="555" w:type="pct"/>
                  <w:tcBorders>
                    <w:tl2br w:val="nil"/>
                    <w:tr2bl w:val="nil"/>
                  </w:tcBorders>
                  <w:noWrap w:val="0"/>
                  <w:vAlign w:val="center"/>
                </w:tcPr>
                <w:p>
                  <w:pPr>
                    <w:pStyle w:val="39"/>
                    <w:widowControl w:val="0"/>
                    <w:bidi w:val="0"/>
                    <w:jc w:val="center"/>
                    <w:rPr>
                      <w:rFonts w:hint="default" w:ascii="Times New Roman" w:hAnsi="Times New Roman" w:cs="Times New Roman"/>
                      <w:b/>
                      <w:bCs w:val="0"/>
                      <w:szCs w:val="21"/>
                      <w:u w:val="none" w:color="auto"/>
                      <w:lang w:val="en-US" w:eastAsia="zh-CN"/>
                    </w:rPr>
                  </w:pPr>
                  <w:r>
                    <w:rPr>
                      <w:rFonts w:hint="default" w:ascii="Times New Roman" w:hAnsi="Times New Roman" w:cs="Times New Roman"/>
                      <w:b/>
                      <w:bCs w:val="0"/>
                      <w:szCs w:val="21"/>
                      <w:u w:val="none" w:color="auto"/>
                      <w:lang w:val="en-US" w:eastAsia="zh-CN"/>
                    </w:rPr>
                    <w:t>单元面积（km2）</w:t>
                  </w:r>
                </w:p>
              </w:tc>
              <w:tc>
                <w:tcPr>
                  <w:tcW w:w="533" w:type="pct"/>
                  <w:tcBorders>
                    <w:tl2br w:val="nil"/>
                    <w:tr2bl w:val="nil"/>
                  </w:tcBorders>
                  <w:noWrap w:val="0"/>
                  <w:vAlign w:val="center"/>
                </w:tcPr>
                <w:p>
                  <w:pPr>
                    <w:pStyle w:val="39"/>
                    <w:widowControl w:val="0"/>
                    <w:bidi w:val="0"/>
                    <w:jc w:val="center"/>
                    <w:rPr>
                      <w:rFonts w:hint="default" w:ascii="Times New Roman" w:hAnsi="Times New Roman" w:cs="Times New Roman"/>
                      <w:b/>
                      <w:bCs w:val="0"/>
                      <w:szCs w:val="21"/>
                      <w:u w:val="none" w:color="auto"/>
                      <w:lang w:val="en-US" w:eastAsia="zh-CN"/>
                    </w:rPr>
                  </w:pPr>
                  <w:r>
                    <w:rPr>
                      <w:rFonts w:hint="default" w:ascii="Times New Roman" w:hAnsi="Times New Roman" w:cs="Times New Roman"/>
                      <w:b/>
                      <w:bCs w:val="0"/>
                      <w:szCs w:val="21"/>
                      <w:u w:val="none" w:color="auto"/>
                      <w:lang w:val="en-US" w:eastAsia="zh-CN"/>
                    </w:rPr>
                    <w:t>涉及乡镇（街道）</w:t>
                  </w:r>
                </w:p>
              </w:tc>
              <w:tc>
                <w:tcPr>
                  <w:tcW w:w="714" w:type="pct"/>
                  <w:tcBorders>
                    <w:tl2br w:val="nil"/>
                    <w:tr2bl w:val="nil"/>
                  </w:tcBorders>
                  <w:noWrap w:val="0"/>
                  <w:vAlign w:val="center"/>
                </w:tcPr>
                <w:p>
                  <w:pPr>
                    <w:pStyle w:val="39"/>
                    <w:widowControl w:val="0"/>
                    <w:bidi w:val="0"/>
                    <w:jc w:val="center"/>
                    <w:rPr>
                      <w:rFonts w:hint="default" w:ascii="Times New Roman" w:hAnsi="Times New Roman" w:cs="Times New Roman"/>
                      <w:b/>
                      <w:bCs w:val="0"/>
                      <w:szCs w:val="21"/>
                      <w:u w:val="none" w:color="auto"/>
                      <w:lang w:val="en-US" w:eastAsia="zh-CN"/>
                    </w:rPr>
                  </w:pPr>
                  <w:r>
                    <w:rPr>
                      <w:rFonts w:hint="default" w:ascii="Times New Roman" w:hAnsi="Times New Roman" w:cs="Times New Roman"/>
                      <w:b/>
                      <w:bCs w:val="0"/>
                      <w:szCs w:val="21"/>
                      <w:u w:val="none" w:color="auto"/>
                      <w:lang w:val="en-US" w:eastAsia="zh-CN"/>
                    </w:rPr>
                    <w:t>主体功能定位</w:t>
                  </w:r>
                </w:p>
              </w:tc>
              <w:tc>
                <w:tcPr>
                  <w:tcW w:w="1565" w:type="pct"/>
                  <w:gridSpan w:val="2"/>
                  <w:tcBorders>
                    <w:tl2br w:val="nil"/>
                    <w:tr2bl w:val="nil"/>
                  </w:tcBorders>
                  <w:noWrap w:val="0"/>
                  <w:vAlign w:val="center"/>
                </w:tcPr>
                <w:p>
                  <w:pPr>
                    <w:pStyle w:val="39"/>
                    <w:widowControl w:val="0"/>
                    <w:bidi w:val="0"/>
                    <w:jc w:val="center"/>
                    <w:rPr>
                      <w:rFonts w:hint="default" w:ascii="Times New Roman" w:hAnsi="Times New Roman" w:cs="Times New Roman"/>
                      <w:b/>
                      <w:bCs w:val="0"/>
                      <w:szCs w:val="21"/>
                      <w:u w:val="none" w:color="auto"/>
                      <w:lang w:val="en-US" w:eastAsia="zh-CN"/>
                    </w:rPr>
                  </w:pPr>
                  <w:r>
                    <w:rPr>
                      <w:rFonts w:hint="default" w:ascii="Times New Roman" w:hAnsi="Times New Roman" w:cs="Times New Roman"/>
                      <w:b/>
                      <w:bCs w:val="0"/>
                      <w:szCs w:val="21"/>
                      <w:u w:val="none" w:color="auto"/>
                      <w:lang w:val="en-US" w:eastAsia="zh-CN"/>
                    </w:rPr>
                    <w:t>经济产业布局</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6" w:type="pct"/>
                  <w:tcBorders>
                    <w:tl2br w:val="nil"/>
                    <w:tr2bl w:val="nil"/>
                  </w:tcBorders>
                  <w:noWrap w:val="0"/>
                  <w:vAlign w:val="center"/>
                </w:tcPr>
                <w:p>
                  <w:pPr>
                    <w:pStyle w:val="39"/>
                    <w:widowControl/>
                    <w:bidi w:val="0"/>
                    <w:ind w:firstLine="0" w:firstLineChars="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ZH43312210001</w:t>
                  </w:r>
                </w:p>
              </w:tc>
              <w:tc>
                <w:tcPr>
                  <w:tcW w:w="562"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湖南省湘西州泸溪县</w:t>
                  </w:r>
                </w:p>
              </w:tc>
              <w:tc>
                <w:tcPr>
                  <w:tcW w:w="483"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泸溪重点管控</w:t>
                  </w:r>
                </w:p>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单元1</w:t>
                  </w:r>
                </w:p>
              </w:tc>
              <w:tc>
                <w:tcPr>
                  <w:tcW w:w="555" w:type="pct"/>
                  <w:tcBorders>
                    <w:tl2br w:val="nil"/>
                    <w:tr2bl w:val="nil"/>
                  </w:tcBorders>
                  <w:noWrap w:val="0"/>
                  <w:vAlign w:val="center"/>
                </w:tcPr>
                <w:p>
                  <w:pPr>
                    <w:pStyle w:val="39"/>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414.39</w:t>
                  </w:r>
                </w:p>
              </w:tc>
              <w:tc>
                <w:tcPr>
                  <w:tcW w:w="533"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武溪镇/洗溪镇</w:t>
                  </w:r>
                </w:p>
              </w:tc>
              <w:tc>
                <w:tcPr>
                  <w:tcW w:w="714"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国家重点生态功能区</w:t>
                  </w:r>
                </w:p>
              </w:tc>
              <w:tc>
                <w:tcPr>
                  <w:tcW w:w="1565" w:type="pct"/>
                  <w:gridSpan w:val="2"/>
                  <w:tcBorders>
                    <w:tl2br w:val="nil"/>
                    <w:tr2bl w:val="nil"/>
                  </w:tcBorders>
                  <w:noWrap w:val="0"/>
                  <w:vAlign w:val="center"/>
                </w:tcPr>
                <w:p>
                  <w:pPr>
                    <w:pStyle w:val="39"/>
                    <w:widowControl/>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农业，生态旅游，养殖业，采矿业，矿产品加工业等</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6"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主要属性</w:t>
                  </w:r>
                </w:p>
              </w:tc>
              <w:tc>
                <w:tcPr>
                  <w:tcW w:w="4413" w:type="pct"/>
                  <w:gridSpan w:val="7"/>
                  <w:tcBorders>
                    <w:tl2br w:val="nil"/>
                    <w:tr2bl w:val="nil"/>
                  </w:tcBorders>
                  <w:noWrap w:val="0"/>
                  <w:vAlign w:val="center"/>
                </w:tcPr>
                <w:p>
                  <w:pPr>
                    <w:pStyle w:val="39"/>
                    <w:widowControl/>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武溪镇：生态保护红线(生物多样性维护/水土保持/水源涵养/武水国家湿地自然公园/湖南五强溪国家湿地自然公园/天桥山国家级自然保护区/泸溪沅水风景名胜区/湘西自治州泸溪县沅江白沙段饮用水水源保护区/国家一级公益林)/一般生态空间(湘西自治州泸溪县沅江白沙段饮用水水源保护区/公益林/石漠化/水土保持/水源涵养)；水环境优先保护区(湖南泸溪武水国家湿地自然公园/泸溪县沅江白沙段饮用水水源保护区/沅水辰溪段鲌类黄颡鱼国家级水产种质资源保护区外围汇水区)/水环境城镇生活污染重点管控区(泸溪县城市生活污水处理厂/河溪水文站监测断面)/水环境工业污染重点管控区(泸溪高新技术产业开发区外围汇水区)/其他水环境重点管控区(重金属矿：泸溪县大溪矿业有限公司武溪镇大溪铜矿)/水环境一般管控区；大气环境优先保护区(湖南泸溪天桥山自然保护区/泸溪沅水风景名胜区)/大气环境布局敏感重点管控区/大气环境受体敏感重点管控区/大气环境高排放重点管控区(泸溪高新技术产业开发区外围实际开发区域/大气环境一般管控区)；建设用地污染风险重点管控区（重金属污染片区、原白沙冶化厂污染地块、疑似污染地块(6)）/其他土壤重点管控区(部省级采矿权/市县级采矿权/砂石矿)；高污染燃料禁燃区；城市规划区(泸溪县)</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6"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管控维度</w:t>
                  </w:r>
                </w:p>
              </w:tc>
              <w:tc>
                <w:tcPr>
                  <w:tcW w:w="2134" w:type="pct"/>
                  <w:gridSpan w:val="4"/>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管控要求</w:t>
                  </w:r>
                </w:p>
              </w:tc>
              <w:tc>
                <w:tcPr>
                  <w:tcW w:w="1581" w:type="pct"/>
                  <w:gridSpan w:val="2"/>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本项目</w:t>
                  </w:r>
                </w:p>
              </w:tc>
              <w:tc>
                <w:tcPr>
                  <w:tcW w:w="698"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符合性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6"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空间布局约束</w:t>
                  </w:r>
                </w:p>
              </w:tc>
              <w:tc>
                <w:tcPr>
                  <w:tcW w:w="2134" w:type="pct"/>
                  <w:gridSpan w:val="4"/>
                  <w:tcBorders>
                    <w:tl2br w:val="nil"/>
                    <w:tr2bl w:val="nil"/>
                  </w:tcBorders>
                  <w:noWrap w:val="0"/>
                  <w:vAlign w:val="center"/>
                </w:tcPr>
                <w:p>
                  <w:pPr>
                    <w:pStyle w:val="39"/>
                    <w:widowControl/>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（1.1）产业准入应符合《泸溪县产业准入负面清单》，畜禽养殖产业布局应符合《泸溪县畜禽养殖“三区”划分方案》，水产养殖产业布局应符合《泸溪县养殖水域滩涂规划（2018-2030 年）》。</w:t>
                  </w:r>
                </w:p>
                <w:p>
                  <w:pPr>
                    <w:pStyle w:val="39"/>
                    <w:widowControl/>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（1.2）武溪镇：加快推进泸溪高新区调区扩区，按规定对现有污染企业分别采取整治后保留、搬迁、退出、关闭等措施。</w:t>
                  </w:r>
                </w:p>
                <w:p>
                  <w:pPr>
                    <w:pStyle w:val="39"/>
                    <w:widowControl/>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（1.3）做好相关规划修编工作，协调好矿山开采与天桥山自然保护区、沅水风景名胜区的关系，避免矿区占用自然保护地。</w:t>
                  </w:r>
                </w:p>
              </w:tc>
              <w:tc>
                <w:tcPr>
                  <w:tcW w:w="1581" w:type="pct"/>
                  <w:gridSpan w:val="2"/>
                  <w:tcBorders>
                    <w:tl2br w:val="nil"/>
                    <w:tr2bl w:val="nil"/>
                  </w:tcBorders>
                  <w:noWrap w:val="0"/>
                  <w:vAlign w:val="center"/>
                </w:tcPr>
                <w:p>
                  <w:pPr>
                    <w:pStyle w:val="39"/>
                    <w:widowControl w:val="0"/>
                    <w:bidi w:val="0"/>
                    <w:jc w:val="center"/>
                    <w:rPr>
                      <w:rFonts w:hint="default" w:ascii="Times New Roman" w:hAnsi="Times New Roman" w:cs="Times New Roman"/>
                      <w:b w:val="0"/>
                      <w:bCs/>
                      <w:szCs w:val="21"/>
                      <w:highlight w:val="yellow"/>
                      <w:u w:val="none" w:color="auto"/>
                      <w:lang w:val="en-US" w:eastAsia="zh-CN"/>
                    </w:rPr>
                  </w:pPr>
                  <w:r>
                    <w:rPr>
                      <w:rFonts w:hint="default" w:ascii="Times New Roman" w:hAnsi="Times New Roman" w:cs="Times New Roman"/>
                      <w:b w:val="0"/>
                      <w:bCs/>
                      <w:szCs w:val="21"/>
                      <w:highlight w:val="none"/>
                      <w:u w:val="none" w:color="auto"/>
                      <w:lang w:val="en-US" w:eastAsia="zh-CN"/>
                    </w:rPr>
                    <w:t>本项目</w:t>
                  </w:r>
                  <w:r>
                    <w:rPr>
                      <w:rFonts w:hint="default" w:ascii="Times New Roman" w:hAnsi="Times New Roman" w:cs="Times New Roman"/>
                      <w:b w:val="0"/>
                      <w:bCs/>
                      <w:szCs w:val="21"/>
                      <w:highlight w:val="none"/>
                      <w:u w:val="none" w:color="auto"/>
                      <w:lang w:eastAsia="zh-CN"/>
                    </w:rPr>
                    <w:t>属</w:t>
                  </w:r>
                  <w:r>
                    <w:rPr>
                      <w:rFonts w:hint="default" w:ascii="Times New Roman" w:hAnsi="Times New Roman" w:cs="Times New Roman"/>
                      <w:b w:val="0"/>
                      <w:bCs/>
                      <w:szCs w:val="21"/>
                      <w:highlight w:val="none"/>
                      <w:u w:val="none" w:color="auto"/>
                      <w:lang w:val="en-US" w:eastAsia="zh-CN"/>
                    </w:rPr>
                    <w:t>于</w:t>
                  </w:r>
                  <w:r>
                    <w:rPr>
                      <w:rFonts w:hint="default" w:ascii="Times New Roman" w:hAnsi="Times New Roman" w:eastAsia="宋体" w:cs="Times New Roman"/>
                      <w:b w:val="0"/>
                      <w:sz w:val="21"/>
                      <w:szCs w:val="21"/>
                      <w:highlight w:val="none"/>
                      <w:u w:val="none" w:color="auto"/>
                      <w:lang w:eastAsia="zh-CN"/>
                    </w:rPr>
                    <w:t>“</w:t>
                  </w:r>
                  <w:r>
                    <w:rPr>
                      <w:rFonts w:hint="default" w:ascii="Times New Roman" w:hAnsi="Times New Roman" w:cs="Times New Roman"/>
                      <w:b w:val="0"/>
                      <w:sz w:val="21"/>
                      <w:szCs w:val="21"/>
                      <w:highlight w:val="none"/>
                      <w:u w:val="none" w:color="auto"/>
                      <w:lang w:val="en-US" w:eastAsia="zh-CN"/>
                    </w:rPr>
                    <w:t>十四</w:t>
                  </w:r>
                  <w:r>
                    <w:rPr>
                      <w:rFonts w:hint="default" w:ascii="Times New Roman" w:hAnsi="Times New Roman" w:eastAsia="宋体" w:cs="Times New Roman"/>
                      <w:b w:val="0"/>
                      <w:sz w:val="21"/>
                      <w:szCs w:val="21"/>
                      <w:highlight w:val="none"/>
                      <w:u w:val="none" w:color="auto"/>
                      <w:lang w:eastAsia="zh-CN"/>
                    </w:rPr>
                    <w:t>、</w:t>
                  </w:r>
                  <w:r>
                    <w:rPr>
                      <w:rFonts w:hint="default" w:ascii="Times New Roman" w:hAnsi="Times New Roman" w:cs="Times New Roman"/>
                      <w:b w:val="0"/>
                      <w:sz w:val="21"/>
                      <w:szCs w:val="21"/>
                      <w:highlight w:val="none"/>
                      <w:u w:val="none" w:color="auto"/>
                      <w:lang w:val="en-US" w:eastAsia="zh-CN"/>
                    </w:rPr>
                    <w:t>食品制造业</w:t>
                  </w:r>
                  <w:r>
                    <w:rPr>
                      <w:rFonts w:hint="default" w:ascii="Times New Roman" w:hAnsi="Times New Roman" w:eastAsia="宋体" w:cs="Times New Roman"/>
                      <w:b w:val="0"/>
                      <w:sz w:val="21"/>
                      <w:szCs w:val="21"/>
                      <w:highlight w:val="none"/>
                      <w:u w:val="none" w:color="auto"/>
                      <w:lang w:eastAsia="zh-CN"/>
                    </w:rPr>
                    <w:t>”中“</w:t>
                  </w:r>
                  <w:r>
                    <w:rPr>
                      <w:rFonts w:hint="default" w:ascii="Times New Roman" w:hAnsi="Times New Roman" w:eastAsia="宋体" w:cs="Times New Roman"/>
                      <w:b w:val="0"/>
                      <w:sz w:val="21"/>
                      <w:szCs w:val="21"/>
                      <w:highlight w:val="none"/>
                      <w:u w:val="none" w:color="auto"/>
                      <w:lang w:val="en-US" w:eastAsia="zh-CN"/>
                    </w:rPr>
                    <w:t>米、面制品制造</w:t>
                  </w:r>
                  <w:r>
                    <w:rPr>
                      <w:rFonts w:hint="default" w:ascii="Times New Roman" w:hAnsi="Times New Roman" w:eastAsia="宋体" w:cs="Times New Roman"/>
                      <w:b w:val="0"/>
                      <w:sz w:val="21"/>
                      <w:szCs w:val="21"/>
                      <w:highlight w:val="none"/>
                      <w:u w:val="none" w:color="auto"/>
                      <w:lang w:eastAsia="zh-CN"/>
                    </w:rPr>
                    <w:t>”</w:t>
                  </w:r>
                  <w:r>
                    <w:rPr>
                      <w:rFonts w:hint="default" w:ascii="Times New Roman" w:hAnsi="Times New Roman" w:cs="Times New Roman"/>
                      <w:b w:val="0"/>
                      <w:bCs/>
                      <w:szCs w:val="21"/>
                      <w:highlight w:val="none"/>
                      <w:u w:val="none" w:color="auto"/>
                      <w:lang w:val="en-US" w:eastAsia="zh-CN"/>
                    </w:rPr>
                    <w:t>，不属于《泸溪县产业准入负面清单》中规定的负面清单，符合《泸溪县产业准入负面清单》</w:t>
                  </w:r>
                </w:p>
              </w:tc>
              <w:tc>
                <w:tcPr>
                  <w:tcW w:w="698"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6"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污染物排放管控</w:t>
                  </w:r>
                </w:p>
              </w:tc>
              <w:tc>
                <w:tcPr>
                  <w:tcW w:w="2134" w:type="pct"/>
                  <w:gridSpan w:val="4"/>
                  <w:tcBorders>
                    <w:tl2br w:val="nil"/>
                    <w:tr2bl w:val="nil"/>
                  </w:tcBorders>
                  <w:noWrap w:val="0"/>
                  <w:vAlign w:val="center"/>
                </w:tcPr>
                <w:p>
                  <w:pPr>
                    <w:pStyle w:val="39"/>
                    <w:jc w:val="left"/>
                    <w:rPr>
                      <w:rFonts w:hint="default" w:ascii="Times New Roman" w:hAnsi="Times New Roman" w:cs="Times New Roman"/>
                      <w:b w:val="0"/>
                      <w:bCs/>
                      <w:szCs w:val="21"/>
                      <w:highlight w:val="none"/>
                      <w:u w:val="none" w:color="auto"/>
                      <w:lang w:val="en-US" w:eastAsia="zh-CN"/>
                    </w:rPr>
                  </w:pPr>
                  <w:r>
                    <w:rPr>
                      <w:rFonts w:hint="default" w:ascii="Times New Roman" w:hAnsi="Times New Roman" w:cs="Times New Roman"/>
                      <w:b w:val="0"/>
                      <w:bCs/>
                      <w:szCs w:val="21"/>
                      <w:highlight w:val="none"/>
                      <w:u w:val="none" w:color="auto"/>
                      <w:lang w:val="en-US" w:eastAsia="zh-CN"/>
                    </w:rPr>
                    <w:t>（2.1）完善城镇生活污水收集处理设施，实现污水达标排放。</w:t>
                  </w:r>
                </w:p>
                <w:p>
                  <w:pPr>
                    <w:pStyle w:val="39"/>
                    <w:jc w:val="left"/>
                    <w:rPr>
                      <w:rFonts w:hint="default" w:ascii="Times New Roman" w:hAnsi="Times New Roman" w:cs="Times New Roman"/>
                      <w:b w:val="0"/>
                      <w:bCs/>
                      <w:szCs w:val="21"/>
                      <w:highlight w:val="none"/>
                      <w:u w:val="none" w:color="auto"/>
                      <w:lang w:val="en-US" w:eastAsia="zh-CN"/>
                    </w:rPr>
                  </w:pPr>
                  <w:r>
                    <w:rPr>
                      <w:rFonts w:hint="default" w:ascii="Times New Roman" w:hAnsi="Times New Roman" w:cs="Times New Roman"/>
                      <w:b w:val="0"/>
                      <w:bCs/>
                      <w:szCs w:val="21"/>
                      <w:highlight w:val="none"/>
                      <w:u w:val="none" w:color="auto"/>
                      <w:lang w:val="en-US" w:eastAsia="zh-CN"/>
                    </w:rPr>
                    <w:t>（2.2）完善生活垃圾收集转运设施，禁止露天焚烧垃圾。</w:t>
                  </w:r>
                </w:p>
                <w:p>
                  <w:pPr>
                    <w:pStyle w:val="39"/>
                    <w:jc w:val="left"/>
                    <w:rPr>
                      <w:rFonts w:hint="default" w:ascii="Times New Roman" w:hAnsi="Times New Roman" w:cs="Times New Roman"/>
                      <w:b w:val="0"/>
                      <w:bCs/>
                      <w:szCs w:val="21"/>
                      <w:highlight w:val="none"/>
                      <w:u w:val="none" w:color="auto"/>
                      <w:lang w:val="en-US" w:eastAsia="zh-CN"/>
                    </w:rPr>
                  </w:pPr>
                  <w:r>
                    <w:rPr>
                      <w:rFonts w:hint="default" w:ascii="Times New Roman" w:hAnsi="Times New Roman" w:cs="Times New Roman"/>
                      <w:b w:val="0"/>
                      <w:bCs/>
                      <w:szCs w:val="21"/>
                      <w:highlight w:val="none"/>
                      <w:u w:val="none" w:color="auto"/>
                      <w:lang w:val="en-US" w:eastAsia="zh-CN"/>
                    </w:rPr>
                    <w:t>（2.3）武溪镇集镇：加强餐饮油烟污染治理，餐饮服务经营场所应安装高效油烟净化装置。</w:t>
                  </w:r>
                </w:p>
                <w:p>
                  <w:pPr>
                    <w:pStyle w:val="39"/>
                    <w:jc w:val="left"/>
                    <w:rPr>
                      <w:rFonts w:hint="default" w:ascii="Times New Roman" w:hAnsi="Times New Roman" w:cs="Times New Roman"/>
                      <w:b w:val="0"/>
                      <w:bCs/>
                      <w:szCs w:val="21"/>
                      <w:highlight w:val="none"/>
                      <w:u w:val="none" w:color="auto"/>
                      <w:lang w:val="en-US" w:eastAsia="zh-CN"/>
                    </w:rPr>
                  </w:pPr>
                  <w:r>
                    <w:rPr>
                      <w:rFonts w:hint="default" w:ascii="Times New Roman" w:hAnsi="Times New Roman" w:cs="Times New Roman"/>
                      <w:b w:val="0"/>
                      <w:bCs/>
                      <w:szCs w:val="21"/>
                      <w:highlight w:val="none"/>
                      <w:u w:val="none" w:color="auto"/>
                      <w:lang w:val="en-US" w:eastAsia="zh-CN"/>
                    </w:rPr>
                    <w:t>（2.4）在适养区内推广生态养殖场、养殖小区标准化改造，对未进行标准化改造或改造后不达标</w:t>
                  </w:r>
                </w:p>
                <w:p>
                  <w:pPr>
                    <w:pStyle w:val="39"/>
                    <w:jc w:val="left"/>
                    <w:rPr>
                      <w:rFonts w:hint="default" w:ascii="Times New Roman" w:hAnsi="Times New Roman" w:cs="Times New Roman"/>
                      <w:b w:val="0"/>
                      <w:bCs/>
                      <w:szCs w:val="21"/>
                      <w:highlight w:val="none"/>
                      <w:u w:val="none" w:color="auto"/>
                      <w:lang w:val="en-US" w:eastAsia="zh-CN"/>
                    </w:rPr>
                  </w:pPr>
                  <w:r>
                    <w:rPr>
                      <w:rFonts w:hint="default" w:ascii="Times New Roman" w:hAnsi="Times New Roman" w:cs="Times New Roman"/>
                      <w:b w:val="0"/>
                      <w:bCs/>
                      <w:szCs w:val="21"/>
                      <w:highlight w:val="none"/>
                      <w:u w:val="none" w:color="auto"/>
                      <w:lang w:val="en-US" w:eastAsia="zh-CN"/>
                    </w:rPr>
                    <w:t>的养殖场依法依规进行处理。</w:t>
                  </w:r>
                </w:p>
              </w:tc>
              <w:tc>
                <w:tcPr>
                  <w:tcW w:w="1581" w:type="pct"/>
                  <w:gridSpan w:val="2"/>
                  <w:tcBorders>
                    <w:tl2br w:val="nil"/>
                    <w:tr2bl w:val="nil"/>
                  </w:tcBorders>
                  <w:noWrap w:val="0"/>
                  <w:vAlign w:val="center"/>
                </w:tcPr>
                <w:p>
                  <w:pPr>
                    <w:pStyle w:val="39"/>
                    <w:widowControl w:val="0"/>
                    <w:bidi w:val="0"/>
                    <w:jc w:val="center"/>
                    <w:rPr>
                      <w:rFonts w:hint="default" w:ascii="Times New Roman" w:hAnsi="Times New Roman" w:cs="Times New Roman"/>
                      <w:b w:val="0"/>
                      <w:bCs/>
                      <w:szCs w:val="21"/>
                      <w:highlight w:val="none"/>
                      <w:u w:val="none" w:color="auto"/>
                      <w:lang w:val="en-US" w:eastAsia="zh-CN"/>
                    </w:rPr>
                  </w:pPr>
                  <w:r>
                    <w:rPr>
                      <w:rFonts w:hint="default" w:ascii="Times New Roman" w:hAnsi="Times New Roman" w:cs="Times New Roman"/>
                      <w:b w:val="0"/>
                      <w:bCs/>
                      <w:szCs w:val="21"/>
                      <w:highlight w:val="none"/>
                      <w:u w:val="none" w:color="auto"/>
                      <w:lang w:val="zh-CN"/>
                    </w:rPr>
                    <w:t>项目</w:t>
                  </w:r>
                  <w:r>
                    <w:rPr>
                      <w:rFonts w:hint="default" w:ascii="Times New Roman" w:hAnsi="Times New Roman" w:cs="Times New Roman"/>
                      <w:b w:val="0"/>
                      <w:bCs/>
                      <w:szCs w:val="21"/>
                      <w:highlight w:val="none"/>
                      <w:u w:val="none" w:color="auto"/>
                      <w:lang w:val="en-US" w:eastAsia="zh-CN"/>
                    </w:rPr>
                    <w:t>营运期产生的废水均通过自建污水处理设施处理达标后农灌，不外排；</w:t>
                  </w:r>
                  <w:r>
                    <w:rPr>
                      <w:rFonts w:hint="default" w:ascii="Times New Roman" w:hAnsi="Times New Roman" w:cs="Times New Roman"/>
                      <w:b w:val="0"/>
                      <w:bCs/>
                      <w:szCs w:val="21"/>
                      <w:highlight w:val="none"/>
                      <w:u w:val="none" w:color="auto"/>
                      <w:lang w:val="zh-CN"/>
                    </w:rPr>
                    <w:t>生活垃圾</w:t>
                  </w:r>
                  <w:r>
                    <w:rPr>
                      <w:rFonts w:hint="default" w:ascii="Times New Roman" w:hAnsi="Times New Roman" w:cs="Times New Roman"/>
                      <w:b w:val="0"/>
                      <w:bCs/>
                      <w:szCs w:val="21"/>
                      <w:highlight w:val="none"/>
                      <w:u w:val="none" w:color="auto"/>
                      <w:lang w:val="en-US" w:eastAsia="zh-CN"/>
                    </w:rPr>
                    <w:t>通过设置分类垃圾收集桶收集后交由环卫部门清运处置</w:t>
                  </w:r>
                  <w:r>
                    <w:rPr>
                      <w:rFonts w:hint="default" w:ascii="Times New Roman" w:hAnsi="Times New Roman" w:cs="Times New Roman"/>
                      <w:b w:val="0"/>
                      <w:bCs/>
                      <w:szCs w:val="21"/>
                      <w:highlight w:val="none"/>
                      <w:u w:val="none" w:color="auto"/>
                      <w:lang w:val="zh-CN"/>
                    </w:rPr>
                    <w:t>；项目</w:t>
                  </w:r>
                  <w:r>
                    <w:rPr>
                      <w:rFonts w:hint="default" w:ascii="Times New Roman" w:hAnsi="Times New Roman" w:cs="Times New Roman"/>
                      <w:b w:val="0"/>
                      <w:bCs/>
                      <w:szCs w:val="21"/>
                      <w:highlight w:val="none"/>
                      <w:u w:val="none" w:color="auto"/>
                      <w:lang w:val="en-US" w:eastAsia="zh-CN"/>
                    </w:rPr>
                    <w:t>不在厂内设置食堂</w:t>
                  </w:r>
                </w:p>
              </w:tc>
              <w:tc>
                <w:tcPr>
                  <w:tcW w:w="698"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6"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环境风险防控</w:t>
                  </w:r>
                </w:p>
              </w:tc>
              <w:tc>
                <w:tcPr>
                  <w:tcW w:w="2134" w:type="pct"/>
                  <w:gridSpan w:val="4"/>
                  <w:tcBorders>
                    <w:tl2br w:val="nil"/>
                    <w:tr2bl w:val="nil"/>
                  </w:tcBorders>
                  <w:noWrap w:val="0"/>
                  <w:vAlign w:val="center"/>
                </w:tcPr>
                <w:p>
                  <w:pPr>
                    <w:pStyle w:val="39"/>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（3.1）可能发生突发环境事件的工矿企业应按相关要求编制并实施突发环境事件应急预案，认真落实各项环境风险事故防范措施。</w:t>
                  </w:r>
                </w:p>
                <w:p>
                  <w:pPr>
                    <w:pStyle w:val="39"/>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（3.2）武溪镇：原白沙冶化厂地块在移出污染地块名录之前，不得作为居住用地和商业、学校、医疗、养老机构等公共设施用地。</w:t>
                  </w:r>
                </w:p>
              </w:tc>
              <w:tc>
                <w:tcPr>
                  <w:tcW w:w="1581" w:type="pct"/>
                  <w:gridSpan w:val="2"/>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不涉及</w:t>
                  </w:r>
                </w:p>
              </w:tc>
              <w:tc>
                <w:tcPr>
                  <w:tcW w:w="698"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6"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资源开发效率要求</w:t>
                  </w:r>
                </w:p>
              </w:tc>
              <w:tc>
                <w:tcPr>
                  <w:tcW w:w="2134" w:type="pct"/>
                  <w:gridSpan w:val="4"/>
                  <w:tcBorders>
                    <w:tl2br w:val="nil"/>
                    <w:tr2bl w:val="nil"/>
                  </w:tcBorders>
                  <w:noWrap w:val="0"/>
                  <w:vAlign w:val="center"/>
                </w:tcPr>
                <w:p>
                  <w:pPr>
                    <w:pStyle w:val="39"/>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4.1）武溪镇：泸溪高新区规划范围内（核准范围以外），以电解锌、铝合金型材加工行业为重点，采取淘汰落后机电设备、优化生产工艺和原材料、使用清洁能源、完善能源计量器具等节能措施；强化工业节水，重点开展化工、食品等高耗水工业节水技术改造，大力推广工业水循环利用，推进节水型企业、节水型园区建设。</w:t>
                  </w:r>
                </w:p>
                <w:p>
                  <w:pPr>
                    <w:pStyle w:val="39"/>
                    <w:jc w:val="left"/>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（4.2）能源：高污染燃料禁燃区按《泸溪县人民政府办公室关于划定泸溪县高污染燃料禁燃区的通知》进行管控。</w:t>
                  </w:r>
                </w:p>
              </w:tc>
              <w:tc>
                <w:tcPr>
                  <w:tcW w:w="1581" w:type="pct"/>
                  <w:gridSpan w:val="2"/>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本项目运营期使用能源主要为电能、水、生物质颗粒等能源，不使用燃煤等高污染燃料</w:t>
                  </w:r>
                </w:p>
              </w:tc>
              <w:tc>
                <w:tcPr>
                  <w:tcW w:w="698" w:type="pct"/>
                  <w:tcBorders>
                    <w:tl2br w:val="nil"/>
                    <w:tr2bl w:val="nil"/>
                  </w:tcBorders>
                  <w:noWrap w:val="0"/>
                  <w:vAlign w:val="center"/>
                </w:tcPr>
                <w:p>
                  <w:pPr>
                    <w:pStyle w:val="39"/>
                    <w:widowControl w:val="0"/>
                    <w:bidi w:val="0"/>
                    <w:jc w:val="center"/>
                    <w:rPr>
                      <w:rFonts w:hint="default" w:ascii="Times New Roman" w:hAnsi="Times New Roman" w:cs="Times New Roman"/>
                      <w:b w:val="0"/>
                      <w:bCs/>
                      <w:szCs w:val="21"/>
                      <w:u w:val="none" w:color="auto"/>
                      <w:lang w:val="en-US" w:eastAsia="zh-CN"/>
                    </w:rPr>
                  </w:pPr>
                  <w:r>
                    <w:rPr>
                      <w:rFonts w:hint="default" w:ascii="Times New Roman" w:hAnsi="Times New Roman" w:cs="Times New Roman"/>
                      <w:b w:val="0"/>
                      <w:bCs/>
                      <w:szCs w:val="21"/>
                      <w:u w:val="none" w:color="auto"/>
                      <w:lang w:val="en-US" w:eastAsia="zh-CN"/>
                    </w:rPr>
                    <w:t>符合</w:t>
                  </w:r>
                </w:p>
              </w:tc>
            </w:tr>
          </w:tbl>
          <w:p>
            <w:pPr>
              <w:bidi w:val="0"/>
              <w:rPr>
                <w:rFonts w:hint="default" w:ascii="Times New Roman" w:hAnsi="Times New Roman" w:cs="Times New Roman"/>
                <w:u w:val="none" w:color="auto"/>
                <w:lang w:val="en-US"/>
              </w:rPr>
            </w:pPr>
            <w:r>
              <w:rPr>
                <w:rFonts w:hint="default" w:ascii="Times New Roman" w:hAnsi="Times New Roman" w:eastAsia="宋体" w:cs="Times New Roman"/>
                <w:color w:val="000000"/>
                <w:kern w:val="0"/>
                <w:sz w:val="24"/>
                <w:szCs w:val="24"/>
                <w:u w:val="none" w:color="auto"/>
                <w:lang w:val="en-US" w:eastAsia="zh-CN" w:bidi="ar"/>
              </w:rPr>
              <w:t>综上所述，本项目总体上能够符合“三线一单”的管理要求。</w:t>
            </w:r>
          </w:p>
          <w:p>
            <w:pPr>
              <w:pStyle w:val="6"/>
              <w:ind w:firstLine="0" w:firstLineChars="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1.1.4项目与</w:t>
            </w:r>
            <w:r>
              <w:rPr>
                <w:rFonts w:hint="default" w:ascii="Times New Roman" w:hAnsi="Times New Roman" w:cs="Times New Roman"/>
                <w:u w:val="none" w:color="auto"/>
              </w:rPr>
              <w:t>《湖南省主体功能</w:t>
            </w:r>
            <w:r>
              <w:rPr>
                <w:rFonts w:hint="default" w:ascii="Times New Roman" w:hAnsi="Times New Roman" w:cs="Times New Roman"/>
                <w:u w:val="none" w:color="auto"/>
                <w:lang w:eastAsia="zh-CN"/>
              </w:rPr>
              <w:t>区</w:t>
            </w:r>
            <w:r>
              <w:rPr>
                <w:rFonts w:hint="default" w:ascii="Times New Roman" w:hAnsi="Times New Roman" w:cs="Times New Roman"/>
                <w:u w:val="none" w:color="auto"/>
              </w:rPr>
              <w:t>规</w:t>
            </w:r>
            <w:r>
              <w:rPr>
                <w:rFonts w:hint="default" w:ascii="Times New Roman" w:hAnsi="Times New Roman" w:cs="Times New Roman"/>
                <w:highlight w:val="none"/>
                <w:u w:val="none" w:color="auto"/>
              </w:rPr>
              <w:t>划》相关符合性分析</w:t>
            </w:r>
          </w:p>
          <w:p>
            <w:pPr>
              <w:ind w:firstLine="48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根据《湖南省主体功能区</w:t>
            </w:r>
            <w:r>
              <w:rPr>
                <w:rFonts w:hint="default" w:ascii="Times New Roman" w:hAnsi="Times New Roman" w:cs="Times New Roman"/>
                <w:color w:val="auto"/>
                <w:u w:val="none" w:color="auto"/>
                <w:lang w:eastAsia="zh-CN"/>
              </w:rPr>
              <w:t>规</w:t>
            </w:r>
            <w:r>
              <w:rPr>
                <w:rFonts w:hint="default" w:ascii="Times New Roman" w:hAnsi="Times New Roman" w:cs="Times New Roman"/>
                <w:color w:val="auto"/>
                <w:u w:val="none" w:color="auto"/>
              </w:rPr>
              <w:t>划》，</w:t>
            </w:r>
            <w:r>
              <w:rPr>
                <w:rFonts w:hint="default" w:ascii="Times New Roman" w:hAnsi="Times New Roman" w:cs="Times New Roman"/>
                <w:color w:val="auto"/>
                <w:u w:val="none" w:color="auto"/>
                <w:lang w:val="en-US" w:eastAsia="zh-CN"/>
              </w:rPr>
              <w:t>泸溪县</w:t>
            </w:r>
            <w:r>
              <w:rPr>
                <w:rFonts w:hint="default" w:ascii="Times New Roman" w:hAnsi="Times New Roman" w:cs="Times New Roman"/>
                <w:color w:val="auto"/>
                <w:u w:val="none" w:color="auto"/>
                <w:lang w:eastAsia="zh-CN"/>
              </w:rPr>
              <w:t>属于</w:t>
            </w:r>
            <w:r>
              <w:rPr>
                <w:rFonts w:hint="default" w:ascii="Times New Roman" w:hAnsi="Times New Roman" w:cs="Times New Roman"/>
                <w:color w:val="auto"/>
                <w:u w:val="none" w:color="auto"/>
                <w:lang w:val="en-US" w:eastAsia="zh-CN"/>
              </w:rPr>
              <w:t>国家级</w:t>
            </w:r>
            <w:r>
              <w:rPr>
                <w:rFonts w:hint="default" w:ascii="Times New Roman" w:hAnsi="Times New Roman" w:cs="Times New Roman"/>
                <w:color w:val="auto"/>
                <w:u w:val="none" w:color="auto"/>
                <w:lang w:eastAsia="zh-CN"/>
              </w:rPr>
              <w:t>重点生态功能区</w:t>
            </w:r>
            <w:r>
              <w:rPr>
                <w:rFonts w:hint="default" w:ascii="Times New Roman" w:hAnsi="Times New Roman" w:cs="Times New Roman"/>
                <w:color w:val="auto"/>
                <w:u w:val="none" w:color="auto"/>
              </w:rPr>
              <w:t>，限制进行大规模高强度工业化城镇化开发的生态区域。根据该规划，重点生态功能区是指生态系统十分重要，关系到国家或省内较大范围的生态安全，资源环境承载能力较弱、大规模集聚经济和人口条件不够好，需要在国土空间开发中限制进行大规模高强度工业化城镇化开发，以保持并提高生态产品供给能力的区域。</w:t>
            </w:r>
          </w:p>
          <w:p>
            <w:pPr>
              <w:ind w:firstLine="480"/>
              <w:jc w:val="both"/>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本</w:t>
            </w:r>
            <w:r>
              <w:rPr>
                <w:rFonts w:hint="default" w:ascii="Times New Roman" w:hAnsi="Times New Roman" w:cs="Times New Roman"/>
                <w:color w:val="auto"/>
                <w:u w:val="none" w:color="auto"/>
              </w:rPr>
              <w:t>项目与《湖南省主体功能区</w:t>
            </w:r>
            <w:r>
              <w:rPr>
                <w:rFonts w:hint="default" w:ascii="Times New Roman" w:hAnsi="Times New Roman" w:cs="Times New Roman"/>
                <w:color w:val="auto"/>
                <w:u w:val="none" w:color="auto"/>
                <w:lang w:eastAsia="zh-CN"/>
              </w:rPr>
              <w:t>规划</w:t>
            </w:r>
            <w:r>
              <w:rPr>
                <w:rFonts w:hint="default" w:ascii="Times New Roman" w:hAnsi="Times New Roman" w:cs="Times New Roman"/>
                <w:color w:val="auto"/>
                <w:u w:val="none" w:color="auto"/>
              </w:rPr>
              <w:t>》内容符合性分析见表</w:t>
            </w:r>
            <w:r>
              <w:rPr>
                <w:rFonts w:hint="default" w:ascii="Times New Roman" w:hAnsi="Times New Roman" w:cs="Times New Roman"/>
                <w:color w:val="auto"/>
                <w:u w:val="none" w:color="auto"/>
                <w:lang w:val="en-US" w:eastAsia="zh-CN"/>
              </w:rPr>
              <w:t>1.</w:t>
            </w:r>
            <w:r>
              <w:rPr>
                <w:rFonts w:hint="eastAsia" w:ascii="Times New Roman" w:hAnsi="Times New Roman" w:cs="Times New Roman"/>
                <w:color w:val="auto"/>
                <w:u w:val="none" w:color="auto"/>
                <w:lang w:val="en-US" w:eastAsia="zh-CN"/>
              </w:rPr>
              <w:t>1-4</w:t>
            </w:r>
            <w:r>
              <w:rPr>
                <w:rFonts w:hint="default" w:ascii="Times New Roman" w:hAnsi="Times New Roman" w:cs="Times New Roman"/>
                <w:color w:val="auto"/>
                <w:u w:val="none" w:color="auto"/>
                <w:lang w:eastAsia="zh-CN"/>
              </w:rPr>
              <w:t>。</w:t>
            </w:r>
          </w:p>
          <w:p>
            <w:pPr>
              <w:pStyle w:val="71"/>
              <w:bidi w:val="0"/>
              <w:rPr>
                <w:rFonts w:hint="default"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eastAsia="zh-CN"/>
              </w:rPr>
              <w:t>1.</w:t>
            </w:r>
            <w:r>
              <w:rPr>
                <w:rFonts w:hint="eastAsia" w:ascii="Times New Roman" w:hAnsi="Times New Roman" w:cs="Times New Roman"/>
                <w:u w:val="none" w:color="auto"/>
                <w:lang w:val="en-US" w:eastAsia="zh-CN"/>
              </w:rPr>
              <w:t>1-4</w:t>
            </w:r>
            <w:r>
              <w:rPr>
                <w:rFonts w:hint="default" w:ascii="Times New Roman" w:hAnsi="Times New Roman" w:cs="Times New Roman"/>
                <w:u w:val="none" w:color="auto"/>
                <w:lang w:val="en-US" w:eastAsia="zh-CN"/>
              </w:rPr>
              <w:t xml:space="preserve"> </w:t>
            </w:r>
            <w:r>
              <w:rPr>
                <w:rFonts w:hint="default" w:ascii="Times New Roman" w:hAnsi="Times New Roman" w:cs="Times New Roman"/>
                <w:u w:val="none" w:color="auto"/>
              </w:rPr>
              <w:t xml:space="preserve"> </w:t>
            </w:r>
            <w:r>
              <w:rPr>
                <w:rFonts w:hint="default" w:ascii="Times New Roman" w:hAnsi="Times New Roman" w:cs="Times New Roman"/>
                <w:u w:val="none" w:color="auto"/>
                <w:lang w:eastAsia="zh-CN"/>
              </w:rPr>
              <w:t>本项目与</w:t>
            </w:r>
            <w:r>
              <w:rPr>
                <w:rFonts w:hint="default" w:ascii="Times New Roman" w:hAnsi="Times New Roman" w:cs="Times New Roman"/>
                <w:u w:val="none" w:color="auto"/>
              </w:rPr>
              <w:t>《湖南省主体功能区规划》相符性分析</w:t>
            </w:r>
          </w:p>
          <w:tbl>
            <w:tblPr>
              <w:tblStyle w:val="29"/>
              <w:tblW w:w="80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3598"/>
              <w:gridCol w:w="2943"/>
              <w:gridCol w:w="8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68" w:type="dxa"/>
                  <w:tcBorders>
                    <w:tl2br w:val="nil"/>
                    <w:tr2bl w:val="nil"/>
                  </w:tcBorders>
                  <w:noWrap w:val="0"/>
                  <w:vAlign w:val="center"/>
                </w:tcPr>
                <w:p>
                  <w:pPr>
                    <w:pStyle w:val="39"/>
                    <w:bidi w:val="0"/>
                    <w:rPr>
                      <w:rFonts w:hint="default" w:ascii="Times New Roman" w:hAnsi="Times New Roman" w:cs="Times New Roman"/>
                      <w:b/>
                      <w:bCs/>
                      <w:sz w:val="21"/>
                      <w:szCs w:val="21"/>
                      <w:u w:val="none" w:color="auto"/>
                      <w:lang w:val="en-US" w:eastAsia="zh-CN" w:bidi="ar-SA"/>
                    </w:rPr>
                  </w:pPr>
                  <w:r>
                    <w:rPr>
                      <w:rFonts w:hint="default" w:ascii="Times New Roman" w:hAnsi="Times New Roman" w:cs="Times New Roman"/>
                      <w:b/>
                      <w:bCs/>
                      <w:sz w:val="21"/>
                      <w:szCs w:val="21"/>
                      <w:u w:val="none" w:color="auto"/>
                      <w:lang w:val="en-US" w:eastAsia="zh-CN" w:bidi="ar-SA"/>
                    </w:rPr>
                    <w:t>序号</w:t>
                  </w:r>
                </w:p>
              </w:tc>
              <w:tc>
                <w:tcPr>
                  <w:tcW w:w="3598" w:type="dxa"/>
                  <w:tcBorders>
                    <w:tl2br w:val="nil"/>
                    <w:tr2bl w:val="nil"/>
                  </w:tcBorders>
                  <w:noWrap w:val="0"/>
                  <w:vAlign w:val="center"/>
                </w:tcPr>
                <w:p>
                  <w:pPr>
                    <w:pStyle w:val="39"/>
                    <w:bidi w:val="0"/>
                    <w:rPr>
                      <w:rFonts w:hint="default" w:ascii="Times New Roman" w:hAnsi="Times New Roman" w:cs="Times New Roman"/>
                      <w:b/>
                      <w:bCs/>
                      <w:sz w:val="21"/>
                      <w:szCs w:val="21"/>
                      <w:u w:val="none" w:color="auto"/>
                      <w:lang w:val="en-US" w:eastAsia="zh-CN" w:bidi="ar-SA"/>
                    </w:rPr>
                  </w:pPr>
                  <w:r>
                    <w:rPr>
                      <w:rFonts w:hint="default" w:ascii="Times New Roman" w:hAnsi="Times New Roman" w:cs="Times New Roman"/>
                      <w:b/>
                      <w:bCs/>
                      <w:sz w:val="21"/>
                      <w:szCs w:val="21"/>
                      <w:u w:val="none" w:color="auto"/>
                      <w:lang w:val="en-US" w:eastAsia="zh-CN" w:bidi="ar-SA"/>
                    </w:rPr>
                    <w:t>《湖南省主体功能区划》中重点生态功能区与项目相关的发展方向要求</w:t>
                  </w:r>
                </w:p>
              </w:tc>
              <w:tc>
                <w:tcPr>
                  <w:tcW w:w="2943" w:type="dxa"/>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cs="Times New Roman"/>
                      <w:b/>
                      <w:bCs/>
                      <w:sz w:val="21"/>
                      <w:szCs w:val="21"/>
                      <w:u w:val="none" w:color="auto"/>
                      <w:lang w:val="en-US" w:eastAsia="zh-CN" w:bidi="ar-SA"/>
                    </w:rPr>
                    <w:t>本工程相关内容</w:t>
                  </w:r>
                </w:p>
              </w:tc>
              <w:tc>
                <w:tcPr>
                  <w:tcW w:w="810" w:type="dxa"/>
                  <w:tcBorders>
                    <w:tl2br w:val="nil"/>
                    <w:tr2bl w:val="nil"/>
                  </w:tcBorders>
                  <w:noWrap w:val="0"/>
                  <w:vAlign w:val="center"/>
                </w:tcPr>
                <w:p>
                  <w:pPr>
                    <w:pStyle w:val="39"/>
                    <w:bidi w:val="0"/>
                    <w:rPr>
                      <w:rFonts w:hint="default" w:ascii="Times New Roman" w:hAnsi="Times New Roman" w:cs="Times New Roman"/>
                      <w:b/>
                      <w:bCs/>
                      <w:sz w:val="21"/>
                      <w:szCs w:val="21"/>
                      <w:u w:val="none" w:color="auto"/>
                      <w:lang w:val="en-US" w:eastAsia="zh-CN" w:bidi="ar-SA"/>
                    </w:rPr>
                  </w:pPr>
                  <w:r>
                    <w:rPr>
                      <w:rFonts w:hint="default" w:ascii="Times New Roman" w:hAnsi="Times New Roman" w:cs="Times New Roman"/>
                      <w:b/>
                      <w:bCs/>
                      <w:sz w:val="21"/>
                      <w:szCs w:val="21"/>
                      <w:u w:val="none" w:color="auto"/>
                      <w:lang w:val="en-US" w:eastAsia="zh-CN" w:bidi="ar-SA"/>
                    </w:rPr>
                    <w:t>是否符合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9" w:hRule="atLeast"/>
                <w:jc w:val="center"/>
              </w:trPr>
              <w:tc>
                <w:tcPr>
                  <w:tcW w:w="668" w:type="dxa"/>
                  <w:tcBorders>
                    <w:tl2br w:val="nil"/>
                    <w:tr2bl w:val="nil"/>
                  </w:tcBorders>
                  <w:noWrap w:val="0"/>
                  <w:vAlign w:val="center"/>
                </w:tcPr>
                <w:p>
                  <w:pPr>
                    <w:pStyle w:val="39"/>
                    <w:bidi w:val="0"/>
                    <w:rPr>
                      <w:rFonts w:hint="default" w:ascii="Times New Roman" w:hAnsi="Times New Roman"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1</w:t>
                  </w:r>
                </w:p>
              </w:tc>
              <w:tc>
                <w:tcPr>
                  <w:tcW w:w="3598" w:type="dxa"/>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保持水土，实施水土流失预防监控和生态修复工程，加强流域综合治理，营造水土保持林，禁止毁林开荒，推行节水灌溉，适度发展旱作农业，限制陡坡垦殖，合理开发自然资源，加大工矿区环境整治和生态修复力度，保护和恢复自然生态系统，增强区域水土保持能力</w:t>
                  </w:r>
                </w:p>
              </w:tc>
              <w:tc>
                <w:tcPr>
                  <w:tcW w:w="2943" w:type="dxa"/>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项目</w:t>
                  </w:r>
                  <w:r>
                    <w:rPr>
                      <w:rFonts w:hint="default" w:ascii="Times New Roman" w:hAnsi="Times New Roman" w:eastAsia="宋体" w:cs="Times New Roman"/>
                      <w:b w:val="0"/>
                      <w:sz w:val="21"/>
                      <w:szCs w:val="21"/>
                      <w:u w:val="none" w:color="auto"/>
                      <w:lang w:val="en-US" w:eastAsia="zh-CN" w:bidi="ar-SA"/>
                    </w:rPr>
                    <w:t>选址于</w:t>
                  </w:r>
                  <w:r>
                    <w:rPr>
                      <w:rFonts w:hint="default" w:ascii="Times New Roman" w:hAnsi="Times New Roman" w:cs="Times New Roman"/>
                      <w:b w:val="0"/>
                      <w:u w:val="none" w:color="auto"/>
                      <w:lang w:val="en-US" w:eastAsia="zh-CN"/>
                    </w:rPr>
                    <w:t>泸溪县武溪镇红土溪村</w:t>
                  </w:r>
                  <w:r>
                    <w:rPr>
                      <w:rFonts w:hint="default" w:ascii="Times New Roman" w:hAnsi="Times New Roman" w:eastAsia="宋体" w:cs="Times New Roman"/>
                      <w:b w:val="0"/>
                      <w:sz w:val="21"/>
                      <w:szCs w:val="21"/>
                      <w:u w:val="none" w:color="auto"/>
                      <w:lang w:val="en-US" w:eastAsia="zh-CN" w:bidi="ar-SA"/>
                    </w:rPr>
                    <w:t>，</w:t>
                  </w:r>
                  <w:r>
                    <w:rPr>
                      <w:rFonts w:hint="default" w:ascii="Times New Roman" w:hAnsi="Times New Roman" w:cs="Times New Roman"/>
                      <w:b w:val="0"/>
                      <w:sz w:val="21"/>
                      <w:szCs w:val="21"/>
                      <w:u w:val="none" w:color="auto"/>
                      <w:lang w:val="en-US" w:eastAsia="zh-CN" w:bidi="ar-SA"/>
                    </w:rPr>
                    <w:t>本项目用地现状为工业用地，与本项目建设性质不冲突，施工期需进行土石方开挖，施工过程中业主严格按照本环评提出的施工期环境保护措施进行施工，对区域生态环境影响较小。</w:t>
                  </w:r>
                </w:p>
              </w:tc>
              <w:tc>
                <w:tcPr>
                  <w:tcW w:w="810" w:type="dxa"/>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668" w:type="dxa"/>
                  <w:tcBorders>
                    <w:tl2br w:val="nil"/>
                    <w:tr2bl w:val="nil"/>
                  </w:tcBorders>
                  <w:noWrap w:val="0"/>
                  <w:vAlign w:val="center"/>
                </w:tcPr>
                <w:p>
                  <w:pPr>
                    <w:pStyle w:val="39"/>
                    <w:bidi w:val="0"/>
                    <w:rPr>
                      <w:rFonts w:hint="default" w:ascii="Times New Roman" w:hAnsi="Times New Roman"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2</w:t>
                  </w:r>
                </w:p>
              </w:tc>
              <w:tc>
                <w:tcPr>
                  <w:tcW w:w="3598" w:type="dxa"/>
                  <w:tcBorders>
                    <w:tl2br w:val="nil"/>
                    <w:tr2bl w:val="nil"/>
                  </w:tcBorders>
                  <w:noWrap w:val="0"/>
                  <w:vAlign w:val="center"/>
                </w:tcPr>
                <w:p>
                  <w:pPr>
                    <w:pStyle w:val="39"/>
                    <w:bidi w:val="0"/>
                    <w:jc w:val="both"/>
                    <w:rPr>
                      <w:rFonts w:hint="default" w:ascii="Times New Roman" w:hAnsi="Times New Roman"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维护生物多样性。落实保护措施，禁止滥捕滥采野生动植物，保护自然生态走廊和野生动物栖息地，促进自然生态系统恢复，保持野生动植物物种和种群平衡，实现野生动植物资源良性循环和永续利用。对生态环境已遭破坏地区，积极恢复自然环境。加强外来入侵物种管理，防止外来有害物种对生态系统的侵害</w:t>
                  </w:r>
                </w:p>
              </w:tc>
              <w:tc>
                <w:tcPr>
                  <w:tcW w:w="2943" w:type="dxa"/>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项目</w:t>
                  </w:r>
                  <w:r>
                    <w:rPr>
                      <w:rFonts w:hint="default" w:ascii="Times New Roman" w:hAnsi="Times New Roman" w:eastAsia="宋体" w:cs="Times New Roman"/>
                      <w:b w:val="0"/>
                      <w:sz w:val="21"/>
                      <w:szCs w:val="21"/>
                      <w:u w:val="none" w:color="auto"/>
                      <w:lang w:val="en-US" w:eastAsia="zh-CN" w:bidi="ar-SA"/>
                    </w:rPr>
                    <w:t>选址于</w:t>
                  </w:r>
                  <w:r>
                    <w:rPr>
                      <w:rFonts w:hint="default" w:ascii="Times New Roman" w:hAnsi="Times New Roman" w:cs="Times New Roman"/>
                      <w:b w:val="0"/>
                      <w:u w:val="none" w:color="auto"/>
                      <w:lang w:val="en-US" w:eastAsia="zh-CN"/>
                    </w:rPr>
                    <w:t>泸溪县武溪镇红土溪村</w:t>
                  </w:r>
                  <w:r>
                    <w:rPr>
                      <w:rFonts w:hint="default" w:ascii="Times New Roman" w:hAnsi="Times New Roman" w:eastAsia="宋体" w:cs="Times New Roman"/>
                      <w:b w:val="0"/>
                      <w:sz w:val="21"/>
                      <w:szCs w:val="21"/>
                      <w:u w:val="none" w:color="auto"/>
                      <w:lang w:val="en-US" w:eastAsia="zh-CN" w:bidi="ar-SA"/>
                    </w:rPr>
                    <w:t>，</w:t>
                  </w:r>
                  <w:r>
                    <w:rPr>
                      <w:rFonts w:hint="default" w:ascii="Times New Roman" w:hAnsi="Times New Roman" w:cs="Times New Roman"/>
                      <w:b w:val="0"/>
                      <w:sz w:val="21"/>
                      <w:szCs w:val="21"/>
                      <w:u w:val="none" w:color="auto"/>
                      <w:lang w:val="en-US" w:eastAsia="zh-CN" w:bidi="ar-SA"/>
                    </w:rPr>
                    <w:t>本项目用地现状为泸溪县白沙天然饮料厂旧址，生态环境较单一，项目建设前后对区域生物多样性影响较小</w:t>
                  </w:r>
                </w:p>
              </w:tc>
              <w:tc>
                <w:tcPr>
                  <w:tcW w:w="810" w:type="dxa"/>
                  <w:tcBorders>
                    <w:tl2br w:val="nil"/>
                    <w:tr2bl w:val="nil"/>
                  </w:tcBorders>
                  <w:noWrap w:val="0"/>
                  <w:vAlign w:val="center"/>
                </w:tcPr>
                <w:p>
                  <w:pPr>
                    <w:pStyle w:val="39"/>
                    <w:bidi w:val="0"/>
                    <w:rPr>
                      <w:rFonts w:hint="default" w:ascii="Times New Roman" w:hAnsi="Times New Roman"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9" w:hRule="atLeast"/>
                <w:jc w:val="center"/>
              </w:trPr>
              <w:tc>
                <w:tcPr>
                  <w:tcW w:w="668" w:type="dxa"/>
                  <w:tcBorders>
                    <w:tl2br w:val="nil"/>
                    <w:tr2bl w:val="nil"/>
                  </w:tcBorders>
                  <w:noWrap w:val="0"/>
                  <w:vAlign w:val="center"/>
                </w:tcPr>
                <w:p>
                  <w:pPr>
                    <w:pStyle w:val="39"/>
                    <w:bidi w:val="0"/>
                    <w:rPr>
                      <w:rFonts w:hint="default" w:ascii="Times New Roman" w:hAnsi="Times New Roman"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3</w:t>
                  </w:r>
                </w:p>
              </w:tc>
              <w:tc>
                <w:tcPr>
                  <w:tcW w:w="3598" w:type="dxa"/>
                  <w:tcBorders>
                    <w:tl2br w:val="nil"/>
                    <w:tr2bl w:val="nil"/>
                  </w:tcBorders>
                  <w:noWrap w:val="0"/>
                  <w:vAlign w:val="center"/>
                </w:tcPr>
                <w:p>
                  <w:pPr>
                    <w:pStyle w:val="39"/>
                    <w:bidi w:val="0"/>
                    <w:jc w:val="both"/>
                    <w:rPr>
                      <w:rFonts w:hint="default" w:ascii="Times New Roman" w:hAnsi="Times New Roman"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在不损害生态功能的前提下，因地制宜发展适度资源开采、农林产品生产加工等资源环境可承载的适宜产业，积极发展第三产业。严格限制高污染、高能耗、高物耗产业，淘汰污染环境、破坏生态、浪费资源的产业</w:t>
                  </w:r>
                </w:p>
              </w:tc>
              <w:tc>
                <w:tcPr>
                  <w:tcW w:w="2943" w:type="dxa"/>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结合</w:t>
                  </w:r>
                  <w:r>
                    <w:rPr>
                      <w:rFonts w:hint="default" w:ascii="Times New Roman" w:hAnsi="Times New Roman" w:cs="Times New Roman"/>
                      <w:u w:val="none" w:color="auto"/>
                    </w:rPr>
                    <w:t>《产业结构调整指导目录（201</w:t>
                  </w:r>
                  <w:r>
                    <w:rPr>
                      <w:rFonts w:hint="default" w:ascii="Times New Roman" w:hAnsi="Times New Roman" w:cs="Times New Roman"/>
                      <w:u w:val="none" w:color="auto"/>
                      <w:lang w:val="en-US" w:eastAsia="zh-CN"/>
                    </w:rPr>
                    <w:t>9</w:t>
                  </w:r>
                  <w:r>
                    <w:rPr>
                      <w:rFonts w:hint="default" w:ascii="Times New Roman" w:hAnsi="Times New Roman" w:cs="Times New Roman"/>
                      <w:u w:val="none" w:color="auto"/>
                    </w:rPr>
                    <w:t>年本）》</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2021年修改版</w:t>
                  </w:r>
                  <w:r>
                    <w:rPr>
                      <w:rFonts w:hint="default" w:ascii="Times New Roman" w:hAnsi="Times New Roman" w:cs="Times New Roman"/>
                      <w:u w:val="none" w:color="auto"/>
                      <w:lang w:eastAsia="zh-CN"/>
                    </w:rPr>
                    <w:t>）</w:t>
                  </w:r>
                  <w:r>
                    <w:rPr>
                      <w:rFonts w:hint="default" w:ascii="Times New Roman" w:hAnsi="Times New Roman" w:eastAsia="宋体" w:cs="Times New Roman"/>
                      <w:b w:val="0"/>
                      <w:sz w:val="21"/>
                      <w:szCs w:val="21"/>
                      <w:u w:val="none" w:color="auto"/>
                      <w:lang w:val="en-US" w:eastAsia="zh-CN" w:bidi="ar-SA"/>
                    </w:rPr>
                    <w:t>、</w:t>
                  </w:r>
                  <w:r>
                    <w:rPr>
                      <w:rFonts w:hint="default" w:ascii="Times New Roman" w:hAnsi="Times New Roman" w:cs="Times New Roman"/>
                      <w:b w:val="0"/>
                      <w:sz w:val="21"/>
                      <w:szCs w:val="21"/>
                      <w:u w:val="none" w:color="auto"/>
                      <w:lang w:val="en-US" w:eastAsia="zh-CN" w:bidi="ar-SA"/>
                    </w:rPr>
                    <w:t>《湖南省“两高”项目管理名录》，本项目不属于禁止、淘汰类，且不属于“两高”</w:t>
                  </w:r>
                  <w:r>
                    <w:rPr>
                      <w:rFonts w:hint="default" w:ascii="Times New Roman" w:hAnsi="Times New Roman" w:eastAsia="宋体" w:cs="Times New Roman"/>
                      <w:b w:val="0"/>
                      <w:sz w:val="21"/>
                      <w:szCs w:val="21"/>
                      <w:u w:val="none" w:color="auto"/>
                      <w:lang w:val="en-US" w:eastAsia="zh-CN" w:bidi="ar-SA"/>
                    </w:rPr>
                    <w:t>项目，项目选址于</w:t>
                  </w:r>
                  <w:r>
                    <w:rPr>
                      <w:rFonts w:hint="default" w:ascii="Times New Roman" w:hAnsi="Times New Roman" w:cs="Times New Roman"/>
                      <w:b w:val="0"/>
                      <w:u w:val="none" w:color="auto"/>
                      <w:lang w:val="en-US" w:eastAsia="zh-CN"/>
                    </w:rPr>
                    <w:t>泸溪县武溪镇红土溪村</w:t>
                  </w:r>
                  <w:r>
                    <w:rPr>
                      <w:rFonts w:hint="default" w:ascii="Times New Roman" w:hAnsi="Times New Roman" w:eastAsia="宋体" w:cs="Times New Roman"/>
                      <w:b w:val="0"/>
                      <w:sz w:val="21"/>
                      <w:szCs w:val="21"/>
                      <w:u w:val="none" w:color="auto"/>
                      <w:lang w:val="en-US" w:eastAsia="zh-CN" w:bidi="ar-SA"/>
                    </w:rPr>
                    <w:t>，</w:t>
                  </w:r>
                  <w:r>
                    <w:rPr>
                      <w:rFonts w:hint="default" w:ascii="Times New Roman" w:hAnsi="Times New Roman" w:cs="Times New Roman"/>
                      <w:b w:val="0"/>
                      <w:sz w:val="21"/>
                      <w:szCs w:val="21"/>
                      <w:u w:val="none" w:color="auto"/>
                      <w:lang w:val="en-US" w:eastAsia="zh-CN" w:bidi="ar-SA"/>
                    </w:rPr>
                    <w:t>本项目使用电能以及生物质颗粒作为蒸汽发生器燃料，不使用高能耗、高污染能源</w:t>
                  </w:r>
                  <w:r>
                    <w:rPr>
                      <w:rFonts w:hint="default" w:ascii="Times New Roman" w:hAnsi="Times New Roman" w:eastAsia="宋体" w:cs="Times New Roman"/>
                      <w:b w:val="0"/>
                      <w:sz w:val="21"/>
                      <w:szCs w:val="21"/>
                      <w:u w:val="none" w:color="auto"/>
                      <w:lang w:val="en-US" w:eastAsia="zh-CN" w:bidi="ar-SA"/>
                    </w:rPr>
                    <w:t>。</w:t>
                  </w:r>
                </w:p>
              </w:tc>
              <w:tc>
                <w:tcPr>
                  <w:tcW w:w="810" w:type="dxa"/>
                  <w:tcBorders>
                    <w:tl2br w:val="nil"/>
                    <w:tr2bl w:val="nil"/>
                  </w:tcBorders>
                  <w:noWrap w:val="0"/>
                  <w:vAlign w:val="center"/>
                </w:tcPr>
                <w:p>
                  <w:pPr>
                    <w:pStyle w:val="39"/>
                    <w:bidi w:val="0"/>
                    <w:rPr>
                      <w:rFonts w:hint="default" w:ascii="Times New Roman" w:hAnsi="Times New Roman" w:cs="Times New Roman"/>
                      <w:b w:val="0"/>
                      <w:sz w:val="21"/>
                      <w:szCs w:val="21"/>
                      <w:u w:val="none" w:color="auto"/>
                      <w:lang w:val="en-US" w:eastAsia="zh-CN" w:bidi="ar-SA"/>
                    </w:rPr>
                  </w:pPr>
                  <w:r>
                    <w:rPr>
                      <w:rFonts w:hint="default" w:ascii="Times New Roman" w:hAnsi="Times New Roman" w:cs="Times New Roman"/>
                      <w:b w:val="0"/>
                      <w:sz w:val="21"/>
                      <w:szCs w:val="21"/>
                      <w:u w:val="none" w:color="auto"/>
                      <w:lang w:val="en-US" w:eastAsia="zh-CN" w:bidi="ar-SA"/>
                    </w:rPr>
                    <w:t>符合</w:t>
                  </w:r>
                </w:p>
              </w:tc>
            </w:tr>
          </w:tbl>
          <w:p>
            <w:pPr>
              <w:rPr>
                <w:rFonts w:ascii="Times New Roman" w:hAnsi="Times New Roman" w:cs="Times New Roman"/>
                <w:u w:val="none" w:color="auto"/>
              </w:rPr>
            </w:pPr>
            <w:r>
              <w:rPr>
                <w:rFonts w:hint="default" w:ascii="Times New Roman" w:hAnsi="Times New Roman" w:cs="Times New Roman"/>
                <w:u w:val="none" w:color="auto"/>
                <w:lang w:val="en-US" w:eastAsia="zh-CN"/>
              </w:rPr>
              <w:t>综上分析，本项目建设情况符合</w:t>
            </w:r>
            <w:r>
              <w:rPr>
                <w:rFonts w:hint="default" w:ascii="Times New Roman" w:hAnsi="Times New Roman" w:cs="Times New Roman"/>
                <w:u w:val="none" w:color="auto"/>
                <w:lang w:val="en-US" w:eastAsia="zh-CN" w:bidi="ar-SA"/>
              </w:rPr>
              <w:t>《湖南省主体功能区划》中重点生态功能区的发展方向要求。</w:t>
            </w:r>
          </w:p>
          <w:p>
            <w:pPr>
              <w:bidi w:val="0"/>
              <w:ind w:left="0" w:leftChars="0" w:firstLine="0" w:firstLineChars="0"/>
              <w:rPr>
                <w:rFonts w:hint="default" w:ascii="Times New Roman" w:hAnsi="Times New Roman" w:eastAsia="宋体" w:cs="Times New Roman"/>
                <w:b/>
                <w:bCs/>
                <w:kern w:val="2"/>
                <w:sz w:val="30"/>
                <w:szCs w:val="32"/>
                <w:u w:val="none" w:color="auto"/>
                <w:lang w:val="en-US" w:eastAsia="zh-CN" w:bidi="ar-SA"/>
              </w:rPr>
            </w:pPr>
            <w:r>
              <w:rPr>
                <w:rFonts w:hint="default" w:ascii="Times New Roman" w:hAnsi="Times New Roman" w:eastAsia="宋体" w:cs="Times New Roman"/>
                <w:b/>
                <w:bCs/>
                <w:kern w:val="2"/>
                <w:sz w:val="30"/>
                <w:szCs w:val="32"/>
                <w:u w:val="none" w:color="auto"/>
                <w:lang w:val="en-US" w:eastAsia="zh-CN" w:bidi="ar-SA"/>
              </w:rPr>
              <w:t>1.</w:t>
            </w:r>
            <w:r>
              <w:rPr>
                <w:rFonts w:hint="eastAsia" w:ascii="Times New Roman" w:hAnsi="Times New Roman" w:cs="Times New Roman"/>
                <w:b/>
                <w:bCs/>
                <w:kern w:val="2"/>
                <w:sz w:val="30"/>
                <w:szCs w:val="32"/>
                <w:u w:val="none" w:color="auto"/>
                <w:lang w:val="en-US" w:eastAsia="zh-CN" w:bidi="ar-SA"/>
              </w:rPr>
              <w:t>1.5</w:t>
            </w:r>
            <w:r>
              <w:rPr>
                <w:rFonts w:hint="default" w:ascii="Times New Roman" w:hAnsi="Times New Roman" w:eastAsia="宋体" w:cs="Times New Roman"/>
                <w:b/>
                <w:bCs/>
                <w:kern w:val="2"/>
                <w:sz w:val="30"/>
                <w:szCs w:val="32"/>
                <w:u w:val="none" w:color="auto"/>
                <w:lang w:val="en-US" w:eastAsia="zh-CN" w:bidi="ar-SA"/>
              </w:rPr>
              <w:t>项目与《湘西自治州“十四五”生态环境保护规划》</w:t>
            </w:r>
            <w:r>
              <w:rPr>
                <w:rFonts w:hint="default" w:ascii="Times New Roman" w:hAnsi="Times New Roman" w:cs="Times New Roman"/>
                <w:b/>
                <w:bCs/>
                <w:kern w:val="2"/>
                <w:sz w:val="30"/>
                <w:szCs w:val="32"/>
                <w:u w:val="none" w:color="auto"/>
                <w:lang w:val="en-US" w:eastAsia="zh-CN" w:bidi="ar-SA"/>
              </w:rPr>
              <w:t>的符合性分析</w:t>
            </w:r>
          </w:p>
          <w:p>
            <w:pPr>
              <w:jc w:val="both"/>
              <w:rPr>
                <w:rFonts w:hint="default" w:ascii="Times New Roman" w:hAnsi="Times New Roman" w:cs="Times New Roman"/>
                <w:u w:val="none" w:color="auto"/>
                <w:lang w:val="en-US" w:eastAsia="zh-CN"/>
              </w:rPr>
            </w:pPr>
            <w:r>
              <w:rPr>
                <w:rFonts w:hint="default" w:ascii="Times New Roman" w:hAnsi="Times New Roman" w:cs="Times New Roman"/>
                <w:u w:val="none" w:color="auto"/>
                <w:lang w:eastAsia="zh-CN"/>
              </w:rPr>
              <w:t>结合《湘西自治州“十四五”生态环境保护规划》中第五章 深入打好污染防治攻坚战推动生态文明建设行稳致远中与本项目相关的发展规划，本项目与《湘西自治州“十四五”生态环境保护规划》的符合性分析见表</w:t>
            </w:r>
            <w:r>
              <w:rPr>
                <w:rFonts w:hint="default" w:ascii="Times New Roman" w:hAnsi="Times New Roman" w:cs="Times New Roman"/>
                <w:u w:val="none" w:color="auto"/>
                <w:lang w:val="en-US" w:eastAsia="zh-CN"/>
              </w:rPr>
              <w:t>1.</w:t>
            </w:r>
            <w:r>
              <w:rPr>
                <w:rFonts w:hint="eastAsia" w:ascii="Times New Roman" w:hAnsi="Times New Roman" w:cs="Times New Roman"/>
                <w:u w:val="none" w:color="auto"/>
                <w:lang w:val="en-US" w:eastAsia="zh-CN"/>
              </w:rPr>
              <w:t>1-5</w:t>
            </w:r>
            <w:r>
              <w:rPr>
                <w:rFonts w:hint="default" w:ascii="Times New Roman" w:hAnsi="Times New Roman" w:cs="Times New Roman"/>
                <w:u w:val="none" w:color="auto"/>
                <w:lang w:val="en-US" w:eastAsia="zh-CN"/>
              </w:rPr>
              <w:t>。</w:t>
            </w:r>
          </w:p>
          <w:p>
            <w:pPr>
              <w:bidi w:val="0"/>
              <w:ind w:left="0" w:leftChars="0" w:firstLine="0" w:firstLineChars="0"/>
              <w:jc w:val="center"/>
              <w:rPr>
                <w:rFonts w:hint="default" w:ascii="Times New Roman" w:hAnsi="Times New Roman" w:eastAsia="宋体" w:cs="Times New Roman"/>
                <w:b/>
                <w:bCs/>
                <w:kern w:val="0"/>
                <w:sz w:val="21"/>
                <w:szCs w:val="21"/>
                <w:u w:val="none" w:color="auto"/>
                <w:lang w:val="en-US" w:eastAsia="zh-CN" w:bidi="zh-CN"/>
              </w:rPr>
            </w:pPr>
            <w:r>
              <w:rPr>
                <w:rFonts w:hint="default" w:ascii="Times New Roman" w:hAnsi="Times New Roman" w:eastAsia="宋体" w:cs="Times New Roman"/>
                <w:b/>
                <w:bCs/>
                <w:kern w:val="0"/>
                <w:sz w:val="21"/>
                <w:szCs w:val="21"/>
                <w:u w:val="none" w:color="auto"/>
                <w:lang w:val="en-US" w:eastAsia="zh-CN" w:bidi="zh-CN"/>
              </w:rPr>
              <w:t>表1.</w:t>
            </w:r>
            <w:r>
              <w:rPr>
                <w:rFonts w:hint="eastAsia" w:ascii="Times New Roman" w:hAnsi="Times New Roman" w:cs="Times New Roman"/>
                <w:b/>
                <w:bCs/>
                <w:kern w:val="0"/>
                <w:sz w:val="21"/>
                <w:szCs w:val="21"/>
                <w:u w:val="none" w:color="auto"/>
                <w:lang w:val="en-US" w:eastAsia="zh-CN" w:bidi="zh-CN"/>
              </w:rPr>
              <w:t>1-5</w:t>
            </w:r>
            <w:r>
              <w:rPr>
                <w:rFonts w:hint="default" w:ascii="Times New Roman" w:hAnsi="Times New Roman" w:eastAsia="宋体" w:cs="Times New Roman"/>
                <w:b/>
                <w:bCs/>
                <w:kern w:val="0"/>
                <w:sz w:val="21"/>
                <w:szCs w:val="21"/>
                <w:u w:val="none" w:color="auto"/>
                <w:lang w:val="en-US" w:eastAsia="zh-CN" w:bidi="zh-CN"/>
              </w:rPr>
              <w:t xml:space="preserve">  项目与《湘西自治州“十四五”生态环境保护规划》符合性分析</w:t>
            </w:r>
          </w:p>
          <w:tbl>
            <w:tblPr>
              <w:tblStyle w:val="29"/>
              <w:tblW w:w="49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3844"/>
              <w:gridCol w:w="3145"/>
              <w:gridCol w:w="8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15"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序号</w:t>
                  </w:r>
                </w:p>
              </w:tc>
              <w:tc>
                <w:tcPr>
                  <w:tcW w:w="2242"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《湘西自治州“十四五”生态环境保护规划》中与项目相关的发展规划</w:t>
                  </w:r>
                </w:p>
              </w:tc>
              <w:tc>
                <w:tcPr>
                  <w:tcW w:w="1834"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本工程相关内容</w:t>
                  </w:r>
                </w:p>
              </w:tc>
              <w:tc>
                <w:tcPr>
                  <w:tcW w:w="507"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bidi="ar-SA"/>
                    </w:rPr>
                  </w:pPr>
                  <w:r>
                    <w:rPr>
                      <w:rFonts w:hint="default" w:ascii="Times New Roman" w:hAnsi="Times New Roman" w:eastAsia="宋体" w:cs="Times New Roman"/>
                      <w:b/>
                      <w:bCs/>
                      <w:sz w:val="21"/>
                      <w:szCs w:val="21"/>
                      <w:u w:val="none" w:color="auto"/>
                      <w:lang w:val="en-US" w:eastAsia="zh-CN" w:bidi="ar-SA"/>
                    </w:rPr>
                    <w:t>是否符合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000" w:type="pct"/>
                  <w:gridSpan w:val="4"/>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第一节  系统治理，提升水生态环境质量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7" w:hRule="atLeast"/>
                <w:jc w:val="center"/>
              </w:trPr>
              <w:tc>
                <w:tcPr>
                  <w:tcW w:w="415"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1</w:t>
                  </w:r>
                </w:p>
              </w:tc>
              <w:tc>
                <w:tcPr>
                  <w:tcW w:w="2242"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持续深化污染减排。继续以企业和工业聚集区为重点，系统推进工业园区污水处理设施分类管理、分期升级改造，实施省级及以上工业园区专项整治行动，省级及以上工业园区污水管网全覆盖，实现园区污水全收集，污水集中处理设施稳定达标运行，在线监控联网正常。规范设置园区集中污水处理设施排污口，建立园区水环境管理“一园一档”。</w:t>
                  </w:r>
                </w:p>
              </w:tc>
              <w:tc>
                <w:tcPr>
                  <w:tcW w:w="1834"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项目位于泸溪县武溪镇红土溪村</w:t>
                  </w:r>
                  <w:r>
                    <w:rPr>
                      <w:rFonts w:hint="default" w:ascii="Times New Roman" w:hAnsi="Times New Roman" w:eastAsia="宋体" w:cs="Times New Roman"/>
                      <w:b w:val="0"/>
                      <w:sz w:val="21"/>
                      <w:szCs w:val="21"/>
                      <w:u w:val="none" w:color="auto"/>
                      <w:lang w:val="zh-CN" w:eastAsia="zh-CN" w:bidi="ar-SA"/>
                    </w:rPr>
                    <w:t>，项目</w:t>
                  </w:r>
                  <w:r>
                    <w:rPr>
                      <w:rFonts w:hint="default" w:ascii="Times New Roman" w:hAnsi="Times New Roman" w:eastAsia="宋体" w:cs="Times New Roman"/>
                      <w:b w:val="0"/>
                      <w:sz w:val="21"/>
                      <w:szCs w:val="21"/>
                      <w:u w:val="none" w:color="auto"/>
                      <w:lang w:val="en-US" w:eastAsia="zh-CN" w:bidi="ar-SA"/>
                    </w:rPr>
                    <w:t>周边无集中式污水处理设施及配套管网</w:t>
                  </w:r>
                  <w:r>
                    <w:rPr>
                      <w:rFonts w:hint="default" w:ascii="Times New Roman" w:hAnsi="Times New Roman" w:cs="Times New Roman"/>
                      <w:b w:val="0"/>
                      <w:sz w:val="21"/>
                      <w:szCs w:val="21"/>
                      <w:u w:val="none" w:color="auto"/>
                      <w:lang w:val="en-US" w:eastAsia="zh-CN" w:bidi="ar-SA"/>
                    </w:rPr>
                    <w:t>，项目运营期产生的废水</w:t>
                  </w:r>
                  <w:r>
                    <w:rPr>
                      <w:rFonts w:hint="default" w:ascii="Times New Roman" w:hAnsi="Times New Roman" w:eastAsia="宋体" w:cs="Times New Roman"/>
                      <w:b w:val="0"/>
                      <w:sz w:val="21"/>
                      <w:szCs w:val="21"/>
                      <w:u w:val="none" w:color="auto"/>
                      <w:lang w:val="en-US" w:eastAsia="zh-CN" w:bidi="ar-SA"/>
                    </w:rPr>
                    <w:t>通过自建一体化污水处理设施处理达标后用于农灌，不外排</w:t>
                  </w:r>
                  <w:r>
                    <w:rPr>
                      <w:rFonts w:hint="default" w:ascii="Times New Roman" w:hAnsi="Times New Roman" w:eastAsia="宋体" w:cs="Times New Roman"/>
                      <w:b w:val="0"/>
                      <w:strike w:val="0"/>
                      <w:dstrike w:val="0"/>
                      <w:sz w:val="21"/>
                      <w:szCs w:val="21"/>
                      <w:u w:val="none" w:color="auto"/>
                      <w:lang w:val="en-US" w:eastAsia="zh-CN" w:bidi="ar-SA"/>
                    </w:rPr>
                    <w:t>。</w:t>
                  </w:r>
                </w:p>
              </w:tc>
              <w:tc>
                <w:tcPr>
                  <w:tcW w:w="507"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00" w:type="pct"/>
                  <w:gridSpan w:val="4"/>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第二节  分级管控，保障土壤环境质量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5" w:hRule="atLeast"/>
                <w:jc w:val="center"/>
              </w:trPr>
              <w:tc>
                <w:tcPr>
                  <w:tcW w:w="415"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2</w:t>
                  </w:r>
                </w:p>
              </w:tc>
              <w:tc>
                <w:tcPr>
                  <w:tcW w:w="2242"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明确土壤环境质量底线。按照土壤环境质量“只能更好、不能变坏”的基本要求，土壤环境质量底线为：土壤环境质量总体保持稳定，农用地和建设用地土壤环境安全得到基本保障，土壤环境风险得到基本管控，2025 年受污染耕地安全利用率达及污染地块安全利用率达 95%。以耕地和饮用水水源地土壤为重点，划定土壤环境保护优先区域。将基础农田保护区域作为土壤优先保护区域。</w:t>
                  </w:r>
                </w:p>
              </w:tc>
              <w:tc>
                <w:tcPr>
                  <w:tcW w:w="1834"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项目位于泸溪县武溪镇红土溪村</w:t>
                  </w:r>
                  <w:r>
                    <w:rPr>
                      <w:rFonts w:hint="default" w:ascii="Times New Roman" w:hAnsi="Times New Roman" w:eastAsia="宋体" w:cs="Times New Roman"/>
                      <w:b w:val="0"/>
                      <w:sz w:val="21"/>
                      <w:szCs w:val="21"/>
                      <w:u w:val="none" w:color="auto"/>
                      <w:lang w:val="zh-CN" w:eastAsia="zh-CN" w:bidi="ar-SA"/>
                    </w:rPr>
                    <w:t>，占地类型</w:t>
                  </w:r>
                  <w:r>
                    <w:rPr>
                      <w:rFonts w:hint="default" w:ascii="Times New Roman" w:hAnsi="Times New Roman" w:eastAsia="宋体" w:cs="Times New Roman"/>
                      <w:b w:val="0"/>
                      <w:sz w:val="21"/>
                      <w:szCs w:val="21"/>
                      <w:highlight w:val="none"/>
                      <w:u w:val="none" w:color="auto"/>
                      <w:lang w:val="zh-CN" w:eastAsia="zh-CN" w:bidi="ar-SA"/>
                    </w:rPr>
                    <w:t>为工业用地</w:t>
                  </w:r>
                  <w:r>
                    <w:rPr>
                      <w:rFonts w:hint="default" w:ascii="Times New Roman" w:hAnsi="Times New Roman" w:eastAsia="宋体" w:cs="Times New Roman"/>
                      <w:b w:val="0"/>
                      <w:sz w:val="21"/>
                      <w:szCs w:val="21"/>
                      <w:u w:val="none" w:color="auto"/>
                      <w:lang w:val="zh-CN" w:eastAsia="zh-CN" w:bidi="ar-SA"/>
                    </w:rPr>
                    <w:t>，不占用农田等土壤敏感区，本项目</w:t>
                  </w:r>
                  <w:r>
                    <w:rPr>
                      <w:rFonts w:hint="default" w:ascii="Times New Roman" w:hAnsi="Times New Roman" w:cs="Times New Roman"/>
                      <w:b w:val="0"/>
                      <w:sz w:val="21"/>
                      <w:szCs w:val="21"/>
                      <w:u w:val="none" w:color="auto"/>
                      <w:lang w:val="zh-CN" w:eastAsia="zh-CN" w:bidi="ar-SA"/>
                    </w:rPr>
                    <w:t>营运期厂区地面均硬化，且进行分区防渗</w:t>
                  </w:r>
                  <w:r>
                    <w:rPr>
                      <w:rFonts w:hint="default" w:ascii="Times New Roman" w:hAnsi="Times New Roman" w:eastAsia="宋体" w:cs="Times New Roman"/>
                      <w:b w:val="0"/>
                      <w:sz w:val="21"/>
                      <w:szCs w:val="21"/>
                      <w:u w:val="none" w:color="auto"/>
                      <w:lang w:val="zh-CN" w:eastAsia="zh-CN" w:bidi="ar-SA"/>
                    </w:rPr>
                    <w:t>，故本项目对区域土壤环境影响较小。</w:t>
                  </w:r>
                </w:p>
              </w:tc>
              <w:tc>
                <w:tcPr>
                  <w:tcW w:w="507"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00" w:type="pct"/>
                  <w:gridSpan w:val="4"/>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第三节  精准施策，持续改善大气环境质量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5" w:hRule="atLeast"/>
                <w:jc w:val="center"/>
              </w:trPr>
              <w:tc>
                <w:tcPr>
                  <w:tcW w:w="415"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3</w:t>
                  </w:r>
                </w:p>
              </w:tc>
              <w:tc>
                <w:tcPr>
                  <w:tcW w:w="2242"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推进 PM</w:t>
                  </w:r>
                  <w:r>
                    <w:rPr>
                      <w:rFonts w:hint="default" w:ascii="Times New Roman" w:hAnsi="Times New Roman" w:eastAsia="宋体" w:cs="Times New Roman"/>
                      <w:b w:val="0"/>
                      <w:sz w:val="21"/>
                      <w:szCs w:val="21"/>
                      <w:u w:val="none" w:color="auto"/>
                      <w:vertAlign w:val="subscript"/>
                      <w:lang w:val="en-US" w:eastAsia="zh-CN" w:bidi="ar-SA"/>
                    </w:rPr>
                    <w:t>2.5</w:t>
                  </w:r>
                  <w:r>
                    <w:rPr>
                      <w:rFonts w:hint="default" w:ascii="Times New Roman" w:hAnsi="Times New Roman" w:eastAsia="宋体" w:cs="Times New Roman"/>
                      <w:b w:val="0"/>
                      <w:sz w:val="21"/>
                      <w:szCs w:val="21"/>
                      <w:u w:val="none" w:color="auto"/>
                      <w:lang w:val="en-US" w:eastAsia="zh-CN" w:bidi="ar-SA"/>
                    </w:rPr>
                    <w:t xml:space="preserve"> 与臭氧的系统治理。持续推进工业污染源全面达标排放，继续实施大气重点污染物总量控制，对湘西高新区等全州 9 个工业园区进行涉气企业集中整治，根据园区企业特点逐个制定整治措施，编制工业园区废气专项整治方案，做到“一区一案”，建立涉气排放企业清单，明确具体整治要求和重点整治项目，落实“网格化”管理，限期进行达标改造，减少工业集聚区污染。</w:t>
                  </w:r>
                </w:p>
              </w:tc>
              <w:tc>
                <w:tcPr>
                  <w:tcW w:w="1834"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项目位于泸溪县武溪镇红土溪村</w:t>
                  </w:r>
                  <w:r>
                    <w:rPr>
                      <w:rFonts w:hint="default" w:ascii="Times New Roman" w:hAnsi="Times New Roman" w:eastAsia="宋体" w:cs="Times New Roman"/>
                      <w:b w:val="0"/>
                      <w:sz w:val="21"/>
                      <w:szCs w:val="21"/>
                      <w:u w:val="none" w:color="auto"/>
                      <w:lang w:val="zh-CN" w:eastAsia="zh-CN" w:bidi="ar-SA"/>
                    </w:rPr>
                    <w:t>，</w:t>
                  </w:r>
                  <w:r>
                    <w:rPr>
                      <w:rFonts w:hint="default" w:ascii="Times New Roman" w:hAnsi="Times New Roman" w:cs="Times New Roman"/>
                      <w:b w:val="0"/>
                      <w:sz w:val="21"/>
                      <w:szCs w:val="21"/>
                      <w:highlight w:val="none"/>
                      <w:u w:val="none" w:color="auto"/>
                      <w:lang w:val="en-US" w:eastAsia="zh-CN" w:bidi="ar-SA"/>
                    </w:rPr>
                    <w:t>针对锅炉废气，采取湿式除尘器+20m排气筒处理达标后排放；污水处理设施恶臭气体将通过喷洒除臭剂得到有效控制；备用柴油发电机废气 则通过专用管道因为屋顶排放；发酵废气及生产粉尘将通过加强绿化等措施</w:t>
                  </w:r>
                  <w:r>
                    <w:rPr>
                      <w:rFonts w:hint="default" w:ascii="Times New Roman" w:hAnsi="Times New Roman" w:cs="Times New Roman"/>
                      <w:b w:val="0"/>
                      <w:color w:val="auto"/>
                      <w:u w:val="none" w:color="auto"/>
                      <w:lang w:val="en-US" w:eastAsia="zh-CN"/>
                    </w:rPr>
                    <w:t>；</w:t>
                  </w:r>
                  <w:r>
                    <w:rPr>
                      <w:rFonts w:hint="default" w:ascii="Times New Roman" w:hAnsi="Times New Roman" w:cs="Times New Roman"/>
                      <w:b w:val="0"/>
                      <w:sz w:val="21"/>
                      <w:szCs w:val="21"/>
                      <w:u w:val="none" w:color="auto"/>
                      <w:lang w:val="zh-CN" w:eastAsia="zh-CN" w:bidi="ar-SA"/>
                    </w:rPr>
                    <w:t>采取以上措施后，厂区污染物均能达标排放</w:t>
                  </w:r>
                  <w:r>
                    <w:rPr>
                      <w:rFonts w:hint="default" w:ascii="Times New Roman" w:hAnsi="Times New Roman" w:eastAsia="宋体" w:cs="Times New Roman"/>
                      <w:b w:val="0"/>
                      <w:sz w:val="21"/>
                      <w:szCs w:val="21"/>
                      <w:u w:val="none" w:color="auto"/>
                      <w:lang w:val="zh-CN" w:eastAsia="zh-CN" w:bidi="ar-SA"/>
                    </w:rPr>
                    <w:t>对周边大气环境污染影响较小</w:t>
                  </w:r>
                </w:p>
              </w:tc>
              <w:tc>
                <w:tcPr>
                  <w:tcW w:w="507"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415"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4</w:t>
                  </w:r>
                </w:p>
              </w:tc>
              <w:tc>
                <w:tcPr>
                  <w:tcW w:w="2242"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加强重点行业脱氮治理设施升级改造。推进工业炉窑全面达标排放，2022 年前完成重点行业工业炉窑主要大气污染物提标改造，到 2025 年底前，烧结砖瓦企业完成高效脱硫除尘改造。</w:t>
                  </w:r>
                </w:p>
              </w:tc>
              <w:tc>
                <w:tcPr>
                  <w:tcW w:w="1834" w:type="pct"/>
                  <w:tcBorders>
                    <w:tl2br w:val="nil"/>
                    <w:tr2bl w:val="nil"/>
                  </w:tcBorders>
                  <w:noWrap w:val="0"/>
                  <w:vAlign w:val="center"/>
                </w:tcPr>
                <w:p>
                  <w:pPr>
                    <w:pStyle w:val="39"/>
                    <w:bidi w:val="0"/>
                    <w:jc w:val="center"/>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highlight w:val="none"/>
                      <w:u w:val="none" w:color="auto"/>
                      <w:lang w:val="en-US" w:eastAsia="zh-CN" w:bidi="ar-SA"/>
                    </w:rPr>
                    <w:t>本项目</w:t>
                  </w:r>
                  <w:r>
                    <w:rPr>
                      <w:rFonts w:hint="default" w:ascii="Times New Roman" w:hAnsi="Times New Roman" w:cs="Times New Roman"/>
                      <w:b w:val="0"/>
                      <w:sz w:val="21"/>
                      <w:szCs w:val="21"/>
                      <w:highlight w:val="none"/>
                      <w:u w:val="none" w:color="auto"/>
                      <w:lang w:val="en-US" w:eastAsia="zh-CN" w:bidi="ar-SA"/>
                    </w:rPr>
                    <w:t>设置备用柴油发电机用于应急使用，年使用次数极少，且使用的燃料为轻质柴油，</w:t>
                  </w:r>
                  <w:r>
                    <w:rPr>
                      <w:rFonts w:hint="default" w:ascii="Times New Roman" w:hAnsi="Times New Roman" w:eastAsia="宋体" w:cs="Times New Roman"/>
                      <w:b w:val="0"/>
                      <w:color w:val="000000"/>
                      <w:sz w:val="21"/>
                      <w:szCs w:val="21"/>
                      <w:highlight w:val="none"/>
                      <w:u w:val="none" w:color="auto"/>
                      <w:lang w:val="en-US" w:eastAsia="zh-CN" w:bidi="ar-SA"/>
                    </w:rPr>
                    <w:t>大大降低了氮氧化物的产生量</w:t>
                  </w:r>
                </w:p>
              </w:tc>
              <w:tc>
                <w:tcPr>
                  <w:tcW w:w="507"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415"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5</w:t>
                  </w:r>
                </w:p>
              </w:tc>
              <w:tc>
                <w:tcPr>
                  <w:tcW w:w="2242"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强化扬尘源及社会源治理。强化扬尘污染治理精细化管控，制定湘西州扬尘污染管理办法，严格落实建筑工地施工</w:t>
                  </w:r>
                  <w:r>
                    <w:rPr>
                      <w:rFonts w:hint="default" w:ascii="Times New Roman" w:hAnsi="Times New Roman" w:cs="Times New Roman"/>
                      <w:b w:val="0"/>
                      <w:sz w:val="21"/>
                      <w:szCs w:val="21"/>
                      <w:u w:val="none" w:color="auto"/>
                      <w:lang w:val="en-US" w:eastAsia="zh-CN" w:bidi="ar-SA"/>
                    </w:rPr>
                    <w:t>“</w:t>
                  </w:r>
                  <w:r>
                    <w:rPr>
                      <w:rFonts w:hint="default" w:ascii="Times New Roman" w:hAnsi="Times New Roman" w:eastAsia="宋体" w:cs="Times New Roman"/>
                      <w:b w:val="0"/>
                      <w:sz w:val="21"/>
                      <w:szCs w:val="21"/>
                      <w:u w:val="none" w:color="auto"/>
                      <w:lang w:val="en-US" w:eastAsia="zh-CN" w:bidi="ar-SA"/>
                    </w:rPr>
                    <w:t>六个100%</w:t>
                  </w:r>
                  <w:r>
                    <w:rPr>
                      <w:rFonts w:hint="default" w:ascii="Times New Roman" w:hAnsi="Times New Roman" w:cs="Times New Roman"/>
                      <w:b w:val="0"/>
                      <w:sz w:val="21"/>
                      <w:szCs w:val="21"/>
                      <w:u w:val="none" w:color="auto"/>
                      <w:lang w:val="en-US" w:eastAsia="zh-CN" w:bidi="ar-SA"/>
                    </w:rPr>
                    <w:t>”</w:t>
                  </w:r>
                  <w:r>
                    <w:rPr>
                      <w:rFonts w:hint="default" w:ascii="Times New Roman" w:hAnsi="Times New Roman" w:eastAsia="宋体" w:cs="Times New Roman"/>
                      <w:b w:val="0"/>
                      <w:sz w:val="21"/>
                      <w:szCs w:val="21"/>
                      <w:u w:val="none" w:color="auto"/>
                      <w:lang w:val="en-US" w:eastAsia="zh-CN" w:bidi="ar-SA"/>
                    </w:rPr>
                    <w:t>。推进绿色施工，积极推广使用自动化、机械化的高效降尘设备设施。</w:t>
                  </w:r>
                </w:p>
              </w:tc>
              <w:tc>
                <w:tcPr>
                  <w:tcW w:w="1834" w:type="pct"/>
                  <w:tcBorders>
                    <w:tl2br w:val="nil"/>
                    <w:tr2bl w:val="nil"/>
                  </w:tcBorders>
                  <w:noWrap w:val="0"/>
                  <w:vAlign w:val="center"/>
                </w:tcPr>
                <w:p>
                  <w:pPr>
                    <w:pStyle w:val="39"/>
                    <w:bidi w:val="0"/>
                    <w:jc w:val="center"/>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由于本项目</w:t>
                  </w:r>
                  <w:r>
                    <w:rPr>
                      <w:rFonts w:hint="default" w:ascii="Times New Roman" w:hAnsi="Times New Roman" w:cs="Times New Roman"/>
                      <w:b w:val="0"/>
                      <w:sz w:val="21"/>
                      <w:szCs w:val="21"/>
                      <w:u w:val="none" w:color="auto"/>
                      <w:lang w:val="en-US" w:eastAsia="zh-CN" w:bidi="ar-SA"/>
                    </w:rPr>
                    <w:t>用地现状为</w:t>
                  </w:r>
                  <w:r>
                    <w:rPr>
                      <w:rFonts w:hint="default" w:ascii="Times New Roman" w:hAnsi="Times New Roman" w:eastAsia="宋体" w:cs="Times New Roman"/>
                      <w:b w:val="0"/>
                      <w:sz w:val="21"/>
                      <w:szCs w:val="21"/>
                      <w:u w:val="none" w:color="auto"/>
                      <w:lang w:val="en-US" w:eastAsia="zh-CN" w:bidi="ar-SA"/>
                    </w:rPr>
                    <w:t>泸溪县白沙天然饮料厂旧厂</w:t>
                  </w:r>
                  <w:r>
                    <w:rPr>
                      <w:rFonts w:hint="default" w:ascii="Times New Roman" w:hAnsi="Times New Roman" w:cs="Times New Roman"/>
                      <w:b w:val="0"/>
                      <w:sz w:val="21"/>
                      <w:szCs w:val="21"/>
                      <w:u w:val="none" w:color="auto"/>
                      <w:lang w:val="en-US" w:eastAsia="zh-CN" w:bidi="ar-SA"/>
                    </w:rPr>
                    <w:t>，</w:t>
                  </w:r>
                  <w:r>
                    <w:rPr>
                      <w:rFonts w:hint="default" w:ascii="Times New Roman" w:hAnsi="Times New Roman" w:eastAsia="宋体" w:cs="Times New Roman"/>
                      <w:b w:val="0"/>
                      <w:sz w:val="21"/>
                      <w:szCs w:val="21"/>
                      <w:u w:val="none" w:color="auto"/>
                      <w:lang w:val="en-US" w:eastAsia="zh-CN" w:bidi="ar-SA"/>
                    </w:rPr>
                    <w:t>原有设备已搬往旧址对面的新水厂，旧水厂内无设施设备，无生产行为，生产车间荒废已久，车间内部采取地面硬化。</w:t>
                  </w:r>
                  <w:r>
                    <w:rPr>
                      <w:rFonts w:hint="default" w:ascii="Times New Roman" w:hAnsi="Times New Roman" w:cs="Times New Roman"/>
                      <w:b w:val="0"/>
                      <w:sz w:val="21"/>
                      <w:szCs w:val="21"/>
                      <w:u w:val="none" w:color="auto"/>
                      <w:lang w:val="en-US" w:eastAsia="zh-CN" w:bidi="ar-SA"/>
                    </w:rPr>
                    <w:t>目前处于施工期期间，将进行土石方开挖，会产生施工扬尘，企业承诺施工期按照本环评提出的环境保护措施进行施工，严格落实建筑工地施工“六个100%”，采取以上措施后，本项目施工期对区域大气环境影响较小。</w:t>
                  </w:r>
                </w:p>
              </w:tc>
              <w:tc>
                <w:tcPr>
                  <w:tcW w:w="507"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415"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6</w:t>
                  </w:r>
                </w:p>
              </w:tc>
              <w:tc>
                <w:tcPr>
                  <w:tcW w:w="2242" w:type="pct"/>
                  <w:tcBorders>
                    <w:tl2br w:val="nil"/>
                    <w:tr2bl w:val="nil"/>
                  </w:tcBorders>
                  <w:noWrap w:val="0"/>
                  <w:vAlign w:val="center"/>
                </w:tcPr>
                <w:p>
                  <w:pPr>
                    <w:pStyle w:val="39"/>
                    <w:bidi w:val="0"/>
                    <w:jc w:val="both"/>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强化餐饮油烟和露天烧烤治理，实施县级以上城市餐饮油烟治理全覆盖，对未安装油烟净化设施、不正常使用油烟净化设施或者未采取其他油烟净化措施，超过排放标准排放油烟的，依法责令改正，并处以罚款；拒不改正的，责令停业整治。推进秸秆资源化利用，禁止大量焚烧秸秆。</w:t>
                  </w:r>
                </w:p>
              </w:tc>
              <w:tc>
                <w:tcPr>
                  <w:tcW w:w="1834" w:type="pct"/>
                  <w:tcBorders>
                    <w:tl2br w:val="nil"/>
                    <w:tr2bl w:val="nil"/>
                  </w:tcBorders>
                  <w:noWrap w:val="0"/>
                  <w:vAlign w:val="center"/>
                </w:tcPr>
                <w:p>
                  <w:pPr>
                    <w:pStyle w:val="39"/>
                    <w:bidi w:val="0"/>
                    <w:jc w:val="center"/>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本项目</w:t>
                  </w:r>
                  <w:r>
                    <w:rPr>
                      <w:rFonts w:hint="default" w:ascii="Times New Roman" w:hAnsi="Times New Roman" w:cs="Times New Roman"/>
                      <w:b w:val="0"/>
                      <w:sz w:val="21"/>
                      <w:szCs w:val="21"/>
                      <w:u w:val="none" w:color="auto"/>
                      <w:lang w:val="en-US" w:eastAsia="zh-CN" w:bidi="ar-SA"/>
                    </w:rPr>
                    <w:t>运营期</w:t>
                  </w:r>
                  <w:r>
                    <w:rPr>
                      <w:rFonts w:hint="default" w:ascii="Times New Roman" w:hAnsi="Times New Roman" w:eastAsia="宋体" w:cs="Times New Roman"/>
                      <w:b w:val="0"/>
                      <w:sz w:val="21"/>
                      <w:szCs w:val="21"/>
                      <w:u w:val="none" w:color="auto"/>
                      <w:lang w:val="en-US" w:eastAsia="zh-CN" w:bidi="ar-SA"/>
                    </w:rPr>
                    <w:t>不设置</w:t>
                  </w:r>
                  <w:r>
                    <w:rPr>
                      <w:rFonts w:hint="default" w:ascii="Times New Roman" w:hAnsi="Times New Roman" w:cs="Times New Roman"/>
                      <w:b w:val="0"/>
                      <w:sz w:val="21"/>
                      <w:szCs w:val="21"/>
                      <w:u w:val="none" w:color="auto"/>
                      <w:lang w:val="en-US" w:eastAsia="zh-CN" w:bidi="ar-SA"/>
                    </w:rPr>
                    <w:t>食堂。</w:t>
                  </w:r>
                </w:p>
              </w:tc>
              <w:tc>
                <w:tcPr>
                  <w:tcW w:w="507" w:type="pct"/>
                  <w:tcBorders>
                    <w:tl2br w:val="nil"/>
                    <w:tr2bl w:val="nil"/>
                  </w:tcBorders>
                  <w:noWrap w:val="0"/>
                  <w:vAlign w:val="center"/>
                </w:tcPr>
                <w:p>
                  <w:pPr>
                    <w:pStyle w:val="39"/>
                    <w:bidi w:val="0"/>
                    <w:rPr>
                      <w:rFonts w:hint="default" w:ascii="Times New Roman" w:hAnsi="Times New Roman" w:eastAsia="宋体" w:cs="Times New Roman"/>
                      <w:b w:val="0"/>
                      <w:sz w:val="21"/>
                      <w:szCs w:val="21"/>
                      <w:u w:val="none" w:color="auto"/>
                      <w:lang w:val="en-US" w:eastAsia="zh-CN" w:bidi="ar-SA"/>
                    </w:rPr>
                  </w:pPr>
                  <w:r>
                    <w:rPr>
                      <w:rFonts w:hint="default" w:ascii="Times New Roman" w:hAnsi="Times New Roman" w:eastAsia="宋体" w:cs="Times New Roman"/>
                      <w:b w:val="0"/>
                      <w:sz w:val="21"/>
                      <w:szCs w:val="21"/>
                      <w:u w:val="none" w:color="auto"/>
                      <w:lang w:val="en-US" w:eastAsia="zh-CN" w:bidi="ar-SA"/>
                    </w:rPr>
                    <w:t>符合</w:t>
                  </w:r>
                </w:p>
              </w:tc>
            </w:tr>
          </w:tbl>
          <w:p>
            <w:pPr>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综上，本项目规划建设内容与《湘西自治州“十四五”生态环境保护规划》中规划内容相符。</w:t>
            </w:r>
          </w:p>
          <w:p>
            <w:pPr>
              <w:pStyle w:val="6"/>
              <w:bidi w:val="0"/>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1.1.</w:t>
            </w:r>
            <w:r>
              <w:rPr>
                <w:rFonts w:hint="eastAsia" w:ascii="Times New Roman" w:hAnsi="Times New Roman" w:cs="Times New Roman"/>
                <w:u w:val="none" w:color="auto"/>
                <w:lang w:val="en-US" w:eastAsia="zh-CN"/>
              </w:rPr>
              <w:t>6</w:t>
            </w:r>
            <w:r>
              <w:rPr>
                <w:rFonts w:ascii="Times New Roman" w:hAnsi="Times New Roman" w:cs="Times New Roman"/>
                <w:u w:val="none" w:color="auto"/>
              </w:rPr>
              <w:t>项目</w:t>
            </w:r>
            <w:r>
              <w:rPr>
                <w:rFonts w:hint="default" w:ascii="Times New Roman" w:hAnsi="Times New Roman" w:cs="Times New Roman"/>
                <w:u w:val="none" w:color="auto"/>
                <w:lang w:val="en-US" w:eastAsia="zh-CN"/>
              </w:rPr>
              <w:t>与</w:t>
            </w:r>
            <w:r>
              <w:rPr>
                <w:rFonts w:hint="default" w:ascii="Times New Roman" w:hAnsi="Times New Roman" w:cs="Times New Roman"/>
                <w:highlight w:val="none"/>
                <w:u w:val="none" w:color="auto"/>
                <w:lang w:val="en-US" w:eastAsia="zh-CN"/>
              </w:rPr>
              <w:t>《泸溪沅水风景名胜区总体规划》的符合性分析</w:t>
            </w:r>
          </w:p>
          <w:p>
            <w:pPr>
              <w:widowControl/>
              <w:ind w:firstLine="480" w:firstLineChars="200"/>
              <w:jc w:val="left"/>
              <w:rPr>
                <w:rFonts w:ascii="Times New Roman" w:hAnsi="Times New Roman" w:cs="Times New Roman"/>
                <w:u w:val="none" w:color="auto"/>
              </w:rPr>
            </w:pPr>
            <w:r>
              <w:rPr>
                <w:rFonts w:ascii="Times New Roman" w:hAnsi="Times New Roman" w:cs="Times New Roman"/>
                <w:u w:val="none" w:color="auto"/>
              </w:rPr>
              <w:t>根据《</w:t>
            </w:r>
            <w:r>
              <w:rPr>
                <w:rFonts w:hint="default" w:ascii="Times New Roman" w:hAnsi="Times New Roman" w:cs="Times New Roman"/>
                <w:u w:val="none" w:color="auto"/>
                <w:lang w:val="en-US" w:eastAsia="zh-CN"/>
              </w:rPr>
              <w:t>泸溪沅水风景名胜区总体规划</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20</w:t>
            </w:r>
            <w:r>
              <w:rPr>
                <w:rFonts w:hint="eastAsia" w:ascii="Times New Roman" w:hAnsi="Times New Roman" w:cs="Times New Roman"/>
                <w:u w:val="none" w:color="auto"/>
                <w:lang w:val="en-US" w:eastAsia="zh-CN"/>
              </w:rPr>
              <w:t>21</w:t>
            </w:r>
            <w:r>
              <w:rPr>
                <w:rFonts w:hint="default" w:ascii="Times New Roman" w:hAnsi="Times New Roman" w:cs="Times New Roman"/>
                <w:u w:val="none" w:color="auto"/>
                <w:lang w:val="en-US" w:eastAsia="zh-CN"/>
              </w:rPr>
              <w:t>-2030</w:t>
            </w:r>
            <w:r>
              <w:rPr>
                <w:rFonts w:hint="default" w:ascii="Times New Roman" w:hAnsi="Times New Roman" w:cs="Times New Roman"/>
                <w:u w:val="none" w:color="auto"/>
              </w:rPr>
              <w:t>年）</w:t>
            </w:r>
            <w:r>
              <w:rPr>
                <w:rFonts w:ascii="Times New Roman" w:hAnsi="Times New Roman" w:cs="Times New Roman"/>
                <w:u w:val="none" w:color="auto"/>
              </w:rPr>
              <w:t>》，景区</w:t>
            </w:r>
            <w:r>
              <w:rPr>
                <w:rFonts w:hint="default" w:ascii="Times New Roman" w:hAnsi="Times New Roman" w:cs="Times New Roman"/>
                <w:u w:val="none" w:color="auto"/>
              </w:rPr>
              <w:t>一</w:t>
            </w:r>
            <w:r>
              <w:rPr>
                <w:rFonts w:ascii="Times New Roman" w:hAnsi="Times New Roman" w:cs="Times New Roman"/>
                <w:u w:val="none" w:color="auto"/>
              </w:rPr>
              <w:t>级保护区</w:t>
            </w:r>
            <w:r>
              <w:rPr>
                <w:rFonts w:ascii="Times New Roman" w:hAnsi="Times New Roman" w:cs="Times New Roman"/>
                <w:u w:val="none" w:color="auto"/>
                <w:lang w:val="en-US" w:eastAsia="zh-CN"/>
              </w:rPr>
              <w:t xml:space="preserve">特别保存区除必须的科研、监测和防护设施外，严禁建设任何建筑设施；风景 </w:t>
            </w:r>
            <w:r>
              <w:rPr>
                <w:rFonts w:hint="eastAsia" w:ascii="Times New Roman" w:hAnsi="Times New Roman" w:cs="Times New Roman"/>
                <w:u w:val="none" w:color="auto"/>
                <w:lang w:val="en-US" w:eastAsia="zh-CN"/>
              </w:rPr>
              <w:t>游览区严禁建设与风景游赏和保护无关的设施；不得安排旅宿床位，有序疏解居民 点、居民人口及风景区定位不相符的建设；禁止安排对外交通，严格限制机动交通工具进入本区；严格保护山体、水体、天然岩石、绝壁、激流险滩、森林及原有山体植被，区内游路修建等建设活动须经科学严谨的规划和认证。</w:t>
            </w:r>
          </w:p>
          <w:p>
            <w:pPr>
              <w:keepNext w:val="0"/>
              <w:keepLines w:val="0"/>
              <w:widowControl/>
              <w:suppressLineNumbers w:val="0"/>
              <w:ind w:firstLine="480" w:firstLineChars="200"/>
              <w:jc w:val="left"/>
              <w:rPr>
                <w:u w:val="none" w:color="auto"/>
              </w:rPr>
            </w:pPr>
            <w:r>
              <w:rPr>
                <w:rFonts w:ascii="Times New Roman" w:hAnsi="Times New Roman" w:cs="Times New Roman"/>
                <w:u w:val="none" w:color="auto"/>
              </w:rPr>
              <w:t>二级保护区</w:t>
            </w:r>
            <w:r>
              <w:rPr>
                <w:rFonts w:hint="eastAsia" w:ascii="宋体" w:hAnsi="宋体" w:eastAsia="宋体" w:cs="宋体"/>
                <w:color w:val="000000"/>
                <w:kern w:val="0"/>
                <w:sz w:val="24"/>
                <w:szCs w:val="24"/>
                <w:u w:val="none" w:color="auto"/>
                <w:lang w:val="en-US" w:eastAsia="zh-CN" w:bidi="ar"/>
              </w:rPr>
              <w:t>限制建设与风景保护、风景游赏无关的设施，可安排少量的餐饮设施、旅游床位。对现有破坏整体景观的建筑应予以拆除、改造或遮蔽；严格限制居民点的加建与扩建；严格限制游览性交通以外的机动交通工具进入本区；保护各级文物保护单位，对于古镇内的建筑，应严格按照《湖南省泸溪县浦市历史文化名镇保护规划》（</w:t>
            </w:r>
            <w:r>
              <w:rPr>
                <w:rFonts w:hint="default" w:ascii="Times New Roman" w:hAnsi="Times New Roman" w:eastAsia="宋体" w:cs="Times New Roman"/>
                <w:color w:val="000000"/>
                <w:kern w:val="0"/>
                <w:sz w:val="24"/>
                <w:szCs w:val="24"/>
                <w:u w:val="none" w:color="auto"/>
                <w:lang w:val="en-US" w:eastAsia="zh-CN" w:bidi="ar"/>
              </w:rPr>
              <w:t>2009</w:t>
            </w:r>
            <w:r>
              <w:rPr>
                <w:rFonts w:hint="eastAsia" w:ascii="宋体" w:hAnsi="宋体" w:eastAsia="宋体" w:cs="宋体"/>
                <w:color w:val="000000"/>
                <w:kern w:val="0"/>
                <w:sz w:val="24"/>
                <w:szCs w:val="24"/>
                <w:u w:val="none" w:color="auto"/>
                <w:lang w:val="en-US" w:eastAsia="zh-CN" w:bidi="ar"/>
              </w:rPr>
              <w:t>—</w:t>
            </w:r>
            <w:r>
              <w:rPr>
                <w:rFonts w:hint="default" w:ascii="Times New Roman" w:hAnsi="Times New Roman" w:eastAsia="宋体" w:cs="Times New Roman"/>
                <w:color w:val="000000"/>
                <w:kern w:val="0"/>
                <w:sz w:val="24"/>
                <w:szCs w:val="24"/>
                <w:u w:val="none" w:color="auto"/>
                <w:lang w:val="en-US" w:eastAsia="zh-CN" w:bidi="ar"/>
              </w:rPr>
              <w:t xml:space="preserve">2030 </w:t>
            </w:r>
            <w:r>
              <w:rPr>
                <w:rFonts w:hint="eastAsia" w:ascii="宋体" w:hAnsi="宋体" w:eastAsia="宋体" w:cs="宋体"/>
                <w:color w:val="000000"/>
                <w:kern w:val="0"/>
                <w:sz w:val="24"/>
                <w:szCs w:val="24"/>
                <w:u w:val="none" w:color="auto"/>
                <w:lang w:val="en-US" w:eastAsia="zh-CN" w:bidi="ar"/>
              </w:rPr>
              <w:t>年）中的相关规定进行保护，保护历史文化和历史环境的真实性和整体性；加强封山育林，对区内荒山坡地进行风景林营造</w:t>
            </w:r>
            <w:r>
              <w:rPr>
                <w:rFonts w:hint="eastAsia" w:ascii="Times New Roman" w:hAnsi="Times New Roman" w:eastAsia="宋体" w:cs="Times New Roman"/>
                <w:color w:val="000000"/>
                <w:kern w:val="0"/>
                <w:sz w:val="24"/>
                <w:szCs w:val="24"/>
                <w:u w:val="none" w:color="auto"/>
                <w:lang w:val="en-US" w:eastAsia="zh-CN" w:bidi="ar"/>
              </w:rPr>
              <w:t>，</w:t>
            </w:r>
            <w:r>
              <w:rPr>
                <w:rFonts w:hint="eastAsia" w:ascii="宋体" w:hAnsi="宋体" w:eastAsia="宋体" w:cs="宋体"/>
                <w:color w:val="000000"/>
                <w:kern w:val="0"/>
                <w:sz w:val="24"/>
                <w:szCs w:val="24"/>
                <w:u w:val="none" w:color="auto"/>
                <w:lang w:val="en-US" w:eastAsia="zh-CN" w:bidi="ar"/>
              </w:rPr>
              <w:t>参照本地原生植被群落，合理有序改造林相，进一步提高森林覆盖率</w:t>
            </w:r>
          </w:p>
          <w:p>
            <w:pPr>
              <w:keepNext w:val="0"/>
              <w:keepLines w:val="0"/>
              <w:widowControl/>
              <w:suppressLineNumbers w:val="0"/>
              <w:ind w:firstLine="480" w:firstLineChars="200"/>
              <w:jc w:val="left"/>
              <w:rPr>
                <w:u w:val="none" w:color="auto"/>
              </w:rPr>
            </w:pPr>
            <w:r>
              <w:rPr>
                <w:rFonts w:hint="default" w:ascii="Times New Roman" w:hAnsi="Times New Roman" w:eastAsia="宋体" w:cs="Times New Roman"/>
                <w:color w:val="000000"/>
                <w:kern w:val="0"/>
                <w:sz w:val="24"/>
                <w:szCs w:val="24"/>
                <w:u w:val="none" w:color="auto"/>
                <w:lang w:val="en-US" w:eastAsia="zh-CN" w:bidi="ar"/>
              </w:rPr>
              <w:t>三级保护区</w:t>
            </w:r>
            <w:r>
              <w:rPr>
                <w:rFonts w:hint="eastAsia" w:ascii="宋体" w:hAnsi="宋体" w:eastAsia="宋体" w:cs="宋体"/>
                <w:color w:val="000000"/>
                <w:kern w:val="0"/>
                <w:sz w:val="24"/>
                <w:szCs w:val="24"/>
                <w:u w:val="none" w:color="auto"/>
                <w:lang w:val="en-US" w:eastAsia="zh-CN" w:bidi="ar"/>
              </w:rPr>
              <w:t>。</w:t>
            </w:r>
            <w:r>
              <w:rPr>
                <w:rFonts w:hint="eastAsia" w:ascii="宋体" w:hAnsi="宋体" w:eastAsia="宋体" w:cs="宋体"/>
                <w:b w:val="0"/>
                <w:bCs w:val="0"/>
                <w:color w:val="000000"/>
                <w:kern w:val="0"/>
                <w:sz w:val="24"/>
                <w:szCs w:val="24"/>
                <w:u w:val="none" w:color="auto"/>
                <w:lang w:val="en-US" w:eastAsia="zh-CN" w:bidi="ar"/>
              </w:rPr>
              <w:t>严格保护耕地，特别是永久基本农田。</w:t>
            </w:r>
            <w:r>
              <w:rPr>
                <w:rFonts w:hint="eastAsia" w:ascii="宋体" w:hAnsi="宋体" w:eastAsia="宋体" w:cs="宋体"/>
                <w:color w:val="000000"/>
                <w:kern w:val="0"/>
                <w:sz w:val="24"/>
                <w:szCs w:val="24"/>
                <w:u w:val="none" w:color="auto"/>
                <w:lang w:val="en-US" w:eastAsia="zh-CN" w:bidi="ar"/>
              </w:rPr>
              <w:t>控制民居的建造与修 缮，对民居建筑的风格、体量、色彩等方面提出要求，对现有不协调的建筑进行立面、屋顶等外观改造，增加村前屋后的绿化，改善村落环境；允许游人按指定线路游览，在指定区域可进行登山、露营、野炊、考察等活动，允许内部专用车辆、内部运输车辆、消防车、居民生产生活车辆进入该区域；保护区内不得安排污染环境和破坏景观的生产项目，对区内现存有污染的生产项目、破坏景观的建筑物应采取措施限期进行调整、改造或拆除。</w:t>
            </w:r>
          </w:p>
          <w:p>
            <w:pPr>
              <w:keepNext w:val="0"/>
              <w:keepLines w:val="0"/>
              <w:widowControl/>
              <w:suppressLineNumbers w:val="0"/>
              <w:ind w:firstLine="480" w:firstLineChars="200"/>
              <w:jc w:val="left"/>
              <w:rPr>
                <w:rFonts w:ascii="Times New Roman" w:hAnsi="Times New Roman" w:cs="Times New Roman"/>
                <w:u w:val="none" w:color="auto"/>
              </w:rPr>
            </w:pPr>
            <w:r>
              <w:rPr>
                <w:rFonts w:hint="default" w:ascii="Times New Roman" w:hAnsi="Times New Roman" w:eastAsia="宋体" w:cs="Times New Roman"/>
                <w:color w:val="000000"/>
                <w:kern w:val="0"/>
                <w:sz w:val="24"/>
                <w:szCs w:val="24"/>
                <w:u w:val="none" w:color="auto"/>
                <w:lang w:val="en-US" w:eastAsia="zh-CN" w:bidi="ar"/>
              </w:rPr>
              <w:t>针对泸溪沅水风景区现状条件和地位特点，规划提出其经济发展方向是：加强风景区保护和生态建设，以旅游业为基础，调整产业结构，大力发展观光农业，高效农业和生态农业，积极发展食品、手工业加工业，旅游商品加工业以及商业、服务业，可走持续发展之路。</w:t>
            </w:r>
            <w:r>
              <w:rPr>
                <w:rFonts w:hint="eastAsia" w:ascii="Times New Roman" w:hAnsi="Times New Roman" w:eastAsia="宋体" w:cs="Times New Roman"/>
                <w:color w:val="000000"/>
                <w:kern w:val="0"/>
                <w:sz w:val="24"/>
                <w:szCs w:val="24"/>
                <w:u w:val="none" w:color="auto"/>
                <w:lang w:val="en-US" w:eastAsia="zh-CN" w:bidi="ar"/>
              </w:rPr>
              <w:t>工业发展思路：</w:t>
            </w:r>
            <w:r>
              <w:rPr>
                <w:rFonts w:hint="default" w:ascii="Times New Roman" w:hAnsi="Times New Roman" w:eastAsia="宋体" w:cs="Times New Roman"/>
                <w:color w:val="000000"/>
                <w:kern w:val="0"/>
                <w:sz w:val="24"/>
                <w:szCs w:val="24"/>
                <w:u w:val="none" w:color="auto"/>
                <w:lang w:val="en-US" w:eastAsia="zh-CN" w:bidi="ar"/>
              </w:rPr>
              <w:t>严格限制风景区内采掘业等重工业的发展，对现有的工业项目加强监管，同时加快推进搬迁进度；依托有发展基础的村落，大力发展农副产品加工业，提高产业效益，带动农村整体发展；以风景区紧邻的交通条件优越的城镇区域，结合城市发展规划，适当发展旅游产品加工和特色农副产品业，拓宽农民增收渠道，扩大旅游服务内容。</w:t>
            </w:r>
          </w:p>
          <w:p>
            <w:pPr>
              <w:ind w:firstLine="480" w:firstLineChars="200"/>
              <w:rPr>
                <w:rFonts w:hint="default" w:ascii="Times New Roman" w:hAnsi="Times New Roman" w:cs="Times New Roman"/>
                <w:bCs/>
                <w:u w:val="none" w:color="auto"/>
                <w:lang w:val="en-US" w:eastAsia="zh-CN"/>
              </w:rPr>
            </w:pPr>
            <w:r>
              <w:rPr>
                <w:rFonts w:ascii="Times New Roman" w:hAnsi="Times New Roman" w:cs="Times New Roman"/>
                <w:u w:val="none" w:color="auto"/>
              </w:rPr>
              <w:t>本项目</w:t>
            </w:r>
            <w:r>
              <w:rPr>
                <w:rFonts w:hint="default" w:ascii="Times New Roman" w:hAnsi="Times New Roman" w:cs="Times New Roman"/>
                <w:u w:val="none" w:color="auto"/>
                <w:lang w:val="en-US" w:eastAsia="zh-CN"/>
              </w:rPr>
              <w:t>选址</w:t>
            </w:r>
            <w:r>
              <w:rPr>
                <w:rFonts w:hint="eastAsia" w:ascii="Times New Roman" w:hAnsi="Times New Roman" w:cs="Times New Roman"/>
                <w:u w:val="none" w:color="auto"/>
                <w:lang w:val="en-US" w:eastAsia="zh-CN"/>
              </w:rPr>
              <w:t>不涉及</w:t>
            </w:r>
            <w:r>
              <w:rPr>
                <w:rFonts w:hint="default" w:ascii="Times New Roman" w:hAnsi="Times New Roman" w:cs="Times New Roman"/>
                <w:u w:val="none" w:color="auto"/>
                <w:lang w:val="en-US" w:eastAsia="zh-CN"/>
              </w:rPr>
              <w:t>泸溪沅水风景名胜区</w:t>
            </w:r>
            <w:r>
              <w:rPr>
                <w:rFonts w:hint="default" w:ascii="Times New Roman" w:hAnsi="Times New Roman" w:cs="Times New Roman"/>
                <w:bCs/>
                <w:u w:val="none" w:color="auto"/>
                <w:lang w:val="en-US" w:eastAsia="zh-CN"/>
              </w:rPr>
              <w:t>保护区范围之内</w:t>
            </w:r>
            <w:r>
              <w:rPr>
                <w:rFonts w:hint="default" w:ascii="Times New Roman" w:hAnsi="Times New Roman" w:cs="Times New Roman"/>
                <w:u w:val="none" w:color="auto"/>
                <w:lang w:eastAsia="zh-CN"/>
              </w:rPr>
              <w:t>，</w:t>
            </w:r>
            <w:r>
              <w:rPr>
                <w:rFonts w:hint="eastAsia" w:ascii="Times New Roman" w:hAnsi="Times New Roman" w:cs="Times New Roman"/>
                <w:u w:val="none" w:color="auto"/>
                <w:lang w:val="en-US" w:eastAsia="zh-CN"/>
              </w:rPr>
              <w:t>但灌溉区域涉及到</w:t>
            </w:r>
            <w:r>
              <w:rPr>
                <w:rFonts w:hint="default" w:ascii="Times New Roman" w:hAnsi="Times New Roman" w:cs="Times New Roman"/>
                <w:u w:val="none" w:color="auto"/>
                <w:lang w:val="en-US" w:eastAsia="zh-CN"/>
              </w:rPr>
              <w:t>泸溪沅水风景名胜区</w:t>
            </w:r>
            <w:r>
              <w:rPr>
                <w:rFonts w:hint="eastAsia" w:ascii="Times New Roman" w:hAnsi="Times New Roman" w:cs="Times New Roman"/>
                <w:u w:val="none" w:color="auto"/>
                <w:lang w:val="en-US" w:eastAsia="zh-CN"/>
              </w:rPr>
              <w:t>的三级保护区</w:t>
            </w:r>
            <w:r>
              <w:rPr>
                <w:rFonts w:hint="default" w:ascii="Times New Roman" w:hAnsi="Times New Roman" w:eastAsia="宋体" w:cs="Times New Roman"/>
                <w:color w:val="000000"/>
                <w:kern w:val="0"/>
                <w:sz w:val="24"/>
                <w:szCs w:val="24"/>
                <w:u w:val="none" w:color="auto"/>
                <w:lang w:val="en-US" w:eastAsia="zh-CN" w:bidi="ar"/>
              </w:rPr>
              <w:t>，</w:t>
            </w:r>
            <w:r>
              <w:rPr>
                <w:rFonts w:hint="eastAsia" w:ascii="Times New Roman" w:hAnsi="Times New Roman" w:eastAsia="宋体" w:cs="Times New Roman"/>
                <w:color w:val="000000"/>
                <w:kern w:val="0"/>
                <w:sz w:val="24"/>
                <w:szCs w:val="24"/>
                <w:u w:val="none" w:color="auto"/>
                <w:lang w:val="en-US" w:eastAsia="zh-CN" w:bidi="ar"/>
              </w:rPr>
              <w:t>主要工程内容为</w:t>
            </w:r>
            <w:r>
              <w:rPr>
                <w:rFonts w:hint="eastAsia" w:ascii="Times New Roman" w:hAnsi="Times New Roman" w:cs="Times New Roman"/>
                <w:u w:val="none" w:color="auto"/>
              </w:rPr>
              <w:t>对现有3000米农业灌溉水渠进行清理，</w:t>
            </w:r>
            <w:r>
              <w:rPr>
                <w:rFonts w:hint="eastAsia" w:ascii="Times New Roman" w:hAnsi="Times New Roman" w:cs="Times New Roman"/>
                <w:u w:val="none" w:color="auto"/>
                <w:lang w:val="en-US" w:eastAsia="zh-CN"/>
              </w:rPr>
              <w:t>并铺设浇灌管道1.5km</w:t>
            </w:r>
            <w:r>
              <w:rPr>
                <w:rFonts w:hint="eastAsia" w:ascii="Times New Roman" w:hAnsi="Times New Roman" w:cs="Times New Roman"/>
                <w:u w:val="none" w:color="auto"/>
                <w:lang w:eastAsia="zh-CN"/>
              </w:rPr>
              <w:t>，</w:t>
            </w:r>
            <w:r>
              <w:rPr>
                <w:rFonts w:hint="default" w:ascii="Times New Roman" w:hAnsi="Times New Roman" w:eastAsia="宋体" w:cs="Times New Roman"/>
                <w:color w:val="000000"/>
                <w:kern w:val="0"/>
                <w:sz w:val="24"/>
                <w:szCs w:val="24"/>
                <w:u w:val="none" w:color="auto"/>
                <w:lang w:val="en-US" w:eastAsia="zh-CN" w:bidi="ar"/>
              </w:rPr>
              <w:t>产生的废水经污水处理站处理</w:t>
            </w:r>
            <w:r>
              <w:rPr>
                <w:rFonts w:hint="eastAsia" w:ascii="Times New Roman" w:hAnsi="Times New Roman" w:eastAsia="宋体" w:cs="Times New Roman"/>
                <w:color w:val="000000"/>
                <w:kern w:val="0"/>
                <w:sz w:val="24"/>
                <w:szCs w:val="24"/>
                <w:u w:val="none" w:color="auto"/>
                <w:lang w:val="en-US" w:eastAsia="zh-CN" w:bidi="ar"/>
              </w:rPr>
              <w:t>后可</w:t>
            </w:r>
            <w:r>
              <w:rPr>
                <w:rFonts w:hint="default" w:ascii="Times New Roman" w:hAnsi="Times New Roman" w:eastAsia="宋体" w:cs="Times New Roman"/>
                <w:color w:val="000000"/>
                <w:kern w:val="0"/>
                <w:sz w:val="24"/>
                <w:szCs w:val="24"/>
                <w:u w:val="none" w:color="auto"/>
                <w:lang w:val="en-US" w:eastAsia="zh-CN" w:bidi="ar"/>
              </w:rPr>
              <w:t>达到《农田灌溉水质标准》（GB5084-2021）中的水田标准，因此本项目属于</w:t>
            </w:r>
            <w:r>
              <w:rPr>
                <w:rFonts w:hint="default" w:ascii="Times New Roman" w:hAnsi="Times New Roman" w:cs="Times New Roman"/>
                <w:u w:val="none" w:color="auto"/>
                <w:lang w:val="en-US" w:eastAsia="zh-CN"/>
              </w:rPr>
              <w:t>风景名胜区允许建设的项目</w:t>
            </w:r>
            <w:r>
              <w:rPr>
                <w:rFonts w:hint="default" w:ascii="Times New Roman" w:hAnsi="Times New Roman" w:cs="Times New Roman"/>
                <w:bCs/>
                <w:u w:val="none" w:color="auto"/>
                <w:lang w:val="en-US" w:eastAsia="zh-CN"/>
              </w:rPr>
              <w:t>。</w:t>
            </w:r>
          </w:p>
          <w:p>
            <w:pPr>
              <w:pStyle w:val="6"/>
              <w:bidi w:val="0"/>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1.1.</w:t>
            </w:r>
            <w:r>
              <w:rPr>
                <w:rFonts w:hint="eastAsia" w:ascii="Times New Roman" w:hAnsi="Times New Roman" w:cs="Times New Roman"/>
                <w:u w:val="none" w:color="auto"/>
                <w:lang w:val="en-US" w:eastAsia="zh-CN"/>
              </w:rPr>
              <w:t xml:space="preserve">7 </w:t>
            </w:r>
            <w:r>
              <w:rPr>
                <w:rFonts w:ascii="Times New Roman" w:hAnsi="Times New Roman" w:cs="Times New Roman"/>
                <w:u w:val="none" w:color="auto"/>
              </w:rPr>
              <w:t>项目</w:t>
            </w:r>
            <w:r>
              <w:rPr>
                <w:rFonts w:hint="default" w:ascii="Times New Roman" w:hAnsi="Times New Roman" w:cs="Times New Roman"/>
                <w:u w:val="none" w:color="auto"/>
                <w:lang w:val="en-US" w:eastAsia="zh-CN"/>
              </w:rPr>
              <w:t>与泸溪县米粉行业整治整合相关政策</w:t>
            </w:r>
            <w:r>
              <w:rPr>
                <w:rFonts w:hint="default" w:ascii="Times New Roman" w:hAnsi="Times New Roman" w:cs="Times New Roman"/>
                <w:highlight w:val="none"/>
                <w:u w:val="none" w:color="auto"/>
                <w:lang w:val="en-US" w:eastAsia="zh-CN"/>
              </w:rPr>
              <w:t>的符合性分析</w:t>
            </w:r>
          </w:p>
          <w:p>
            <w:pPr>
              <w:ind w:firstLine="480" w:firstLineChars="200"/>
              <w:rPr>
                <w:rFonts w:hint="default" w:ascii="Times New Roman" w:hAnsi="Times New Roman" w:cs="Times New Roman"/>
                <w:bCs/>
                <w:u w:val="none" w:color="auto"/>
                <w:lang w:val="en-US" w:eastAsia="zh-CN"/>
              </w:rPr>
            </w:pPr>
            <w:r>
              <w:rPr>
                <w:rFonts w:hint="default" w:ascii="Times New Roman" w:hAnsi="Times New Roman" w:cs="Times New Roman"/>
                <w:bCs/>
                <w:u w:val="none" w:color="auto"/>
                <w:lang w:val="en-US" w:eastAsia="zh-CN"/>
              </w:rPr>
              <w:t>2019年7月25日，泸溪县市场监督管理局组织召开米粉加工行业负责人集中整治约谈会，就如何规范泸溪县米粉生产加工行业持证经营、卫生环境、艺流程及生产、人员从业标准提出要求建议，宣传政策，表明集中整治的态度和决心。</w:t>
            </w:r>
          </w:p>
          <w:p>
            <w:pPr>
              <w:ind w:firstLine="480" w:firstLineChars="200"/>
              <w:rPr>
                <w:rFonts w:hint="default" w:ascii="Times New Roman" w:hAnsi="Times New Roman" w:cs="Times New Roman"/>
                <w:bCs/>
                <w:u w:val="none" w:color="auto"/>
                <w:lang w:val="en-US" w:eastAsia="zh-CN"/>
              </w:rPr>
            </w:pPr>
            <w:r>
              <w:rPr>
                <w:rFonts w:hint="default" w:ascii="Times New Roman" w:hAnsi="Times New Roman" w:cs="Times New Roman"/>
                <w:bCs/>
                <w:u w:val="none" w:color="auto"/>
                <w:lang w:val="en-US" w:eastAsia="zh-CN"/>
              </w:rPr>
              <w:t>会上，泸溪县市场监督管理局分管领导、相关股室负责人就目前泸溪米粉生产加工现状及整改升级标准要求一一作出陈述，分管领导对全县米粉加工行业集中整治提出了具体要求和建议。一是把握一个中心。泸溪湿米粉作为我县传统特色食品，要规范好，保护好，促进健康发展，逐步打造成为展示我县传统食品的一大品牌；二是抓好两大重点。重点抓好原材料质量、进货、储存、使用及索票索证台帐规范。重点抓好湿米粉生产加工车间环境卫生治理，合理布局，规范从业人员行为准则，“五防”措施治理及设备设施更新升级，积极按照湖南省地方米粉申报产品执行标准，依法依规整治和监管；三是做到三个确保。即确保集中整治的实效性。对在规定时间内整改不到位，依然无证无照生产经营的，将联合相关部门坚决予以关停。确保集中整治的长效性。</w:t>
            </w:r>
          </w:p>
          <w:p>
            <w:pPr>
              <w:ind w:firstLine="480"/>
              <w:rPr>
                <w:rFonts w:hint="default" w:ascii="Times New Roman" w:hAnsi="Times New Roman" w:cs="Times New Roman"/>
                <w:bCs/>
                <w:u w:val="none" w:color="auto"/>
                <w:lang w:val="en-US" w:eastAsia="zh-CN"/>
              </w:rPr>
            </w:pPr>
            <w:r>
              <w:rPr>
                <w:rFonts w:ascii="Times New Roman" w:hAnsi="Times New Roman" w:cs="Times New Roman"/>
                <w:u w:val="none" w:color="auto"/>
              </w:rPr>
              <w:t>项目</w:t>
            </w:r>
            <w:r>
              <w:rPr>
                <w:rFonts w:hint="eastAsia" w:ascii="Times New Roman" w:hAnsi="Times New Roman" w:cs="Times New Roman"/>
                <w:u w:val="none" w:color="auto"/>
                <w:lang w:val="en-US" w:eastAsia="zh-CN"/>
              </w:rPr>
              <w:t>的建设严格按照设计施工，生产过程中的</w:t>
            </w:r>
            <w:r>
              <w:rPr>
                <w:rFonts w:ascii="Times New Roman" w:hAnsi="Times New Roman" w:cs="Times New Roman"/>
                <w:u w:val="none" w:color="auto"/>
              </w:rPr>
              <w:t>原料购买、储存、使用均依照《中华人民共和国食品安全法》中的相关条例进行；实行订单制，先订单后生产，原辅材料不使用食品添加剂、防腐剂</w:t>
            </w:r>
            <w:r>
              <w:rPr>
                <w:rFonts w:hint="eastAsia" w:ascii="Times New Roman" w:hAnsi="Times New Roman" w:cs="Times New Roman"/>
                <w:u w:val="none" w:color="auto"/>
                <w:lang w:eastAsia="zh-CN"/>
              </w:rPr>
              <w:t>，</w:t>
            </w:r>
            <w:r>
              <w:rPr>
                <w:rFonts w:hint="default" w:ascii="Times New Roman" w:hAnsi="Times New Roman" w:cs="Times New Roman"/>
                <w:u w:val="none" w:color="auto"/>
              </w:rPr>
              <w:t>产品满足《湖南省地方标准食品安全地方标准 米粉生产卫生规范》（DBS 43/007-2018）中的相关要求</w:t>
            </w:r>
            <w:r>
              <w:rPr>
                <w:rFonts w:hint="eastAsia" w:ascii="Times New Roman" w:hAnsi="Times New Roman" w:cs="Times New Roman"/>
                <w:u w:val="none" w:color="auto"/>
                <w:lang w:eastAsia="zh-CN"/>
              </w:rPr>
              <w:t>，</w:t>
            </w:r>
            <w:r>
              <w:rPr>
                <w:rFonts w:hint="eastAsia" w:ascii="Times New Roman" w:hAnsi="Times New Roman" w:cs="Times New Roman"/>
                <w:u w:val="none" w:color="auto"/>
                <w:lang w:val="en-US" w:eastAsia="zh-CN"/>
              </w:rPr>
              <w:t>符合</w:t>
            </w:r>
            <w:r>
              <w:rPr>
                <w:rFonts w:hint="default" w:ascii="Times New Roman" w:hAnsi="Times New Roman" w:cs="Times New Roman"/>
                <w:u w:val="none" w:color="auto"/>
                <w:lang w:val="en-US" w:eastAsia="zh-CN"/>
              </w:rPr>
              <w:t>泸溪县米粉行业整治整合相关政策</w:t>
            </w:r>
            <w:r>
              <w:rPr>
                <w:rFonts w:hint="eastAsia" w:ascii="Times New Roman" w:hAnsi="Times New Roman" w:cs="Times New Roman"/>
                <w:u w:val="none" w:color="auto"/>
                <w:lang w:val="en-US" w:eastAsia="zh-CN"/>
              </w:rPr>
              <w:t>要求。</w:t>
            </w:r>
          </w:p>
          <w:p>
            <w:pPr>
              <w:pStyle w:val="6"/>
              <w:bidi w:val="0"/>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1.1.</w:t>
            </w:r>
            <w:r>
              <w:rPr>
                <w:rFonts w:hint="eastAsia" w:ascii="Times New Roman" w:hAnsi="Times New Roman" w:cs="Times New Roman"/>
                <w:u w:val="none" w:color="auto"/>
                <w:lang w:val="en-US" w:eastAsia="zh-CN"/>
              </w:rPr>
              <w:t>8</w:t>
            </w:r>
            <w:r>
              <w:rPr>
                <w:rFonts w:ascii="Times New Roman" w:hAnsi="Times New Roman" w:cs="Times New Roman"/>
                <w:u w:val="none" w:color="auto"/>
              </w:rPr>
              <w:t>项目</w:t>
            </w:r>
            <w:r>
              <w:rPr>
                <w:rFonts w:hint="default" w:ascii="Times New Roman" w:hAnsi="Times New Roman" w:cs="Times New Roman"/>
                <w:u w:val="none" w:color="auto"/>
                <w:lang w:val="en-US" w:eastAsia="zh-CN"/>
              </w:rPr>
              <w:t>与</w:t>
            </w:r>
            <w:r>
              <w:rPr>
                <w:rFonts w:hint="eastAsia" w:ascii="Times New Roman" w:hAnsi="Times New Roman" w:cs="Times New Roman"/>
                <w:bCs/>
                <w:u w:val="none" w:color="auto"/>
                <w:lang w:val="en-US" w:eastAsia="zh-CN"/>
              </w:rPr>
              <w:t>《泸溪县国土空间总体规划（2021-2035）》</w:t>
            </w:r>
            <w:r>
              <w:rPr>
                <w:rFonts w:hint="default" w:ascii="Times New Roman" w:hAnsi="Times New Roman" w:cs="Times New Roman"/>
                <w:highlight w:val="none"/>
                <w:u w:val="none" w:color="auto"/>
                <w:lang w:val="en-US" w:eastAsia="zh-CN"/>
              </w:rPr>
              <w:t>的符合性分析</w:t>
            </w:r>
          </w:p>
          <w:p>
            <w:pPr>
              <w:ind w:firstLine="480" w:firstLineChars="200"/>
              <w:rPr>
                <w:rFonts w:hint="default" w:ascii="Times New Roman" w:hAnsi="Times New Roman" w:cs="Times New Roman"/>
                <w:bCs/>
                <w:u w:val="none" w:color="auto"/>
                <w:lang w:val="en-US" w:eastAsia="zh-CN"/>
              </w:rPr>
            </w:pPr>
            <w:r>
              <w:rPr>
                <w:rFonts w:hint="eastAsia" w:ascii="Times New Roman" w:hAnsi="Times New Roman" w:cs="Times New Roman"/>
                <w:bCs/>
                <w:u w:val="none" w:color="auto"/>
                <w:lang w:val="en-US" w:eastAsia="zh-CN"/>
              </w:rPr>
              <w:t>《泸溪县国土空间总体规划（2021-2035）》提出落实省级国土空间总体规划中的主导功能要求，基于泸溪县“三条控制线”、“双评价”、用地结构等，合理划分国土空间规划基本分区，确定全域国土空间功能导向和主要用途方向，制定用途准入原则和相关控制要求，县域共划分为六个规划分区，分别是：生态保护区、生态控制区、农田保护区、城镇发展区、乡村发展区和矿产能源发展区。</w:t>
            </w:r>
            <w:r>
              <w:rPr>
                <w:rFonts w:hint="default" w:ascii="Times New Roman" w:hAnsi="Times New Roman" w:cs="Times New Roman"/>
                <w:bCs/>
                <w:u w:val="none" w:color="auto"/>
                <w:lang w:val="en-US" w:eastAsia="zh-CN"/>
              </w:rPr>
              <w:t>落实泸溪县国土空间总体规划的生态保护红线划定方案及下达的生态保护红线面积指标，泸溪县划定生态保护红线约315平方公里，约占县域总面积的20%。泸溪县划定永久基本农田保护红线约164县域公里</w:t>
            </w:r>
            <w:r>
              <w:rPr>
                <w:rFonts w:hint="eastAsia" w:ascii="Times New Roman" w:hAnsi="Times New Roman" w:cs="Times New Roman"/>
                <w:bCs/>
                <w:u w:val="none" w:color="auto"/>
                <w:lang w:val="en-US" w:eastAsia="zh-CN"/>
              </w:rPr>
              <w:t>，</w:t>
            </w:r>
            <w:r>
              <w:rPr>
                <w:rFonts w:hint="default" w:ascii="Times New Roman" w:hAnsi="Times New Roman" w:cs="Times New Roman"/>
                <w:bCs/>
                <w:u w:val="none" w:color="auto"/>
                <w:lang w:val="en-US" w:eastAsia="zh-CN"/>
              </w:rPr>
              <w:t>约占土地总面积的10%</w:t>
            </w:r>
            <w:r>
              <w:rPr>
                <w:rFonts w:hint="eastAsia" w:ascii="Times New Roman" w:hAnsi="Times New Roman" w:cs="Times New Roman"/>
                <w:bCs/>
                <w:u w:val="none" w:color="auto"/>
                <w:lang w:val="en-US" w:eastAsia="zh-CN"/>
              </w:rPr>
              <w:t>，</w:t>
            </w:r>
            <w:r>
              <w:rPr>
                <w:rFonts w:hint="default" w:ascii="Times New Roman" w:hAnsi="Times New Roman" w:cs="Times New Roman"/>
                <w:bCs/>
                <w:u w:val="none" w:color="auto"/>
                <w:lang w:val="en-US" w:eastAsia="zh-CN"/>
              </w:rPr>
              <w:t>以确保到2035年永久基本农田保护面积不低于上级下达任务。以国土空间适宜性评价为基础、资源承载力为约束，与生态保护线和永久基本农田划定相协调</w:t>
            </w:r>
            <w:r>
              <w:rPr>
                <w:rFonts w:hint="eastAsia" w:ascii="Times New Roman" w:hAnsi="Times New Roman" w:cs="Times New Roman"/>
                <w:bCs/>
                <w:u w:val="none" w:color="auto"/>
                <w:lang w:val="en-US" w:eastAsia="zh-CN"/>
              </w:rPr>
              <w:t>，</w:t>
            </w:r>
            <w:r>
              <w:rPr>
                <w:rFonts w:hint="default" w:ascii="Times New Roman" w:hAnsi="Times New Roman" w:cs="Times New Roman"/>
                <w:bCs/>
                <w:u w:val="none" w:color="auto"/>
                <w:lang w:val="en-US" w:eastAsia="zh-CN"/>
              </w:rPr>
              <w:t>划定城镇开发边界约20平方公里。</w:t>
            </w:r>
          </w:p>
          <w:p>
            <w:pPr>
              <w:ind w:firstLine="480" w:firstLineChars="200"/>
              <w:rPr>
                <w:rFonts w:hint="default" w:ascii="Times New Roman" w:hAnsi="Times New Roman" w:cs="Times New Roman"/>
                <w:bCs/>
                <w:u w:val="none" w:color="auto"/>
                <w:lang w:val="en-US" w:eastAsia="zh-CN"/>
              </w:rPr>
            </w:pPr>
            <w:r>
              <w:rPr>
                <w:rFonts w:hint="eastAsia" w:ascii="Times New Roman" w:hAnsi="Times New Roman" w:cs="Times New Roman"/>
                <w:bCs/>
                <w:u w:val="none" w:color="auto"/>
                <w:lang w:val="en-US" w:eastAsia="zh-CN"/>
              </w:rPr>
              <w:t>经对比规划图及生态红线图，项目选址不涉及生态保护区、生态控制区、农田保护区，并于</w:t>
            </w:r>
            <w:r>
              <w:rPr>
                <w:rFonts w:hint="default" w:ascii="Times New Roman" w:hAnsi="Times New Roman" w:cs="Times New Roman"/>
                <w:u w:val="none" w:color="auto"/>
                <w:lang w:val="en-US" w:eastAsia="zh-CN"/>
              </w:rPr>
              <w:t>2023年2月28号取得泸溪县自然资源局出具的《建设工程规划许可证》</w:t>
            </w:r>
            <w:r>
              <w:rPr>
                <w:rFonts w:hint="eastAsia" w:ascii="Times New Roman" w:hAnsi="Times New Roman" w:cs="Times New Roman"/>
                <w:u w:val="none" w:color="auto"/>
                <w:lang w:val="en-US" w:eastAsia="zh-CN"/>
              </w:rPr>
              <w:t>，属于允许建设的项目。</w:t>
            </w:r>
          </w:p>
          <w:p>
            <w:pPr>
              <w:pStyle w:val="6"/>
              <w:bidi w:val="0"/>
              <w:rPr>
                <w:rFonts w:ascii="Times New Roman" w:hAnsi="Times New Roman" w:cs="Times New Roman"/>
                <w:u w:val="none" w:color="auto"/>
              </w:rPr>
            </w:pPr>
            <w:r>
              <w:rPr>
                <w:rFonts w:hint="default" w:ascii="Times New Roman" w:hAnsi="Times New Roman" w:cs="Times New Roman"/>
                <w:u w:val="none" w:color="auto"/>
                <w:lang w:val="en-US" w:eastAsia="zh-CN"/>
              </w:rPr>
              <w:t>1.1.</w:t>
            </w:r>
            <w:r>
              <w:rPr>
                <w:rFonts w:hint="eastAsia" w:ascii="Times New Roman" w:hAnsi="Times New Roman" w:cs="Times New Roman"/>
                <w:u w:val="none" w:color="auto"/>
                <w:lang w:val="en-US" w:eastAsia="zh-CN"/>
              </w:rPr>
              <w:t>9</w:t>
            </w:r>
            <w:r>
              <w:rPr>
                <w:rFonts w:ascii="Times New Roman" w:hAnsi="Times New Roman" w:cs="Times New Roman"/>
                <w:u w:val="none" w:color="auto"/>
              </w:rPr>
              <w:t>项目选址与道路位置关系分析</w:t>
            </w:r>
          </w:p>
          <w:p>
            <w:pPr>
              <w:adjustRightInd w:val="0"/>
              <w:snapToGrid w:val="0"/>
              <w:spacing w:line="360" w:lineRule="auto"/>
              <w:ind w:firstLine="480" w:firstLineChars="200"/>
              <w:rPr>
                <w:rFonts w:ascii="Times New Roman" w:hAnsi="Times New Roman" w:cs="Times New Roman"/>
                <w:color w:val="000000"/>
                <w:sz w:val="24"/>
                <w:u w:val="none" w:color="auto"/>
              </w:rPr>
            </w:pPr>
            <w:r>
              <w:rPr>
                <w:rFonts w:ascii="Times New Roman" w:hAnsi="Times New Roman" w:cs="Times New Roman"/>
                <w:color w:val="000000"/>
                <w:sz w:val="24"/>
                <w:u w:val="none" w:color="auto"/>
              </w:rPr>
              <w:t>根据《公路安全保护条例》第十一条可知，县级以上</w:t>
            </w:r>
            <w:r>
              <w:rPr>
                <w:rFonts w:ascii="Times New Roman" w:hAnsi="Times New Roman" w:cs="Times New Roman"/>
                <w:color w:val="000000"/>
                <w:sz w:val="24"/>
                <w:u w:val="none" w:color="auto"/>
              </w:rPr>
              <w:fldChar w:fldCharType="begin"/>
            </w:r>
            <w:r>
              <w:rPr>
                <w:rFonts w:ascii="Times New Roman" w:hAnsi="Times New Roman" w:cs="Times New Roman"/>
                <w:color w:val="000000"/>
                <w:sz w:val="24"/>
                <w:u w:val="none" w:color="auto"/>
              </w:rPr>
              <w:instrText xml:space="preserve"> HYPERLINK "https://www.baidu.com/s?wd=%E5%9C%B0%E6%96%B9%E4%BA%BA%E6%B0%91%E6%94%BF%E5%BA%9C&amp;tn=44039180_cpr&amp;fenlei=mv6quAkxTZn0IZRqIHckPjm4nH00T1YLmvnsPjnvujN-m1nzP1Fb0ZwV5Hcvrjm3rH6sPfKWUMw85HfYnjn4nH6sgvPsT6KdThsqpZwYTjCEQLGCpyw9Uz4Bmy-bIi4WUvYETgN-TLwGUv3En1c3PHbkrHDLrj0dnWmvrj0d" \t "_blank" </w:instrText>
            </w:r>
            <w:r>
              <w:rPr>
                <w:rFonts w:ascii="Times New Roman" w:hAnsi="Times New Roman" w:cs="Times New Roman"/>
                <w:color w:val="000000"/>
                <w:sz w:val="24"/>
                <w:u w:val="none" w:color="auto"/>
              </w:rPr>
              <w:fldChar w:fldCharType="separate"/>
            </w:r>
            <w:r>
              <w:rPr>
                <w:rFonts w:ascii="Times New Roman" w:hAnsi="Times New Roman" w:cs="Times New Roman"/>
                <w:color w:val="000000"/>
                <w:sz w:val="24"/>
                <w:u w:val="none" w:color="auto"/>
              </w:rPr>
              <w:t>地方人民政府</w:t>
            </w:r>
            <w:r>
              <w:rPr>
                <w:rFonts w:ascii="Times New Roman" w:hAnsi="Times New Roman" w:cs="Times New Roman"/>
                <w:color w:val="000000"/>
                <w:sz w:val="24"/>
                <w:u w:val="none" w:color="auto"/>
              </w:rPr>
              <w:fldChar w:fldCharType="end"/>
            </w:r>
            <w:r>
              <w:rPr>
                <w:rFonts w:ascii="Times New Roman" w:hAnsi="Times New Roman" w:cs="Times New Roman"/>
                <w:color w:val="000000"/>
                <w:sz w:val="24"/>
                <w:u w:val="none" w:color="auto"/>
              </w:rPr>
              <w:t>应当根据保障公路运行安全和节约用地的原则以及公路发展的需要，组织交通运输、国土资源等部门划定公路建筑控制区的范围。</w:t>
            </w:r>
          </w:p>
          <w:p>
            <w:pPr>
              <w:adjustRightInd w:val="0"/>
              <w:snapToGrid w:val="0"/>
              <w:spacing w:line="360" w:lineRule="auto"/>
              <w:ind w:firstLine="480" w:firstLineChars="200"/>
              <w:rPr>
                <w:rFonts w:ascii="Times New Roman" w:hAnsi="Times New Roman" w:cs="Times New Roman"/>
                <w:color w:val="000000"/>
                <w:sz w:val="24"/>
                <w:u w:val="none" w:color="auto"/>
              </w:rPr>
            </w:pPr>
            <w:r>
              <w:rPr>
                <w:rFonts w:ascii="Times New Roman" w:hAnsi="Times New Roman" w:cs="Times New Roman"/>
                <w:color w:val="000000"/>
                <w:sz w:val="24"/>
                <w:u w:val="none" w:color="auto"/>
              </w:rPr>
              <w:t>公路建筑控制区的范围，从</w:t>
            </w:r>
            <w:r>
              <w:rPr>
                <w:rFonts w:ascii="Times New Roman" w:hAnsi="Times New Roman" w:cs="Times New Roman"/>
                <w:color w:val="000000"/>
                <w:sz w:val="24"/>
                <w:u w:val="none" w:color="auto"/>
              </w:rPr>
              <w:fldChar w:fldCharType="begin"/>
            </w:r>
            <w:r>
              <w:rPr>
                <w:rFonts w:ascii="Times New Roman" w:hAnsi="Times New Roman" w:cs="Times New Roman"/>
                <w:color w:val="000000"/>
                <w:sz w:val="24"/>
                <w:u w:val="none" w:color="auto"/>
              </w:rPr>
              <w:instrText xml:space="preserve"> HYPERLINK "https://www.baidu.com/s?wd=%E5%85%AC%E8%B7%AF%E7%94%A8%E5%9C%B0&amp;tn=44039180_cpr&amp;fenlei=mv6quAkxTZn0IZRqIHckPjm4nH00T1YLmvnsPjnvujN-m1nzP1Fb0ZwV5Hcvrjm3rH6sPfKWUMw85HfYnjn4nH6sgvPsT6KdThsqpZwYTjCEQLGCpyw9Uz4Bmy-bIi4WUvYETgN-TLwGUv3En1c3PHbkrHDLrj0dnWmvrj0d" \t "_blank" </w:instrText>
            </w:r>
            <w:r>
              <w:rPr>
                <w:rFonts w:ascii="Times New Roman" w:hAnsi="Times New Roman" w:cs="Times New Roman"/>
                <w:color w:val="000000"/>
                <w:sz w:val="24"/>
                <w:u w:val="none" w:color="auto"/>
              </w:rPr>
              <w:fldChar w:fldCharType="separate"/>
            </w:r>
            <w:r>
              <w:rPr>
                <w:rFonts w:ascii="Times New Roman" w:hAnsi="Times New Roman" w:cs="Times New Roman"/>
                <w:color w:val="000000"/>
                <w:sz w:val="24"/>
                <w:u w:val="none" w:color="auto"/>
              </w:rPr>
              <w:t>公路用地</w:t>
            </w:r>
            <w:r>
              <w:rPr>
                <w:rFonts w:ascii="Times New Roman" w:hAnsi="Times New Roman" w:cs="Times New Roman"/>
                <w:color w:val="000000"/>
                <w:sz w:val="24"/>
                <w:u w:val="none" w:color="auto"/>
              </w:rPr>
              <w:fldChar w:fldCharType="end"/>
            </w:r>
            <w:r>
              <w:rPr>
                <w:rFonts w:ascii="Times New Roman" w:hAnsi="Times New Roman" w:cs="Times New Roman"/>
                <w:color w:val="000000"/>
                <w:sz w:val="24"/>
                <w:u w:val="none" w:color="auto"/>
              </w:rPr>
              <w:t>外缘起向外的距离标准为：</w:t>
            </w:r>
          </w:p>
          <w:p>
            <w:pPr>
              <w:adjustRightInd w:val="0"/>
              <w:snapToGrid w:val="0"/>
              <w:spacing w:line="360" w:lineRule="auto"/>
              <w:ind w:firstLine="480" w:firstLineChars="200"/>
              <w:rPr>
                <w:rFonts w:ascii="Times New Roman" w:hAnsi="Times New Roman" w:cs="Times New Roman"/>
                <w:color w:val="000000"/>
                <w:sz w:val="24"/>
                <w:u w:val="none" w:color="auto"/>
              </w:rPr>
            </w:pPr>
            <w:r>
              <w:rPr>
                <w:rFonts w:ascii="Times New Roman" w:hAnsi="Times New Roman" w:cs="Times New Roman"/>
                <w:color w:val="000000"/>
                <w:sz w:val="24"/>
                <w:u w:val="none" w:color="auto"/>
              </w:rPr>
              <w:t>①国道不少于20米；</w:t>
            </w:r>
          </w:p>
          <w:p>
            <w:pPr>
              <w:adjustRightInd w:val="0"/>
              <w:snapToGrid w:val="0"/>
              <w:spacing w:line="360" w:lineRule="auto"/>
              <w:ind w:firstLine="480" w:firstLineChars="200"/>
              <w:rPr>
                <w:rFonts w:ascii="Times New Roman" w:hAnsi="Times New Roman" w:cs="Times New Roman"/>
                <w:color w:val="000000"/>
                <w:sz w:val="24"/>
                <w:u w:val="none" w:color="auto"/>
              </w:rPr>
            </w:pPr>
            <w:r>
              <w:rPr>
                <w:rFonts w:ascii="Times New Roman" w:hAnsi="Times New Roman" w:cs="Times New Roman"/>
                <w:color w:val="000000"/>
                <w:sz w:val="24"/>
                <w:u w:val="none" w:color="auto"/>
              </w:rPr>
              <w:t>②省道不少于15米；</w:t>
            </w:r>
          </w:p>
          <w:p>
            <w:pPr>
              <w:adjustRightInd w:val="0"/>
              <w:snapToGrid w:val="0"/>
              <w:spacing w:line="360" w:lineRule="auto"/>
              <w:ind w:firstLine="480" w:firstLineChars="200"/>
              <w:rPr>
                <w:rFonts w:ascii="Times New Roman" w:hAnsi="Times New Roman" w:cs="Times New Roman"/>
                <w:color w:val="000000"/>
                <w:sz w:val="24"/>
                <w:u w:val="none" w:color="auto"/>
              </w:rPr>
            </w:pPr>
            <w:r>
              <w:rPr>
                <w:rFonts w:ascii="Times New Roman" w:hAnsi="Times New Roman" w:cs="Times New Roman"/>
                <w:color w:val="000000"/>
                <w:sz w:val="24"/>
                <w:u w:val="none" w:color="auto"/>
              </w:rPr>
              <w:t>③县道不少于10米；</w:t>
            </w:r>
          </w:p>
          <w:p>
            <w:pPr>
              <w:adjustRightInd w:val="0"/>
              <w:snapToGrid w:val="0"/>
              <w:spacing w:line="360" w:lineRule="auto"/>
              <w:ind w:firstLine="480" w:firstLineChars="200"/>
              <w:rPr>
                <w:rFonts w:ascii="Times New Roman" w:hAnsi="Times New Roman" w:cs="Times New Roman"/>
                <w:color w:val="000000"/>
                <w:sz w:val="24"/>
                <w:u w:val="none" w:color="auto"/>
              </w:rPr>
            </w:pPr>
            <w:r>
              <w:rPr>
                <w:rFonts w:ascii="Times New Roman" w:hAnsi="Times New Roman" w:cs="Times New Roman"/>
                <w:color w:val="000000"/>
                <w:sz w:val="24"/>
                <w:u w:val="none" w:color="auto"/>
              </w:rPr>
              <w:t>④乡道不少于5米。</w:t>
            </w:r>
          </w:p>
          <w:p>
            <w:pPr>
              <w:bidi w:val="0"/>
              <w:rPr>
                <w:rFonts w:ascii="Times New Roman" w:hAnsi="Times New Roman" w:cs="Times New Roman"/>
                <w:color w:val="000000"/>
                <w:sz w:val="24"/>
                <w:u w:val="none" w:color="auto"/>
              </w:rPr>
            </w:pPr>
            <w:r>
              <w:rPr>
                <w:rFonts w:ascii="Times New Roman" w:hAnsi="Times New Roman" w:cs="Times New Roman"/>
                <w:color w:val="000000"/>
                <w:sz w:val="24"/>
                <w:u w:val="none" w:color="auto"/>
              </w:rPr>
              <w:t>本项目厂区距离最近道路为</w:t>
            </w:r>
            <w:r>
              <w:rPr>
                <w:rFonts w:hint="default" w:ascii="Times New Roman" w:hAnsi="Times New Roman" w:cs="Times New Roman"/>
                <w:color w:val="000000"/>
                <w:sz w:val="24"/>
                <w:u w:val="none" w:color="auto"/>
                <w:lang w:val="en-US" w:eastAsia="zh-CN"/>
              </w:rPr>
              <w:t>S252省道</w:t>
            </w:r>
            <w:r>
              <w:rPr>
                <w:rFonts w:ascii="Times New Roman" w:hAnsi="Times New Roman" w:cs="Times New Roman"/>
                <w:color w:val="000000"/>
                <w:sz w:val="24"/>
                <w:u w:val="none" w:color="auto"/>
              </w:rPr>
              <w:t>，</w:t>
            </w:r>
            <w:r>
              <w:rPr>
                <w:rFonts w:hint="default" w:ascii="Times New Roman" w:hAnsi="Times New Roman" w:cs="Times New Roman"/>
                <w:color w:val="000000"/>
                <w:sz w:val="24"/>
                <w:u w:val="none" w:color="auto"/>
                <w:lang w:val="en-US" w:eastAsia="zh-CN"/>
              </w:rPr>
              <w:t>最近距离为16m，</w:t>
            </w:r>
            <w:r>
              <w:rPr>
                <w:rFonts w:ascii="Times New Roman" w:hAnsi="Times New Roman" w:cs="Times New Roman"/>
                <w:color w:val="000000"/>
                <w:sz w:val="24"/>
                <w:u w:val="none" w:color="auto"/>
              </w:rPr>
              <w:t>因此本项目符合《公路安全保护条例》中的相关规定。</w:t>
            </w:r>
          </w:p>
          <w:p>
            <w:pPr>
              <w:pStyle w:val="6"/>
              <w:bidi w:val="0"/>
              <w:ind w:left="0" w:leftChars="0" w:firstLine="0" w:firstLineChars="0"/>
              <w:jc w:val="both"/>
              <w:rPr>
                <w:rFonts w:hint="default" w:ascii="Times New Roman" w:hAnsi="Times New Roman" w:eastAsia="宋体" w:cs="Times New Roman"/>
                <w:b/>
                <w:bCs w:val="0"/>
                <w:u w:val="single" w:color="auto"/>
                <w:lang w:val="en-US" w:eastAsia="zh-CN"/>
              </w:rPr>
            </w:pPr>
            <w:r>
              <w:rPr>
                <w:rFonts w:hint="default" w:ascii="Times New Roman" w:hAnsi="Times New Roman" w:eastAsia="宋体" w:cs="Times New Roman"/>
                <w:b/>
                <w:bCs w:val="0"/>
                <w:u w:val="single" w:color="auto"/>
                <w:lang w:val="en-US" w:eastAsia="zh-CN"/>
              </w:rPr>
              <w:t>1.</w:t>
            </w:r>
            <w:r>
              <w:rPr>
                <w:rFonts w:hint="eastAsia" w:ascii="Times New Roman" w:hAnsi="Times New Roman" w:eastAsia="宋体" w:cs="Times New Roman"/>
                <w:b/>
                <w:bCs w:val="0"/>
                <w:u w:val="single" w:color="auto"/>
                <w:lang w:val="en-US" w:eastAsia="zh-CN"/>
              </w:rPr>
              <w:t>1.10</w:t>
            </w:r>
            <w:r>
              <w:rPr>
                <w:rFonts w:hint="default" w:ascii="Times New Roman" w:hAnsi="Times New Roman" w:eastAsia="宋体" w:cs="Times New Roman"/>
                <w:b/>
                <w:bCs w:val="0"/>
                <w:u w:val="single" w:color="auto"/>
                <w:lang w:val="en-US" w:eastAsia="zh-CN"/>
              </w:rPr>
              <w:t xml:space="preserve">  与《饮用水水源保护区污染防治管理规定》</w:t>
            </w:r>
            <w:r>
              <w:rPr>
                <w:rFonts w:hint="default" w:ascii="Times New Roman" w:hAnsi="Times New Roman" w:eastAsia="宋体" w:cs="Times New Roman"/>
                <w:bCs w:val="0"/>
                <w:u w:val="single" w:color="auto"/>
                <w:lang w:val="en-US"/>
              </w:rPr>
              <w:t>（2010 年修订）</w:t>
            </w:r>
            <w:r>
              <w:rPr>
                <w:rFonts w:hint="default" w:ascii="Times New Roman" w:hAnsi="Times New Roman" w:eastAsia="宋体" w:cs="Times New Roman"/>
                <w:b/>
                <w:bCs w:val="0"/>
                <w:u w:val="single" w:color="auto"/>
                <w:lang w:val="en-US" w:eastAsia="zh-CN"/>
              </w:rPr>
              <w:t>的符合性分析</w:t>
            </w:r>
          </w:p>
          <w:p>
            <w:pPr>
              <w:bidi w:val="0"/>
              <w:rPr>
                <w:rFonts w:hint="default"/>
                <w:b/>
                <w:bCs/>
                <w:u w:val="single" w:color="auto"/>
                <w:lang w:val="en-US" w:eastAsia="zh-CN"/>
              </w:rPr>
            </w:pPr>
            <w:r>
              <w:rPr>
                <w:rFonts w:hint="eastAsia"/>
                <w:b/>
                <w:bCs/>
                <w:u w:val="single" w:color="auto"/>
                <w:lang w:val="en-US" w:eastAsia="zh-CN"/>
              </w:rPr>
              <w:t>（1）水源地基本信息</w:t>
            </w:r>
          </w:p>
          <w:p>
            <w:pPr>
              <w:bidi w:val="0"/>
              <w:rPr>
                <w:rFonts w:hint="eastAsia"/>
                <w:u w:val="single" w:color="auto"/>
                <w:lang w:val="en-US" w:eastAsia="zh-CN"/>
              </w:rPr>
            </w:pPr>
            <w:r>
              <w:rPr>
                <w:rFonts w:hint="eastAsia"/>
                <w:u w:val="single" w:color="auto"/>
                <w:lang w:val="en-US" w:eastAsia="zh-CN"/>
              </w:rPr>
              <w:t>泸溪县沅江白沙段饮用水水源</w:t>
            </w:r>
            <w:r>
              <w:rPr>
                <w:rFonts w:hint="eastAsia"/>
                <w:u w:val="single" w:color="auto"/>
              </w:rPr>
              <w:t>保护区域范围为：</w:t>
            </w:r>
            <w:r>
              <w:rPr>
                <w:rFonts w:hint="eastAsia"/>
                <w:u w:val="single" w:color="auto"/>
                <w:lang w:val="en-US" w:eastAsia="zh-CN"/>
              </w:rPr>
              <w:t>一级水域：取水口上游2000m（沙洲坪）至下游100m的河道水域。二级水域：一级保护区水域外上边界上溯4400米（铁柱潭界碑下游约800m处辛女溪桥下）及下边界下延200米的河道水域，包括东岸渔业村支流河道水域；一级陆域：一级保护区水域沿岸纵深50m的陆域，不超过道路迎水侧路肩；二级陆域：一、二级保护区水域外边界沿岸纵深200米的陆域，但不超过山脊线和沿岸县道背水侧路肩（一级保护区除外）。</w:t>
            </w:r>
          </w:p>
          <w:p>
            <w:pPr>
              <w:bidi w:val="0"/>
              <w:rPr>
                <w:rFonts w:hint="default"/>
                <w:b/>
                <w:bCs/>
                <w:u w:val="single" w:color="auto"/>
                <w:lang w:val="en-US" w:eastAsia="zh-CN"/>
              </w:rPr>
            </w:pPr>
            <w:r>
              <w:rPr>
                <w:rFonts w:hint="eastAsia"/>
                <w:b/>
                <w:bCs/>
                <w:u w:val="single" w:color="auto"/>
                <w:lang w:val="en-US" w:eastAsia="zh-CN"/>
              </w:rPr>
              <w:t>（2）符合性分析</w:t>
            </w:r>
          </w:p>
          <w:p>
            <w:pPr>
              <w:keepNext w:val="0"/>
              <w:keepLines w:val="0"/>
              <w:widowControl/>
              <w:suppressLineNumbers w:val="0"/>
              <w:ind w:firstLine="480"/>
              <w:jc w:val="left"/>
              <w:rPr>
                <w:u w:val="single" w:color="auto"/>
              </w:rPr>
            </w:pPr>
            <w:r>
              <w:rPr>
                <w:rFonts w:hint="eastAsia" w:ascii="宋体" w:hAnsi="宋体" w:eastAsia="宋体" w:cs="宋体"/>
                <w:color w:val="333333"/>
                <w:kern w:val="0"/>
                <w:sz w:val="24"/>
                <w:szCs w:val="24"/>
                <w:u w:val="single" w:color="auto"/>
                <w:lang w:val="en-US" w:eastAsia="zh-CN" w:bidi="ar"/>
              </w:rPr>
              <w:t>饮用水地表水源各级保护区及准保护区内均必须遵守下列规定：</w:t>
            </w:r>
          </w:p>
          <w:p>
            <w:pPr>
              <w:keepNext w:val="0"/>
              <w:keepLines w:val="0"/>
              <w:widowControl/>
              <w:suppressLineNumbers w:val="0"/>
              <w:jc w:val="left"/>
              <w:rPr>
                <w:b/>
                <w:bCs/>
                <w:u w:val="single" w:color="auto"/>
              </w:rPr>
            </w:pPr>
            <w:r>
              <w:rPr>
                <w:rFonts w:hint="eastAsia" w:ascii="宋体" w:hAnsi="宋体" w:eastAsia="宋体" w:cs="宋体"/>
                <w:b/>
                <w:bCs/>
                <w:color w:val="333333"/>
                <w:kern w:val="0"/>
                <w:sz w:val="24"/>
                <w:szCs w:val="24"/>
                <w:u w:val="single" w:color="auto"/>
                <w:lang w:val="en-US" w:eastAsia="zh-CN" w:bidi="ar"/>
              </w:rPr>
              <w:t>一、一级保护区内</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禁止新建、扩建与供水设施和保护水源无关的建设项目； </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禁止向水域排放污水，已设置的排污口必须拆除； </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不得设置与供水需要无关的码头，禁止停靠船舶； </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禁止堆置和存放工业废渣、城市垃圾、粪便和其他废弃物； </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禁止设置油库； </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禁止从事种植、放养禽畜和网箱养殖活动； </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禁止可能污染水源的旅游活动和其他活动。 </w:t>
            </w:r>
          </w:p>
          <w:p>
            <w:pPr>
              <w:keepNext w:val="0"/>
              <w:keepLines w:val="0"/>
              <w:widowControl/>
              <w:suppressLineNumbers w:val="0"/>
              <w:jc w:val="left"/>
              <w:rPr>
                <w:b/>
                <w:bCs/>
                <w:u w:val="single" w:color="auto"/>
              </w:rPr>
            </w:pPr>
            <w:r>
              <w:rPr>
                <w:rFonts w:hint="eastAsia" w:ascii="宋体" w:hAnsi="宋体" w:eastAsia="宋体" w:cs="宋体"/>
                <w:b/>
                <w:bCs/>
                <w:color w:val="333333"/>
                <w:kern w:val="0"/>
                <w:sz w:val="24"/>
                <w:szCs w:val="24"/>
                <w:u w:val="single" w:color="auto"/>
                <w:lang w:val="en-US" w:eastAsia="zh-CN" w:bidi="ar"/>
              </w:rPr>
              <w:t>二、二级保护区内</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禁止新建、改建、扩建排放污染物的建设项目； </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原有排污口依法拆除或者关闭； </w:t>
            </w:r>
          </w:p>
          <w:p>
            <w:pPr>
              <w:keepNext w:val="0"/>
              <w:keepLines w:val="0"/>
              <w:widowControl/>
              <w:suppressLineNumbers w:val="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禁止设立装卸垃圾、粪便、油类和有毒物品的码头。 </w:t>
            </w:r>
          </w:p>
          <w:p>
            <w:pPr>
              <w:keepNext w:val="0"/>
              <w:keepLines w:val="0"/>
              <w:widowControl/>
              <w:suppressLineNumbers w:val="0"/>
              <w:jc w:val="left"/>
              <w:rPr>
                <w:b/>
                <w:bCs/>
                <w:u w:val="single" w:color="auto"/>
              </w:rPr>
            </w:pPr>
            <w:r>
              <w:rPr>
                <w:rFonts w:hint="eastAsia" w:ascii="宋体" w:hAnsi="宋体" w:eastAsia="宋体" w:cs="宋体"/>
                <w:b/>
                <w:bCs/>
                <w:color w:val="333333"/>
                <w:kern w:val="0"/>
                <w:sz w:val="24"/>
                <w:szCs w:val="24"/>
                <w:u w:val="single" w:color="auto"/>
                <w:lang w:val="en-US" w:eastAsia="zh-CN" w:bidi="ar"/>
              </w:rPr>
              <w:t>三、准保护区内</w:t>
            </w:r>
          </w:p>
          <w:p>
            <w:pPr>
              <w:keepNext w:val="0"/>
              <w:keepLines w:val="0"/>
              <w:widowControl/>
              <w:suppressLineNumbers w:val="0"/>
              <w:ind w:firstLine="480"/>
              <w:jc w:val="left"/>
              <w:rPr>
                <w:u w:val="single" w:color="auto"/>
              </w:rPr>
            </w:pPr>
            <w:r>
              <w:rPr>
                <w:rFonts w:hint="eastAsia" w:ascii="宋体" w:hAnsi="宋体" w:eastAsia="宋体" w:cs="宋体"/>
                <w:color w:val="333333"/>
                <w:kern w:val="0"/>
                <w:sz w:val="24"/>
                <w:szCs w:val="24"/>
                <w:u w:val="single" w:color="auto"/>
                <w:lang w:val="en-US" w:eastAsia="zh-CN" w:bidi="ar"/>
              </w:rPr>
              <w:t xml:space="preserve">禁止新建、扩建对水体污染严重的建设项目；改建建设项目，不得增加排污量。 </w:t>
            </w:r>
          </w:p>
          <w:p>
            <w:pPr>
              <w:keepNext w:val="0"/>
              <w:keepLines w:val="0"/>
              <w:pageBreakBefore w:val="0"/>
              <w:widowControl/>
              <w:numPr>
                <w:ilvl w:val="0"/>
                <w:numId w:val="0"/>
              </w:numPr>
              <w:suppressLineNumbers w:val="0"/>
              <w:kinsoku/>
              <w:wordWrap w:val="0"/>
              <w:overflowPunct/>
              <w:topLinePunct w:val="0"/>
              <w:autoSpaceDE w:val="0"/>
              <w:autoSpaceDN w:val="0"/>
              <w:bidi w:val="0"/>
              <w:adjustRightInd/>
              <w:snapToGrid/>
              <w:ind w:firstLine="480" w:firstLineChars="200"/>
              <w:jc w:val="left"/>
              <w:textAlignment w:val="auto"/>
              <w:rPr>
                <w:rFonts w:hint="eastAsia"/>
                <w:u w:val="single" w:color="auto"/>
              </w:rPr>
            </w:pPr>
            <w:r>
              <w:rPr>
                <w:rFonts w:hint="eastAsia"/>
                <w:u w:val="single" w:color="auto"/>
                <w:lang w:val="en-US" w:eastAsia="zh-CN"/>
              </w:rPr>
              <w:t>本项目属于其他方便食品行业</w:t>
            </w:r>
            <w:r>
              <w:rPr>
                <w:rFonts w:hint="eastAsia"/>
                <w:w w:val="100"/>
                <w:sz w:val="24"/>
                <w:szCs w:val="24"/>
                <w:u w:val="single" w:color="auto"/>
                <w:lang w:val="en-US" w:eastAsia="zh-CN"/>
              </w:rPr>
              <w:t>，</w:t>
            </w:r>
            <w:r>
              <w:rPr>
                <w:rFonts w:hint="eastAsia"/>
                <w:u w:val="single" w:color="auto"/>
                <w:lang w:val="en-US" w:eastAsia="zh-CN"/>
              </w:rPr>
              <w:t>项目地位于泸溪县武溪镇红土溪村，不占用饮用水水源保护区，灌溉区域涉及饮用水水源保护区的二级陆域保护区，项目产生的废水经自建污水处理站处理达到</w:t>
            </w:r>
            <w:r>
              <w:rPr>
                <w:rFonts w:hint="default" w:ascii="Times New Roman" w:hAnsi="Times New Roman" w:cs="Times New Roman"/>
                <w:u w:val="single" w:color="auto"/>
              </w:rPr>
              <w:t>《农田灌溉水质标准》（GB5084-20</w:t>
            </w:r>
            <w:r>
              <w:rPr>
                <w:rFonts w:hint="default" w:ascii="Times New Roman" w:hAnsi="Times New Roman" w:cs="Times New Roman"/>
                <w:u w:val="single" w:color="auto"/>
                <w:lang w:val="en-US" w:eastAsia="zh-CN"/>
              </w:rPr>
              <w:t>21</w:t>
            </w:r>
            <w:r>
              <w:rPr>
                <w:rFonts w:hint="default" w:ascii="Times New Roman" w:hAnsi="Times New Roman" w:cs="Times New Roman"/>
                <w:u w:val="single" w:color="auto"/>
              </w:rPr>
              <w:t>）中的</w:t>
            </w:r>
            <w:r>
              <w:rPr>
                <w:rFonts w:hint="default" w:ascii="Times New Roman" w:hAnsi="Times New Roman" w:cs="Times New Roman"/>
                <w:u w:val="single" w:color="auto"/>
                <w:lang w:val="en-US" w:eastAsia="zh-CN"/>
              </w:rPr>
              <w:t>水田</w:t>
            </w:r>
            <w:r>
              <w:rPr>
                <w:rFonts w:hint="default" w:ascii="Times New Roman" w:hAnsi="Times New Roman" w:cs="Times New Roman"/>
                <w:u w:val="single" w:color="auto"/>
              </w:rPr>
              <w:t>标准</w:t>
            </w:r>
            <w:r>
              <w:rPr>
                <w:rFonts w:hint="eastAsia" w:ascii="Times New Roman" w:hAnsi="Times New Roman" w:cs="Times New Roman"/>
                <w:u w:val="single" w:color="auto"/>
                <w:lang w:val="en-US" w:eastAsia="zh-CN"/>
              </w:rPr>
              <w:t>后利用灌溉管道输送废水，用于水田、旱地的灌溉，不直接进入农业灌溉水渠中，</w:t>
            </w:r>
            <w:r>
              <w:rPr>
                <w:rFonts w:hint="eastAsia"/>
                <w:u w:val="single" w:color="auto"/>
                <w:lang w:val="en-US" w:eastAsia="zh-CN"/>
              </w:rPr>
              <w:t>灌溉区域</w:t>
            </w:r>
            <w:r>
              <w:rPr>
                <w:rFonts w:hint="eastAsia" w:ascii="Times New Roman" w:hAnsi="Times New Roman" w:eastAsia="宋体" w:cs="Times New Roman"/>
                <w:color w:val="auto"/>
                <w:u w:val="single" w:color="auto"/>
                <w:lang w:val="en-US" w:eastAsia="zh-CN"/>
              </w:rPr>
              <w:t>虽</w:t>
            </w:r>
            <w:r>
              <w:rPr>
                <w:rFonts w:hint="eastAsia" w:ascii="Times New Roman" w:hAnsi="Times New Roman" w:eastAsia="宋体" w:cs="Times New Roman"/>
                <w:color w:val="auto"/>
                <w:highlight w:val="none"/>
                <w:u w:val="single" w:color="auto"/>
                <w:lang w:val="en-US" w:eastAsia="zh-CN"/>
              </w:rPr>
              <w:t>处于水源地保护区汇水区域</w:t>
            </w:r>
            <w:r>
              <w:rPr>
                <w:rFonts w:hint="eastAsia" w:ascii="Times New Roman" w:hAnsi="Times New Roman" w:eastAsia="宋体" w:cs="Times New Roman"/>
                <w:color w:val="auto"/>
                <w:u w:val="single" w:color="auto"/>
                <w:lang w:val="en-US" w:eastAsia="zh-CN"/>
              </w:rPr>
              <w:t>，</w:t>
            </w:r>
            <w:r>
              <w:rPr>
                <w:rFonts w:hint="default" w:ascii="Times New Roman" w:hAnsi="Times New Roman" w:eastAsia="宋体" w:cs="Times New Roman"/>
                <w:color w:val="auto"/>
                <w:u w:val="single" w:color="auto"/>
                <w:lang w:val="en-US" w:eastAsia="zh-CN"/>
              </w:rPr>
              <w:t>目前泸溪县人民政府对沅江饮用水进行了农业面源整治，严格限值不合规的农药和化肥的使用，其中还包括防洪堤的修建，防治沅江洪期冲刷两岸的农田耕地，同时经现场调查，沅江两岸还设有生态缓冲带，农田退水在经过生态缓冲带的滞留及过滤，其农田退水对沅江的水质影响较小，并结合近几年沅江的水质监测结果，均能实现水质达标</w:t>
            </w:r>
            <w:r>
              <w:rPr>
                <w:rFonts w:hint="eastAsia" w:ascii="Times New Roman" w:hAnsi="Times New Roman" w:eastAsia="宋体" w:cs="Times New Roman"/>
                <w:color w:val="auto"/>
                <w:u w:val="single" w:color="auto"/>
                <w:lang w:val="en-US" w:eastAsia="zh-CN"/>
              </w:rPr>
              <w:t>，</w:t>
            </w:r>
            <w:r>
              <w:rPr>
                <w:rFonts w:hint="default" w:ascii="Times New Roman" w:hAnsi="Times New Roman" w:eastAsia="宋体" w:cs="Times New Roman"/>
                <w:color w:val="auto"/>
                <w:u w:val="single" w:color="auto"/>
                <w:lang w:val="en-US" w:eastAsia="zh-CN"/>
              </w:rPr>
              <w:t>因此项目废水</w:t>
            </w:r>
            <w:r>
              <w:rPr>
                <w:rFonts w:hint="default" w:ascii="Times New Roman" w:hAnsi="Times New Roman" w:eastAsia="宋体" w:cs="Times New Roman"/>
                <w:color w:val="auto"/>
                <w:sz w:val="24"/>
                <w:szCs w:val="24"/>
                <w:u w:val="single" w:color="auto"/>
                <w:lang w:val="en-US" w:eastAsia="zh-CN"/>
              </w:rPr>
              <w:t>输灌</w:t>
            </w:r>
            <w:r>
              <w:rPr>
                <w:rFonts w:hint="eastAsia" w:ascii="Times New Roman" w:hAnsi="Times New Roman" w:eastAsia="宋体" w:cs="Times New Roman"/>
                <w:color w:val="auto"/>
                <w:u w:val="single" w:color="auto"/>
                <w:lang w:val="en-US" w:eastAsia="zh-CN"/>
              </w:rPr>
              <w:t>对</w:t>
            </w:r>
            <w:r>
              <w:rPr>
                <w:rFonts w:hint="default" w:ascii="Times New Roman" w:hAnsi="Times New Roman" w:eastAsia="宋体" w:cs="Times New Roman"/>
                <w:color w:val="auto"/>
                <w:u w:val="single" w:color="auto"/>
                <w:lang w:val="en-US" w:eastAsia="zh-CN"/>
              </w:rPr>
              <w:t>下游饮用水源保护区</w:t>
            </w:r>
            <w:r>
              <w:rPr>
                <w:rFonts w:hint="eastAsia" w:ascii="Times New Roman" w:hAnsi="Times New Roman" w:eastAsia="宋体" w:cs="Times New Roman"/>
                <w:color w:val="auto"/>
                <w:u w:val="single" w:color="auto"/>
                <w:lang w:val="en-US" w:eastAsia="zh-CN"/>
              </w:rPr>
              <w:t>的</w:t>
            </w:r>
            <w:r>
              <w:rPr>
                <w:rFonts w:hint="default" w:ascii="Times New Roman" w:hAnsi="Times New Roman" w:eastAsia="宋体" w:cs="Times New Roman"/>
                <w:color w:val="auto"/>
                <w:u w:val="single" w:color="auto"/>
                <w:lang w:val="en-US" w:eastAsia="zh-CN"/>
              </w:rPr>
              <w:t>影响可控</w:t>
            </w:r>
            <w:r>
              <w:rPr>
                <w:rFonts w:hint="default" w:ascii="Times New Roman" w:hAnsi="Times New Roman" w:cs="Times New Roman"/>
                <w:u w:val="single" w:color="auto"/>
                <w:lang w:val="en-US" w:eastAsia="zh-CN"/>
              </w:rPr>
              <w:t>。</w:t>
            </w:r>
            <w:r>
              <w:rPr>
                <w:rFonts w:hint="eastAsia"/>
                <w:u w:val="single" w:color="auto"/>
              </w:rPr>
              <w:t>。</w:t>
            </w:r>
          </w:p>
          <w:p>
            <w:pPr>
              <w:pStyle w:val="6"/>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w:t>
            </w:r>
            <w:r>
              <w:rPr>
                <w:rFonts w:hint="eastAsia" w:ascii="Times New Roman" w:hAnsi="Times New Roman" w:eastAsia="宋体" w:cs="Times New Roman"/>
                <w:u w:val="single" w:color="auto"/>
                <w:lang w:val="en-US" w:eastAsia="zh-CN"/>
              </w:rPr>
              <w:t>1.11</w:t>
            </w:r>
            <w:r>
              <w:rPr>
                <w:rFonts w:hint="default" w:ascii="Times New Roman" w:hAnsi="Times New Roman" w:eastAsia="宋体" w:cs="Times New Roman"/>
                <w:u w:val="single" w:color="auto"/>
                <w:lang w:val="en-US" w:eastAsia="zh-CN"/>
              </w:rPr>
              <w:t xml:space="preserve"> 与《湖南省饮用水源保护条例》（2018年1月1日）的符合性分析</w:t>
            </w:r>
          </w:p>
          <w:p>
            <w:pPr>
              <w:pStyle w:val="42"/>
              <w:rPr>
                <w:rFonts w:hint="default" w:ascii="Times New Roman" w:hAnsi="Times New Roman" w:eastAsia="宋体" w:cs="Times New Roman"/>
                <w:u w:val="single" w:color="auto"/>
              </w:rPr>
            </w:pPr>
            <w:r>
              <w:rPr>
                <w:rFonts w:hint="default" w:ascii="Times New Roman" w:hAnsi="Times New Roman" w:eastAsia="宋体" w:cs="Times New Roman"/>
                <w:u w:val="single" w:color="auto"/>
                <w:lang w:val="en-US" w:eastAsia="zh-CN"/>
              </w:rPr>
              <w:t>表1.</w:t>
            </w:r>
            <w:r>
              <w:rPr>
                <w:rFonts w:hint="eastAsia" w:ascii="Times New Roman" w:hAnsi="Times New Roman" w:eastAsia="宋体" w:cs="Times New Roman"/>
                <w:u w:val="single" w:color="auto"/>
                <w:lang w:val="en-US" w:eastAsia="zh-CN"/>
              </w:rPr>
              <w:t>1-6</w:t>
            </w:r>
            <w:r>
              <w:rPr>
                <w:rFonts w:hint="default" w:ascii="Times New Roman" w:hAnsi="Times New Roman" w:eastAsia="宋体" w:cs="Times New Roman"/>
                <w:u w:val="single" w:color="auto"/>
                <w:lang w:val="en-US" w:eastAsia="zh-CN"/>
              </w:rPr>
              <w:t xml:space="preserve"> 与《湖南省饮用水源保护条例》（2018年1月1日）的符合性分析</w:t>
            </w:r>
          </w:p>
          <w:tbl>
            <w:tblPr>
              <w:tblStyle w:val="28"/>
              <w:tblW w:w="49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3600"/>
              <w:gridCol w:w="3230"/>
              <w:gridCol w:w="11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57" w:type="pct"/>
                  <w:tcBorders>
                    <w:tl2br w:val="nil"/>
                    <w:tr2bl w:val="nil"/>
                  </w:tcBorders>
                  <w:vAlign w:val="center"/>
                </w:tcPr>
                <w:p>
                  <w:pPr>
                    <w:pStyle w:val="39"/>
                    <w:rPr>
                      <w:rFonts w:hint="default" w:eastAsia="宋体"/>
                      <w:b/>
                      <w:bCs/>
                      <w:u w:val="single" w:color="auto"/>
                      <w:lang w:val="en-US" w:eastAsia="zh-CN"/>
                    </w:rPr>
                  </w:pPr>
                  <w:r>
                    <w:rPr>
                      <w:rFonts w:hint="default"/>
                      <w:b/>
                      <w:bCs/>
                      <w:u w:val="single" w:color="auto"/>
                      <w:lang w:val="en-US" w:eastAsia="zh-CN"/>
                    </w:rPr>
                    <w:t>序号</w:t>
                  </w:r>
                </w:p>
              </w:tc>
              <w:tc>
                <w:tcPr>
                  <w:tcW w:w="2093" w:type="pct"/>
                  <w:tcBorders>
                    <w:tl2br w:val="nil"/>
                    <w:tr2bl w:val="nil"/>
                  </w:tcBorders>
                  <w:vAlign w:val="center"/>
                </w:tcPr>
                <w:p>
                  <w:pPr>
                    <w:pStyle w:val="39"/>
                    <w:rPr>
                      <w:rFonts w:hint="default" w:eastAsia="宋体"/>
                      <w:b/>
                      <w:bCs/>
                      <w:u w:val="single" w:color="auto"/>
                      <w:lang w:val="en-US" w:eastAsia="zh-CN"/>
                    </w:rPr>
                  </w:pPr>
                  <w:r>
                    <w:rPr>
                      <w:rFonts w:hint="default"/>
                      <w:b/>
                      <w:bCs/>
                      <w:u w:val="single" w:color="auto"/>
                      <w:lang w:val="en-US" w:eastAsia="zh-CN"/>
                    </w:rPr>
                    <w:t>要求</w:t>
                  </w:r>
                </w:p>
              </w:tc>
              <w:tc>
                <w:tcPr>
                  <w:tcW w:w="1878" w:type="pct"/>
                  <w:tcBorders>
                    <w:tl2br w:val="nil"/>
                    <w:tr2bl w:val="nil"/>
                  </w:tcBorders>
                  <w:vAlign w:val="center"/>
                </w:tcPr>
                <w:p>
                  <w:pPr>
                    <w:pStyle w:val="39"/>
                    <w:rPr>
                      <w:rFonts w:hint="default" w:eastAsia="宋体"/>
                      <w:b/>
                      <w:bCs/>
                      <w:u w:val="single" w:color="auto"/>
                      <w:lang w:val="en-US" w:eastAsia="zh-CN"/>
                    </w:rPr>
                  </w:pPr>
                  <w:r>
                    <w:rPr>
                      <w:rFonts w:hint="default"/>
                      <w:b/>
                      <w:bCs/>
                      <w:u w:val="single" w:color="auto"/>
                      <w:lang w:val="en-US" w:eastAsia="zh-CN"/>
                    </w:rPr>
                    <w:t>项目</w:t>
                  </w:r>
                </w:p>
              </w:tc>
              <w:tc>
                <w:tcPr>
                  <w:tcW w:w="670" w:type="pct"/>
                  <w:tcBorders>
                    <w:tl2br w:val="nil"/>
                    <w:tr2bl w:val="nil"/>
                  </w:tcBorders>
                  <w:vAlign w:val="center"/>
                </w:tcPr>
                <w:p>
                  <w:pPr>
                    <w:pStyle w:val="39"/>
                    <w:rPr>
                      <w:rFonts w:hint="default"/>
                      <w:b/>
                      <w:bCs/>
                      <w:u w:val="single" w:color="auto"/>
                      <w:lang w:val="en-US" w:eastAsia="zh-CN"/>
                    </w:rPr>
                  </w:pPr>
                  <w:r>
                    <w:rPr>
                      <w:rFonts w:hint="eastAsia"/>
                      <w:b/>
                      <w:bCs/>
                      <w:u w:val="single" w:color="auto"/>
                      <w:lang w:val="en-US" w:eastAsia="zh-CN"/>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4" w:hRule="atLeast"/>
                <w:jc w:val="center"/>
              </w:trPr>
              <w:tc>
                <w:tcPr>
                  <w:tcW w:w="357" w:type="pct"/>
                  <w:tcBorders>
                    <w:tl2br w:val="nil"/>
                    <w:tr2bl w:val="nil"/>
                  </w:tcBorders>
                  <w:vAlign w:val="center"/>
                </w:tcPr>
                <w:p>
                  <w:pPr>
                    <w:pStyle w:val="39"/>
                    <w:rPr>
                      <w:rFonts w:hint="eastAsia" w:eastAsia="宋体"/>
                      <w:u w:val="single" w:color="auto"/>
                      <w:lang w:val="en-US" w:eastAsia="zh-CN"/>
                    </w:rPr>
                  </w:pPr>
                  <w:r>
                    <w:rPr>
                      <w:rFonts w:hint="eastAsia"/>
                      <w:u w:val="single" w:color="auto"/>
                      <w:lang w:val="en-US" w:eastAsia="zh-CN"/>
                    </w:rPr>
                    <w:t>1</w:t>
                  </w:r>
                </w:p>
              </w:tc>
              <w:tc>
                <w:tcPr>
                  <w:tcW w:w="2093" w:type="pct"/>
                  <w:tcBorders>
                    <w:tl2br w:val="nil"/>
                    <w:tr2bl w:val="nil"/>
                  </w:tcBorders>
                  <w:vAlign w:val="center"/>
                </w:tcPr>
                <w:p>
                  <w:pPr>
                    <w:pStyle w:val="39"/>
                    <w:jc w:val="left"/>
                    <w:rPr>
                      <w:rFonts w:hint="eastAsia" w:eastAsia="宋体"/>
                      <w:u w:val="single" w:color="auto"/>
                      <w:lang w:eastAsia="zh-CN"/>
                    </w:rPr>
                  </w:pPr>
                  <w:r>
                    <w:rPr>
                      <w:rFonts w:hint="eastAsia"/>
                      <w:u w:val="single" w:color="auto"/>
                    </w:rPr>
                    <w:t>第十八条 在饮用水水源准保护区内，禁止下列行为</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(一)新建、扩建水上加油站、油库、制药、造纸、化工等严重污染水体的建设项目，或者改建增加排污量的建设项目</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(二)使用毒鱼、炸鱼等方法进行捕捞</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(三)排放倾倒工业废渣、城镇垃圾、医疗垃圾和其他废弃物，或者贮存、堆放固体废弃物和其他污染物</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(四)使用剧毒和高残留农药，滥用化肥</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(五)投肥养鱼</w:t>
                  </w:r>
                  <w:r>
                    <w:rPr>
                      <w:rFonts w:hint="eastAsia"/>
                      <w:u w:val="single" w:color="auto"/>
                      <w:lang w:eastAsia="zh-CN"/>
                    </w:rPr>
                    <w:t>；</w:t>
                  </w:r>
                </w:p>
                <w:p>
                  <w:pPr>
                    <w:pStyle w:val="39"/>
                    <w:jc w:val="left"/>
                    <w:rPr>
                      <w:rFonts w:hint="eastAsia"/>
                      <w:u w:val="single" w:color="auto"/>
                    </w:rPr>
                  </w:pPr>
                  <w:r>
                    <w:rPr>
                      <w:rFonts w:hint="eastAsia"/>
                      <w:u w:val="single" w:color="auto"/>
                    </w:rPr>
                    <w:t>(六)其他可能污染饮用水水体的行为。</w:t>
                  </w:r>
                </w:p>
              </w:tc>
              <w:tc>
                <w:tcPr>
                  <w:tcW w:w="1878" w:type="pct"/>
                  <w:tcBorders>
                    <w:tl2br w:val="nil"/>
                    <w:tr2bl w:val="nil"/>
                  </w:tcBorders>
                  <w:vAlign w:val="center"/>
                </w:tcPr>
                <w:p>
                  <w:pPr>
                    <w:pStyle w:val="39"/>
                    <w:rPr>
                      <w:rFonts w:hint="default" w:eastAsia="宋体"/>
                      <w:u w:val="single" w:color="auto"/>
                      <w:lang w:val="en-US" w:eastAsia="zh-CN"/>
                    </w:rPr>
                  </w:pPr>
                  <w:r>
                    <w:rPr>
                      <w:rFonts w:hint="eastAsia"/>
                      <w:u w:val="single" w:color="auto"/>
                      <w:lang w:val="en-US" w:eastAsia="zh-CN"/>
                    </w:rPr>
                    <w:t>项目属于其他方便食品行业，项目地不占用饮用水水源保护区，灌溉区域涉及饮用水水源保护区的二级陆域保护区，在管道的铺设过程中不涉及条例中禁止的行为</w:t>
                  </w:r>
                </w:p>
              </w:tc>
              <w:tc>
                <w:tcPr>
                  <w:tcW w:w="670" w:type="pct"/>
                  <w:tcBorders>
                    <w:tl2br w:val="nil"/>
                    <w:tr2bl w:val="nil"/>
                  </w:tcBorders>
                  <w:vAlign w:val="center"/>
                </w:tcPr>
                <w:p>
                  <w:pPr>
                    <w:pStyle w:val="39"/>
                    <w:rPr>
                      <w:rFonts w:hint="default"/>
                      <w:u w:val="single" w:color="auto"/>
                      <w:lang w:val="en-US" w:eastAsia="zh-CN"/>
                    </w:rPr>
                  </w:pPr>
                  <w:r>
                    <w:rPr>
                      <w:rFonts w:hint="eastAsia"/>
                      <w:u w:val="single" w:color="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357" w:type="pct"/>
                  <w:tcBorders>
                    <w:tl2br w:val="nil"/>
                    <w:tr2bl w:val="nil"/>
                  </w:tcBorders>
                  <w:vAlign w:val="center"/>
                </w:tcPr>
                <w:p>
                  <w:pPr>
                    <w:pStyle w:val="39"/>
                    <w:rPr>
                      <w:rFonts w:hint="eastAsia" w:eastAsia="宋体"/>
                      <w:u w:val="single" w:color="auto"/>
                      <w:lang w:val="en-US" w:eastAsia="zh-CN"/>
                    </w:rPr>
                  </w:pPr>
                  <w:r>
                    <w:rPr>
                      <w:rFonts w:hint="eastAsia"/>
                      <w:u w:val="single" w:color="auto"/>
                      <w:lang w:val="en-US" w:eastAsia="zh-CN"/>
                    </w:rPr>
                    <w:t>2</w:t>
                  </w:r>
                </w:p>
              </w:tc>
              <w:tc>
                <w:tcPr>
                  <w:tcW w:w="2093" w:type="pct"/>
                  <w:tcBorders>
                    <w:tl2br w:val="nil"/>
                    <w:tr2bl w:val="nil"/>
                  </w:tcBorders>
                  <w:vAlign w:val="center"/>
                </w:tcPr>
                <w:p>
                  <w:pPr>
                    <w:pStyle w:val="39"/>
                    <w:jc w:val="left"/>
                    <w:rPr>
                      <w:rFonts w:hint="eastAsia" w:eastAsia="宋体"/>
                      <w:u w:val="single" w:color="auto"/>
                      <w:lang w:eastAsia="zh-CN"/>
                    </w:rPr>
                  </w:pPr>
                  <w:r>
                    <w:rPr>
                      <w:rFonts w:hint="eastAsia"/>
                      <w:u w:val="single" w:color="auto"/>
                    </w:rPr>
                    <w:t>第十九条 在饮用水水源二级保护区内，除第十八条规定的禁止行为外，还禁止下列行为</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(一)设置排污口</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(二)新建、改建、扩建排放污染物的建设项目</w:t>
                  </w:r>
                  <w:r>
                    <w:rPr>
                      <w:rFonts w:hint="eastAsia"/>
                      <w:u w:val="single" w:color="auto"/>
                      <w:lang w:eastAsia="zh-CN"/>
                    </w:rPr>
                    <w:t>；</w:t>
                  </w:r>
                </w:p>
                <w:p>
                  <w:pPr>
                    <w:pStyle w:val="39"/>
                    <w:jc w:val="left"/>
                    <w:rPr>
                      <w:rFonts w:hint="eastAsia"/>
                      <w:u w:val="single" w:color="auto"/>
                    </w:rPr>
                  </w:pPr>
                  <w:r>
                    <w:rPr>
                      <w:rFonts w:hint="eastAsia"/>
                      <w:u w:val="single" w:color="auto"/>
                    </w:rPr>
                    <w:t>(三)设置畜禽养殖场、养殖小区;</w:t>
                  </w:r>
                </w:p>
                <w:p>
                  <w:pPr>
                    <w:pStyle w:val="39"/>
                    <w:jc w:val="left"/>
                    <w:rPr>
                      <w:rFonts w:hint="eastAsia" w:eastAsia="宋体"/>
                      <w:u w:val="single" w:color="auto"/>
                      <w:lang w:eastAsia="zh-CN"/>
                    </w:rPr>
                  </w:pPr>
                  <w:r>
                    <w:rPr>
                      <w:rFonts w:hint="eastAsia"/>
                      <w:u w:val="single" w:color="auto"/>
                    </w:rPr>
                    <w:t>(四)设置装卸垃圾、油类及其他有毒有害物品的码头</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(五)水上运输剧毒化学品及国家禁止运输的其他危险化学品</w:t>
                  </w:r>
                  <w:r>
                    <w:rPr>
                      <w:rFonts w:hint="eastAsia"/>
                      <w:u w:val="single" w:color="auto"/>
                      <w:lang w:eastAsia="zh-CN"/>
                    </w:rPr>
                    <w:t>；</w:t>
                  </w:r>
                </w:p>
                <w:p>
                  <w:pPr>
                    <w:pStyle w:val="39"/>
                    <w:jc w:val="left"/>
                    <w:rPr>
                      <w:rFonts w:hint="eastAsia"/>
                      <w:u w:val="single" w:color="auto"/>
                    </w:rPr>
                  </w:pPr>
                  <w:r>
                    <w:rPr>
                      <w:rFonts w:hint="eastAsia"/>
                      <w:u w:val="single" w:color="auto"/>
                    </w:rPr>
                    <w:t>(六)使用农药。</w:t>
                  </w:r>
                </w:p>
              </w:tc>
              <w:tc>
                <w:tcPr>
                  <w:tcW w:w="1878" w:type="pct"/>
                  <w:tcBorders>
                    <w:tl2br w:val="nil"/>
                    <w:tr2bl w:val="nil"/>
                  </w:tcBorders>
                  <w:vAlign w:val="center"/>
                </w:tcPr>
                <w:p>
                  <w:pPr>
                    <w:pStyle w:val="39"/>
                    <w:rPr>
                      <w:rFonts w:hint="default" w:eastAsia="宋体"/>
                      <w:u w:val="single" w:color="auto"/>
                      <w:lang w:val="en-US" w:eastAsia="zh-CN"/>
                    </w:rPr>
                  </w:pPr>
                  <w:r>
                    <w:rPr>
                      <w:rFonts w:hint="eastAsia"/>
                      <w:u w:val="single" w:color="auto"/>
                      <w:lang w:val="en-US" w:eastAsia="zh-CN"/>
                    </w:rPr>
                    <w:t>项目地不占用饮用水水源保护区，灌溉区域涉及饮用水水源保护区的二级陆域保护区</w:t>
                  </w:r>
                  <w:r>
                    <w:rPr>
                      <w:rFonts w:hint="eastAsia"/>
                      <w:u w:val="single" w:color="auto"/>
                      <w:lang w:eastAsia="zh-CN"/>
                    </w:rPr>
                    <w:t>，</w:t>
                  </w:r>
                  <w:r>
                    <w:rPr>
                      <w:rFonts w:hint="eastAsia"/>
                      <w:u w:val="single" w:color="auto"/>
                      <w:lang w:val="en-US" w:eastAsia="zh-CN"/>
                    </w:rPr>
                    <w:t>在管道的铺设过程中不涉及条例中禁止的行为</w:t>
                  </w:r>
                </w:p>
              </w:tc>
              <w:tc>
                <w:tcPr>
                  <w:tcW w:w="670" w:type="pct"/>
                  <w:tcBorders>
                    <w:tl2br w:val="nil"/>
                    <w:tr2bl w:val="nil"/>
                  </w:tcBorders>
                  <w:vAlign w:val="center"/>
                </w:tcPr>
                <w:p>
                  <w:pPr>
                    <w:pStyle w:val="39"/>
                    <w:rPr>
                      <w:rFonts w:hint="eastAsia" w:eastAsia="宋体"/>
                      <w:iCs/>
                      <w:u w:val="single" w:color="auto"/>
                      <w:lang w:val="en-US" w:eastAsia="zh-CN"/>
                    </w:rPr>
                  </w:pPr>
                  <w:r>
                    <w:rPr>
                      <w:rFonts w:hint="eastAsia"/>
                      <w:iCs/>
                      <w:u w:val="single" w:color="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357" w:type="pct"/>
                  <w:tcBorders>
                    <w:tl2br w:val="nil"/>
                    <w:tr2bl w:val="nil"/>
                  </w:tcBorders>
                  <w:vAlign w:val="center"/>
                </w:tcPr>
                <w:p>
                  <w:pPr>
                    <w:pStyle w:val="39"/>
                    <w:rPr>
                      <w:rFonts w:hint="eastAsia" w:eastAsia="宋体"/>
                      <w:u w:val="single" w:color="auto"/>
                      <w:lang w:val="en-US" w:eastAsia="zh-CN"/>
                    </w:rPr>
                  </w:pPr>
                  <w:r>
                    <w:rPr>
                      <w:rFonts w:hint="eastAsia"/>
                      <w:u w:val="single" w:color="auto"/>
                      <w:lang w:val="en-US" w:eastAsia="zh-CN"/>
                    </w:rPr>
                    <w:t>3</w:t>
                  </w:r>
                </w:p>
              </w:tc>
              <w:tc>
                <w:tcPr>
                  <w:tcW w:w="2093" w:type="pct"/>
                  <w:tcBorders>
                    <w:tl2br w:val="nil"/>
                    <w:tr2bl w:val="nil"/>
                  </w:tcBorders>
                  <w:vAlign w:val="center"/>
                </w:tcPr>
                <w:p>
                  <w:pPr>
                    <w:pStyle w:val="39"/>
                    <w:jc w:val="left"/>
                    <w:rPr>
                      <w:rFonts w:hint="eastAsia" w:eastAsia="宋体"/>
                      <w:u w:val="single" w:color="auto"/>
                      <w:lang w:eastAsia="zh-CN"/>
                    </w:rPr>
                  </w:pPr>
                  <w:r>
                    <w:rPr>
                      <w:rFonts w:hint="eastAsia"/>
                      <w:u w:val="single" w:color="auto"/>
                    </w:rPr>
                    <w:t>第二十条 在饮用水水源一级保护区内，除第十八条、第十九条规定的禁止行为外，还禁止下列行为</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(一)新建、改建、扩建与供水设施和保护水源无关的建设项目</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(二)水上餐饮</w:t>
                  </w:r>
                  <w:r>
                    <w:rPr>
                      <w:rFonts w:hint="eastAsia"/>
                      <w:u w:val="single" w:color="auto"/>
                      <w:lang w:eastAsia="zh-CN"/>
                    </w:rPr>
                    <w:t>；</w:t>
                  </w:r>
                </w:p>
                <w:p>
                  <w:pPr>
                    <w:pStyle w:val="39"/>
                    <w:jc w:val="left"/>
                    <w:rPr>
                      <w:rFonts w:hint="eastAsia"/>
                      <w:u w:val="single" w:color="auto"/>
                    </w:rPr>
                  </w:pPr>
                  <w:r>
                    <w:rPr>
                      <w:rFonts w:hint="eastAsia"/>
                      <w:u w:val="single" w:color="auto"/>
                    </w:rPr>
                    <w:t>(三)网箱养殖、旅游、游泳、垂钓。</w:t>
                  </w:r>
                </w:p>
              </w:tc>
              <w:tc>
                <w:tcPr>
                  <w:tcW w:w="1878" w:type="pct"/>
                  <w:tcBorders>
                    <w:tl2br w:val="nil"/>
                    <w:tr2bl w:val="nil"/>
                  </w:tcBorders>
                  <w:vAlign w:val="center"/>
                </w:tcPr>
                <w:p>
                  <w:pPr>
                    <w:pStyle w:val="39"/>
                    <w:rPr>
                      <w:rFonts w:hint="default"/>
                      <w:u w:val="single" w:color="auto"/>
                      <w:lang w:val="en-US"/>
                    </w:rPr>
                  </w:pPr>
                  <w:r>
                    <w:rPr>
                      <w:rFonts w:hint="eastAsia"/>
                      <w:iCs/>
                      <w:u w:val="single" w:color="auto"/>
                      <w:lang w:val="en-US" w:eastAsia="zh-CN"/>
                    </w:rPr>
                    <w:t>项目不涉及</w:t>
                  </w:r>
                  <w:r>
                    <w:rPr>
                      <w:rFonts w:hint="eastAsia"/>
                      <w:u w:val="single" w:color="auto"/>
                    </w:rPr>
                    <w:t>饮用水水源一级保护区</w:t>
                  </w:r>
                </w:p>
              </w:tc>
              <w:tc>
                <w:tcPr>
                  <w:tcW w:w="670" w:type="pct"/>
                  <w:tcBorders>
                    <w:tl2br w:val="nil"/>
                    <w:tr2bl w:val="nil"/>
                  </w:tcBorders>
                  <w:vAlign w:val="center"/>
                </w:tcPr>
                <w:p>
                  <w:pPr>
                    <w:pStyle w:val="39"/>
                    <w:rPr>
                      <w:rFonts w:hint="eastAsia"/>
                      <w:u w:val="single" w:color="auto"/>
                    </w:rPr>
                  </w:pPr>
                  <w:r>
                    <w:rPr>
                      <w:rFonts w:hint="eastAsia"/>
                      <w:iCs/>
                      <w:u w:val="single" w:color="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7" w:hRule="atLeast"/>
                <w:jc w:val="center"/>
              </w:trPr>
              <w:tc>
                <w:tcPr>
                  <w:tcW w:w="357" w:type="pct"/>
                  <w:tcBorders>
                    <w:tl2br w:val="nil"/>
                    <w:tr2bl w:val="nil"/>
                  </w:tcBorders>
                  <w:vAlign w:val="center"/>
                </w:tcPr>
                <w:p>
                  <w:pPr>
                    <w:pStyle w:val="39"/>
                    <w:rPr>
                      <w:rFonts w:hint="eastAsia" w:eastAsia="宋体"/>
                      <w:u w:val="single" w:color="auto"/>
                      <w:lang w:val="en-US" w:eastAsia="zh-CN"/>
                    </w:rPr>
                  </w:pPr>
                  <w:r>
                    <w:rPr>
                      <w:rFonts w:hint="eastAsia"/>
                      <w:u w:val="single" w:color="auto"/>
                      <w:lang w:val="en-US" w:eastAsia="zh-CN"/>
                    </w:rPr>
                    <w:t>4</w:t>
                  </w:r>
                </w:p>
              </w:tc>
              <w:tc>
                <w:tcPr>
                  <w:tcW w:w="2093" w:type="pct"/>
                  <w:tcBorders>
                    <w:tl2br w:val="nil"/>
                    <w:tr2bl w:val="nil"/>
                  </w:tcBorders>
                  <w:vAlign w:val="center"/>
                </w:tcPr>
                <w:p>
                  <w:pPr>
                    <w:pStyle w:val="39"/>
                    <w:jc w:val="left"/>
                    <w:rPr>
                      <w:rFonts w:hint="eastAsia" w:eastAsia="宋体"/>
                      <w:u w:val="single" w:color="auto"/>
                      <w:lang w:eastAsia="zh-CN"/>
                    </w:rPr>
                  </w:pPr>
                  <w:r>
                    <w:rPr>
                      <w:rFonts w:hint="eastAsia"/>
                      <w:u w:val="single" w:color="auto"/>
                    </w:rPr>
                    <w:t>第二十二条 在地下水饮用水水源保护区内，除禁止第十八条、第十九条、第二十条规定的行为外，还应当遵守下列规定</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(一)人工回灌补给地下水的水质、农田灌溉的水质应当符合国家规定的标准</w:t>
                  </w:r>
                  <w:r>
                    <w:rPr>
                      <w:rFonts w:hint="eastAsia"/>
                      <w:u w:val="single" w:color="auto"/>
                      <w:lang w:eastAsia="zh-CN"/>
                    </w:rPr>
                    <w:t>；</w:t>
                  </w:r>
                </w:p>
                <w:p>
                  <w:pPr>
                    <w:pStyle w:val="39"/>
                    <w:jc w:val="left"/>
                    <w:rPr>
                      <w:rFonts w:hint="eastAsia" w:eastAsia="宋体"/>
                      <w:u w:val="single" w:color="auto"/>
                      <w:lang w:eastAsia="zh-CN"/>
                    </w:rPr>
                  </w:pPr>
                  <w:r>
                    <w:rPr>
                      <w:rFonts w:hint="eastAsia"/>
                      <w:u w:val="single" w:color="auto"/>
                    </w:rPr>
                    <w:t>(二)从事地质钻探、隧道挖掘、地下施工、地下勘探等活动，应当采取防护措施，防止破坏和污染地下水饮用水水源</w:t>
                  </w:r>
                  <w:r>
                    <w:rPr>
                      <w:rFonts w:hint="eastAsia"/>
                      <w:u w:val="single" w:color="auto"/>
                      <w:lang w:eastAsia="zh-CN"/>
                    </w:rPr>
                    <w:t>；</w:t>
                  </w:r>
                </w:p>
                <w:p>
                  <w:pPr>
                    <w:pStyle w:val="39"/>
                    <w:jc w:val="left"/>
                    <w:rPr>
                      <w:rFonts w:hint="eastAsia"/>
                      <w:u w:val="single" w:color="auto"/>
                    </w:rPr>
                  </w:pPr>
                  <w:r>
                    <w:rPr>
                      <w:rFonts w:hint="eastAsia"/>
                      <w:u w:val="single" w:color="auto"/>
                    </w:rPr>
                    <w:t>(三)不得排放倾倒含有毒污染物的废水、含病原体的污水或者其他废弃物。</w:t>
                  </w:r>
                </w:p>
              </w:tc>
              <w:tc>
                <w:tcPr>
                  <w:tcW w:w="1878" w:type="pct"/>
                  <w:tcBorders>
                    <w:tl2br w:val="nil"/>
                    <w:tr2bl w:val="nil"/>
                  </w:tcBorders>
                  <w:vAlign w:val="center"/>
                </w:tcPr>
                <w:p>
                  <w:pPr>
                    <w:pStyle w:val="39"/>
                    <w:rPr>
                      <w:rFonts w:hint="default"/>
                      <w:u w:val="single" w:color="auto"/>
                      <w:lang w:val="en-US"/>
                    </w:rPr>
                  </w:pPr>
                  <w:r>
                    <w:rPr>
                      <w:rFonts w:hint="eastAsia"/>
                      <w:u w:val="single" w:color="auto"/>
                      <w:lang w:val="en-US" w:eastAsia="zh-CN"/>
                    </w:rPr>
                    <w:t>项目不涉及地下水饮用水水源保护区</w:t>
                  </w:r>
                </w:p>
              </w:tc>
              <w:tc>
                <w:tcPr>
                  <w:tcW w:w="670" w:type="pct"/>
                  <w:tcBorders>
                    <w:tl2br w:val="nil"/>
                    <w:tr2bl w:val="nil"/>
                  </w:tcBorders>
                  <w:vAlign w:val="center"/>
                </w:tcPr>
                <w:p>
                  <w:pPr>
                    <w:pStyle w:val="39"/>
                    <w:rPr>
                      <w:rFonts w:hint="eastAsia"/>
                      <w:u w:val="single" w:color="auto"/>
                    </w:rPr>
                  </w:pPr>
                  <w:r>
                    <w:rPr>
                      <w:rFonts w:hint="eastAsia"/>
                      <w:u w:val="single" w:color="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357" w:type="pct"/>
                  <w:tcBorders>
                    <w:tl2br w:val="nil"/>
                    <w:tr2bl w:val="nil"/>
                  </w:tcBorders>
                  <w:vAlign w:val="center"/>
                </w:tcPr>
                <w:p>
                  <w:pPr>
                    <w:pStyle w:val="39"/>
                    <w:rPr>
                      <w:rFonts w:hint="default" w:eastAsia="宋体"/>
                      <w:u w:val="single" w:color="auto"/>
                      <w:lang w:val="en-US" w:eastAsia="zh-CN"/>
                    </w:rPr>
                  </w:pPr>
                  <w:r>
                    <w:rPr>
                      <w:rFonts w:hint="eastAsia"/>
                      <w:u w:val="single" w:color="auto"/>
                      <w:lang w:val="en-US" w:eastAsia="zh-CN"/>
                    </w:rPr>
                    <w:t>5</w:t>
                  </w:r>
                </w:p>
              </w:tc>
              <w:tc>
                <w:tcPr>
                  <w:tcW w:w="2093" w:type="pct"/>
                  <w:tcBorders>
                    <w:tl2br w:val="nil"/>
                    <w:tr2bl w:val="nil"/>
                  </w:tcBorders>
                  <w:vAlign w:val="center"/>
                </w:tcPr>
                <w:p>
                  <w:pPr>
                    <w:pStyle w:val="39"/>
                    <w:rPr>
                      <w:rFonts w:hint="eastAsia" w:eastAsia="宋体"/>
                      <w:u w:val="single" w:color="auto"/>
                      <w:lang w:eastAsia="zh-CN"/>
                    </w:rPr>
                  </w:pPr>
                  <w:r>
                    <w:rPr>
                      <w:rFonts w:hint="eastAsia"/>
                      <w:u w:val="single" w:color="auto"/>
                    </w:rPr>
                    <w:t>第二十三条 乡(镇)、村饮用水水源保护范围内禁止下列行为</w:t>
                  </w:r>
                  <w:r>
                    <w:rPr>
                      <w:rFonts w:hint="eastAsia"/>
                      <w:u w:val="single" w:color="auto"/>
                      <w:lang w:eastAsia="zh-CN"/>
                    </w:rPr>
                    <w:t>：</w:t>
                  </w:r>
                </w:p>
                <w:p>
                  <w:pPr>
                    <w:pStyle w:val="39"/>
                    <w:rPr>
                      <w:rFonts w:hint="eastAsia" w:eastAsia="宋体"/>
                      <w:u w:val="single" w:color="auto"/>
                      <w:lang w:eastAsia="zh-CN"/>
                    </w:rPr>
                  </w:pPr>
                  <w:r>
                    <w:rPr>
                      <w:rFonts w:hint="eastAsia"/>
                      <w:u w:val="single" w:color="auto"/>
                    </w:rPr>
                    <w:t>(一)设置畜禽养殖场、养殖小区</w:t>
                  </w:r>
                  <w:r>
                    <w:rPr>
                      <w:rFonts w:hint="eastAsia"/>
                      <w:u w:val="single" w:color="auto"/>
                      <w:lang w:eastAsia="zh-CN"/>
                    </w:rPr>
                    <w:t>；</w:t>
                  </w:r>
                </w:p>
                <w:p>
                  <w:pPr>
                    <w:pStyle w:val="39"/>
                    <w:rPr>
                      <w:rFonts w:hint="eastAsia"/>
                      <w:u w:val="single" w:color="auto"/>
                    </w:rPr>
                  </w:pPr>
                  <w:r>
                    <w:rPr>
                      <w:rFonts w:hint="eastAsia"/>
                      <w:u w:val="single" w:color="auto"/>
                    </w:rPr>
                    <w:t>(二)使用剧毒、高残留农药;</w:t>
                  </w:r>
                </w:p>
                <w:p>
                  <w:pPr>
                    <w:pStyle w:val="39"/>
                    <w:rPr>
                      <w:rFonts w:hint="eastAsia" w:eastAsia="宋体"/>
                      <w:u w:val="single" w:color="auto"/>
                      <w:lang w:eastAsia="zh-CN"/>
                    </w:rPr>
                  </w:pPr>
                  <w:r>
                    <w:rPr>
                      <w:rFonts w:hint="eastAsia"/>
                      <w:u w:val="single" w:color="auto"/>
                    </w:rPr>
                    <w:t>(三)向水体倾倒排放生活垃圾、污水以及其他可能污染水体的物质</w:t>
                  </w:r>
                  <w:r>
                    <w:rPr>
                      <w:rFonts w:hint="eastAsia"/>
                      <w:u w:val="single" w:color="auto"/>
                      <w:lang w:eastAsia="zh-CN"/>
                    </w:rPr>
                    <w:t>；</w:t>
                  </w:r>
                </w:p>
                <w:p>
                  <w:pPr>
                    <w:pStyle w:val="39"/>
                    <w:rPr>
                      <w:rFonts w:hint="eastAsia"/>
                      <w:u w:val="single" w:color="auto"/>
                    </w:rPr>
                  </w:pPr>
                  <w:r>
                    <w:rPr>
                      <w:rFonts w:hint="eastAsia"/>
                      <w:u w:val="single" w:color="auto"/>
                    </w:rPr>
                    <w:t>(四)其他可能污染饮用水水体的行为。</w:t>
                  </w:r>
                </w:p>
              </w:tc>
              <w:tc>
                <w:tcPr>
                  <w:tcW w:w="1878" w:type="pct"/>
                  <w:tcBorders>
                    <w:tl2br w:val="nil"/>
                    <w:tr2bl w:val="nil"/>
                  </w:tcBorders>
                  <w:vAlign w:val="center"/>
                </w:tcPr>
                <w:p>
                  <w:pPr>
                    <w:pStyle w:val="39"/>
                    <w:rPr>
                      <w:rFonts w:hint="default"/>
                      <w:u w:val="single" w:color="auto"/>
                      <w:lang w:val="en-US"/>
                    </w:rPr>
                  </w:pPr>
                  <w:r>
                    <w:rPr>
                      <w:rFonts w:hint="eastAsia"/>
                      <w:u w:val="single" w:color="auto"/>
                      <w:lang w:val="en-US" w:eastAsia="zh-CN"/>
                    </w:rPr>
                    <w:t>项目地不占用饮用水水源保护区，灌溉区域涉及饮用水水源保护区的二级陆域保护区</w:t>
                  </w:r>
                  <w:r>
                    <w:rPr>
                      <w:rFonts w:hint="eastAsia"/>
                      <w:u w:val="single" w:color="auto"/>
                      <w:lang w:eastAsia="zh-CN"/>
                    </w:rPr>
                    <w:t>，</w:t>
                  </w:r>
                  <w:r>
                    <w:rPr>
                      <w:rFonts w:hint="eastAsia"/>
                      <w:u w:val="single" w:color="auto"/>
                      <w:lang w:val="en-US" w:eastAsia="zh-CN"/>
                    </w:rPr>
                    <w:t>在管道的铺设过程中不涉及条例中禁止的行为</w:t>
                  </w:r>
                </w:p>
              </w:tc>
              <w:tc>
                <w:tcPr>
                  <w:tcW w:w="670" w:type="pct"/>
                  <w:tcBorders>
                    <w:tl2br w:val="nil"/>
                    <w:tr2bl w:val="nil"/>
                  </w:tcBorders>
                  <w:vAlign w:val="center"/>
                </w:tcPr>
                <w:p>
                  <w:pPr>
                    <w:pStyle w:val="39"/>
                    <w:rPr>
                      <w:rFonts w:hint="eastAsia"/>
                      <w:bCs/>
                      <w:iCs/>
                      <w:u w:val="single" w:color="auto"/>
                    </w:rPr>
                  </w:pPr>
                  <w:r>
                    <w:rPr>
                      <w:rFonts w:hint="eastAsia"/>
                      <w:iCs/>
                      <w:u w:val="single" w:color="auto"/>
                      <w:lang w:val="en-US" w:eastAsia="zh-CN"/>
                    </w:rPr>
                    <w:t>符合</w:t>
                  </w:r>
                </w:p>
              </w:tc>
            </w:tr>
          </w:tbl>
          <w:p>
            <w:pPr>
              <w:pStyle w:val="6"/>
              <w:bidi w:val="0"/>
              <w:rPr>
                <w:rFonts w:ascii="Times New Roman" w:hAnsi="Times New Roman" w:cs="Times New Roman"/>
                <w:highlight w:val="none"/>
                <w:u w:val="single" w:color="auto"/>
                <w:lang w:val="en-US"/>
              </w:rPr>
            </w:pPr>
            <w:r>
              <w:rPr>
                <w:rFonts w:hint="default" w:ascii="Times New Roman" w:hAnsi="Times New Roman" w:cs="Times New Roman"/>
                <w:u w:val="single" w:color="auto"/>
                <w:lang w:val="en-US"/>
              </w:rPr>
              <w:t>1.</w:t>
            </w:r>
            <w:r>
              <w:rPr>
                <w:rFonts w:hint="default" w:ascii="Times New Roman" w:hAnsi="Times New Roman" w:cs="Times New Roman"/>
                <w:u w:val="single" w:color="auto"/>
                <w:lang w:val="en-US" w:eastAsia="zh-CN"/>
              </w:rPr>
              <w:t>1</w:t>
            </w:r>
            <w:r>
              <w:rPr>
                <w:rFonts w:hint="default" w:ascii="Times New Roman" w:hAnsi="Times New Roman" w:cs="Times New Roman"/>
                <w:u w:val="single" w:color="auto"/>
                <w:lang w:val="en-US"/>
              </w:rPr>
              <w:t>.</w:t>
            </w:r>
            <w:r>
              <w:rPr>
                <w:rFonts w:hint="eastAsia" w:ascii="Times New Roman" w:hAnsi="Times New Roman" w:cs="Times New Roman"/>
                <w:u w:val="single" w:color="auto"/>
                <w:lang w:val="en-US" w:eastAsia="zh-CN"/>
              </w:rPr>
              <w:t>1</w:t>
            </w:r>
            <w:r>
              <w:rPr>
                <w:rFonts w:hint="eastAsia" w:cs="Times New Roman"/>
                <w:u w:val="single" w:color="auto"/>
                <w:lang w:val="en-US" w:eastAsia="zh-CN"/>
              </w:rPr>
              <w:t>2</w:t>
            </w:r>
            <w:r>
              <w:rPr>
                <w:rFonts w:hint="default" w:ascii="Times New Roman" w:hAnsi="Times New Roman" w:cs="Times New Roman"/>
                <w:highlight w:val="none"/>
                <w:u w:val="single" w:color="auto"/>
                <w:lang w:val="en-US"/>
              </w:rPr>
              <w:t>环保投资</w:t>
            </w:r>
          </w:p>
          <w:p>
            <w:pPr>
              <w:ind w:firstLine="480"/>
              <w:rPr>
                <w:rFonts w:ascii="Times New Roman" w:hAnsi="Times New Roman" w:cs="Times New Roman"/>
                <w:highlight w:val="none"/>
                <w:u w:val="single" w:color="auto"/>
              </w:rPr>
            </w:pPr>
            <w:r>
              <w:rPr>
                <w:rFonts w:hint="default" w:ascii="Times New Roman" w:hAnsi="Times New Roman" w:cs="Times New Roman"/>
                <w:highlight w:val="none"/>
                <w:u w:val="single" w:color="auto"/>
              </w:rPr>
              <w:t>本项目总投资约</w:t>
            </w:r>
            <w:r>
              <w:rPr>
                <w:rFonts w:hint="eastAsia" w:cs="Times New Roman"/>
                <w:highlight w:val="none"/>
                <w:u w:val="single" w:color="auto"/>
                <w:lang w:val="en-US" w:eastAsia="zh-CN"/>
              </w:rPr>
              <w:t>580</w:t>
            </w:r>
            <w:r>
              <w:rPr>
                <w:rFonts w:hint="default" w:ascii="Times New Roman" w:hAnsi="Times New Roman" w:cs="Times New Roman"/>
                <w:highlight w:val="none"/>
                <w:u w:val="single" w:color="auto"/>
              </w:rPr>
              <w:t>万</w:t>
            </w:r>
            <w:r>
              <w:rPr>
                <w:rFonts w:ascii="Times New Roman" w:hAnsi="Times New Roman" w:cs="Times New Roman"/>
                <w:highlight w:val="none"/>
                <w:u w:val="single" w:color="auto"/>
              </w:rPr>
              <w:t>元</w:t>
            </w:r>
            <w:r>
              <w:rPr>
                <w:rFonts w:hint="default" w:ascii="Times New Roman" w:hAnsi="Times New Roman" w:cs="Times New Roman"/>
                <w:highlight w:val="none"/>
                <w:u w:val="single" w:color="auto"/>
              </w:rPr>
              <w:t>，环保投资</w:t>
            </w:r>
            <w:r>
              <w:rPr>
                <w:rFonts w:hint="default" w:ascii="Times New Roman" w:hAnsi="Times New Roman" w:cs="Times New Roman"/>
                <w:u w:val="single" w:color="auto"/>
                <w:lang w:val="en-US" w:eastAsia="zh-CN"/>
              </w:rPr>
              <w:t>71.8</w:t>
            </w:r>
            <w:r>
              <w:rPr>
                <w:rFonts w:hint="default" w:ascii="Times New Roman" w:hAnsi="Times New Roman" w:cs="Times New Roman"/>
                <w:highlight w:val="none"/>
                <w:u w:val="single" w:color="auto"/>
              </w:rPr>
              <w:t>万元，</w:t>
            </w:r>
            <w:r>
              <w:rPr>
                <w:rFonts w:hint="default" w:ascii="Times New Roman" w:hAnsi="Times New Roman" w:cs="Times New Roman"/>
                <w:highlight w:val="none"/>
                <w:u w:val="single" w:color="auto"/>
                <w:lang w:val="en-US"/>
              </w:rPr>
              <w:t>约</w:t>
            </w:r>
            <w:r>
              <w:rPr>
                <w:rFonts w:hint="default" w:ascii="Times New Roman" w:hAnsi="Times New Roman" w:cs="Times New Roman"/>
                <w:highlight w:val="none"/>
                <w:u w:val="single" w:color="auto"/>
              </w:rPr>
              <w:t>占总投资</w:t>
            </w:r>
            <w:r>
              <w:rPr>
                <w:rFonts w:hint="eastAsia" w:cs="Times New Roman"/>
                <w:u w:val="single" w:color="auto"/>
                <w:lang w:val="en-US" w:eastAsia="zh-CN"/>
              </w:rPr>
              <w:t>12.38</w:t>
            </w:r>
            <w:r>
              <w:rPr>
                <w:rFonts w:hint="default" w:ascii="Times New Roman" w:hAnsi="Times New Roman" w:cs="Times New Roman"/>
                <w:highlight w:val="none"/>
                <w:u w:val="single" w:color="auto"/>
              </w:rPr>
              <w:t>%，具体明细见表</w:t>
            </w:r>
            <w:r>
              <w:rPr>
                <w:rFonts w:hint="default" w:ascii="Times New Roman" w:hAnsi="Times New Roman" w:cs="Times New Roman"/>
                <w:highlight w:val="none"/>
                <w:u w:val="single" w:color="auto"/>
                <w:lang w:val="en-US"/>
              </w:rPr>
              <w:t>1</w:t>
            </w:r>
            <w:r>
              <w:rPr>
                <w:rFonts w:hint="default" w:ascii="Times New Roman" w:hAnsi="Times New Roman" w:cs="Times New Roman"/>
                <w:highlight w:val="none"/>
                <w:u w:val="single" w:color="auto"/>
                <w:lang w:val="en-US" w:eastAsia="zh-CN"/>
              </w:rPr>
              <w:t>.1-</w:t>
            </w:r>
            <w:r>
              <w:rPr>
                <w:rFonts w:hint="eastAsia" w:cs="Times New Roman"/>
                <w:highlight w:val="none"/>
                <w:u w:val="single" w:color="auto"/>
                <w:lang w:val="en-US" w:eastAsia="zh-CN"/>
              </w:rPr>
              <w:t>7</w:t>
            </w:r>
            <w:r>
              <w:rPr>
                <w:rFonts w:hint="default" w:ascii="Times New Roman" w:hAnsi="Times New Roman" w:cs="Times New Roman"/>
                <w:highlight w:val="none"/>
                <w:u w:val="single" w:color="auto"/>
              </w:rPr>
              <w:t>。</w:t>
            </w:r>
          </w:p>
          <w:p>
            <w:pPr>
              <w:pStyle w:val="43"/>
              <w:bidi w:val="0"/>
              <w:rPr>
                <w:rFonts w:ascii="Times New Roman" w:hAnsi="Times New Roman" w:cs="Times New Roman"/>
                <w:u w:val="single" w:color="auto"/>
              </w:rPr>
            </w:pPr>
            <w:r>
              <w:rPr>
                <w:rFonts w:ascii="Times New Roman" w:hAnsi="Times New Roman" w:cs="Times New Roman"/>
                <w:u w:val="single" w:color="auto"/>
              </w:rPr>
              <w:t>表</w:t>
            </w:r>
            <w:r>
              <w:rPr>
                <w:rFonts w:hint="default" w:ascii="Times New Roman" w:hAnsi="Times New Roman" w:cs="Times New Roman"/>
                <w:u w:val="single" w:color="auto"/>
                <w:lang w:val="en-US"/>
              </w:rPr>
              <w:t>1</w:t>
            </w:r>
            <w:r>
              <w:rPr>
                <w:rFonts w:hint="default" w:ascii="Times New Roman" w:hAnsi="Times New Roman" w:cs="Times New Roman"/>
                <w:u w:val="single" w:color="auto"/>
                <w:lang w:val="en-US" w:eastAsia="zh-CN"/>
              </w:rPr>
              <w:t>.1-</w:t>
            </w:r>
            <w:r>
              <w:rPr>
                <w:rFonts w:hint="eastAsia" w:cs="Times New Roman"/>
                <w:u w:val="single" w:color="auto"/>
                <w:lang w:val="en-US" w:eastAsia="zh-CN"/>
              </w:rPr>
              <w:t>7</w:t>
            </w:r>
            <w:r>
              <w:rPr>
                <w:rFonts w:hint="default" w:ascii="Times New Roman" w:hAnsi="Times New Roman" w:cs="Times New Roman"/>
                <w:u w:val="single" w:color="auto"/>
              </w:rPr>
              <w:t>：项目</w:t>
            </w:r>
            <w:r>
              <w:rPr>
                <w:rFonts w:ascii="Times New Roman" w:hAnsi="Times New Roman" w:cs="Times New Roman"/>
                <w:u w:val="single" w:color="auto"/>
              </w:rPr>
              <w:t>环保投资估算</w:t>
            </w:r>
            <w:r>
              <w:rPr>
                <w:rFonts w:hint="default" w:ascii="Times New Roman" w:hAnsi="Times New Roman" w:cs="Times New Roman"/>
                <w:u w:val="single" w:color="auto"/>
              </w:rPr>
              <w:t>一览表</w:t>
            </w:r>
          </w:p>
          <w:tbl>
            <w:tblPr>
              <w:tblStyle w:val="28"/>
              <w:tblW w:w="484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51" w:type="dxa"/>
                <w:bottom w:w="0" w:type="dxa"/>
                <w:right w:w="51" w:type="dxa"/>
              </w:tblCellMar>
            </w:tblPr>
            <w:tblGrid>
              <w:gridCol w:w="1138"/>
              <w:gridCol w:w="1146"/>
              <w:gridCol w:w="1620"/>
              <w:gridCol w:w="2533"/>
              <w:gridCol w:w="19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284" w:hRule="atLeast"/>
                <w:jc w:val="center"/>
              </w:trPr>
              <w:tc>
                <w:tcPr>
                  <w:tcW w:w="1138"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b/>
                      <w:bCs/>
                      <w:szCs w:val="21"/>
                      <w:u w:val="single" w:color="auto"/>
                      <w:lang w:val="en-US"/>
                    </w:rPr>
                  </w:pPr>
                  <w:r>
                    <w:rPr>
                      <w:rFonts w:hint="default" w:ascii="Times New Roman" w:hAnsi="Times New Roman" w:cs="Times New Roman"/>
                      <w:b/>
                      <w:bCs/>
                      <w:szCs w:val="21"/>
                      <w:u w:val="single" w:color="auto"/>
                      <w:lang w:val="en-US"/>
                    </w:rPr>
                    <w:t>治理项目</w:t>
                  </w:r>
                </w:p>
              </w:tc>
              <w:tc>
                <w:tcPr>
                  <w:tcW w:w="1146"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b/>
                      <w:bCs/>
                      <w:szCs w:val="21"/>
                      <w:u w:val="single" w:color="auto"/>
                      <w:lang w:val="en-US"/>
                    </w:rPr>
                  </w:pPr>
                  <w:r>
                    <w:rPr>
                      <w:rFonts w:hint="default" w:ascii="Times New Roman" w:hAnsi="Times New Roman" w:cs="Times New Roman"/>
                      <w:b/>
                      <w:bCs/>
                      <w:szCs w:val="21"/>
                      <w:u w:val="single" w:color="auto"/>
                      <w:lang w:val="en-US"/>
                    </w:rPr>
                    <w:t>时段</w:t>
                  </w: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b/>
                      <w:bCs/>
                      <w:szCs w:val="21"/>
                      <w:u w:val="single" w:color="auto"/>
                      <w:lang w:val="en-US"/>
                    </w:rPr>
                  </w:pPr>
                  <w:r>
                    <w:rPr>
                      <w:rFonts w:hint="default" w:ascii="Times New Roman" w:hAnsi="Times New Roman" w:cs="Times New Roman"/>
                      <w:b/>
                      <w:bCs/>
                      <w:szCs w:val="21"/>
                      <w:u w:val="single" w:color="auto"/>
                      <w:lang w:val="en-US"/>
                    </w:rPr>
                    <w:t>污染物</w:t>
                  </w:r>
                </w:p>
              </w:tc>
              <w:tc>
                <w:tcPr>
                  <w:tcW w:w="2533"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b/>
                      <w:bCs/>
                      <w:szCs w:val="21"/>
                      <w:u w:val="single" w:color="auto"/>
                      <w:lang w:val="en-US"/>
                    </w:rPr>
                  </w:pPr>
                  <w:r>
                    <w:rPr>
                      <w:rFonts w:hint="default" w:ascii="Times New Roman" w:hAnsi="Times New Roman" w:cs="Times New Roman"/>
                      <w:b/>
                      <w:bCs/>
                      <w:szCs w:val="21"/>
                      <w:u w:val="single" w:color="auto"/>
                      <w:lang w:val="en-US"/>
                    </w:rPr>
                    <w:t>设备、设施</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b/>
                      <w:bCs/>
                      <w:szCs w:val="21"/>
                      <w:u w:val="single" w:color="auto"/>
                      <w:lang w:val="en-US" w:eastAsia="zh-CN"/>
                    </w:rPr>
                  </w:pPr>
                  <w:r>
                    <w:rPr>
                      <w:rFonts w:hint="default" w:ascii="Times New Roman" w:hAnsi="Times New Roman" w:cs="Times New Roman"/>
                      <w:b/>
                      <w:bCs/>
                      <w:szCs w:val="21"/>
                      <w:u w:val="single" w:color="auto"/>
                      <w:lang w:val="en-US"/>
                    </w:rPr>
                    <w:t>投资估算</w:t>
                  </w:r>
                  <w:r>
                    <w:rPr>
                      <w:rFonts w:hint="default" w:ascii="Times New Roman" w:hAnsi="Times New Roman" w:cs="Times New Roman"/>
                      <w:b/>
                      <w:bCs/>
                      <w:u w:val="single" w:color="auto"/>
                      <w:lang w:eastAsia="zh-CN"/>
                    </w:rPr>
                    <w:t>（</w:t>
                  </w:r>
                  <w:r>
                    <w:rPr>
                      <w:rFonts w:hint="default" w:ascii="Times New Roman" w:hAnsi="Times New Roman" w:cs="Times New Roman"/>
                      <w:b/>
                      <w:bCs/>
                      <w:u w:val="single" w:color="auto"/>
                      <w:lang w:val="en-US" w:eastAsia="zh-CN"/>
                    </w:rPr>
                    <w:t>万元</w:t>
                  </w:r>
                  <w:r>
                    <w:rPr>
                      <w:rFonts w:hint="default" w:ascii="Times New Roman" w:hAnsi="Times New Roman" w:cs="Times New Roman"/>
                      <w:b/>
                      <w:bCs/>
                      <w:u w:val="single" w:color="auto"/>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786" w:hRule="atLeast"/>
                <w:jc w:val="center"/>
              </w:trPr>
              <w:tc>
                <w:tcPr>
                  <w:tcW w:w="1138" w:type="dxa"/>
                  <w:vMerge w:val="restart"/>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废气治理</w:t>
                  </w:r>
                </w:p>
              </w:tc>
              <w:tc>
                <w:tcPr>
                  <w:tcW w:w="1146" w:type="dxa"/>
                  <w:vMerge w:val="restart"/>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运营期</w:t>
                  </w:r>
                </w:p>
              </w:tc>
              <w:tc>
                <w:tcPr>
                  <w:tcW w:w="1620"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生产区粉尘</w:t>
                  </w: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抽风机</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786"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p>
              </w:tc>
              <w:tc>
                <w:tcPr>
                  <w:tcW w:w="1620"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发酵异味</w:t>
                  </w: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对机器进行封闭式运行，每天按时清扫地面，安装抽风设备</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28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p>
              </w:tc>
              <w:tc>
                <w:tcPr>
                  <w:tcW w:w="1620"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污水处理站恶臭气体</w:t>
                  </w: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喷洒除臭剂</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28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p>
              </w:tc>
              <w:tc>
                <w:tcPr>
                  <w:tcW w:w="1620"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备用柴油发电机废气</w:t>
                  </w: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通过专用管道引至屋顶排放</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28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p>
              </w:tc>
              <w:tc>
                <w:tcPr>
                  <w:tcW w:w="1620"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蒸汽发生器废气（锅炉废气）</w:t>
                  </w: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低氮燃烧+湿式除尘器+20m排气筒</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373" w:hRule="atLeast"/>
                <w:jc w:val="center"/>
              </w:trPr>
              <w:tc>
                <w:tcPr>
                  <w:tcW w:w="1138" w:type="dxa"/>
                  <w:vMerge w:val="restart"/>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废水治理</w:t>
                  </w:r>
                </w:p>
              </w:tc>
              <w:tc>
                <w:tcPr>
                  <w:tcW w:w="1146" w:type="dxa"/>
                  <w:vMerge w:val="restart"/>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运营期</w:t>
                  </w:r>
                </w:p>
              </w:tc>
              <w:tc>
                <w:tcPr>
                  <w:tcW w:w="1620"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生活污水</w:t>
                  </w: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highlight w:val="none"/>
                      <w:u w:val="single" w:color="auto"/>
                      <w:lang w:val="en-US" w:bidi="zh-CN"/>
                    </w:rPr>
                    <w:t>化粪池</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val="en-US" w:bidi="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388"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vMerge w:val="restart"/>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生产废水</w:t>
                  </w: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污水处理设施</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eastAsia" w:ascii="Times New Roman" w:hAnsi="Times New Roman" w:eastAsia="宋体" w:cs="Times New Roman"/>
                      <w:color w:val="auto"/>
                      <w:sz w:val="21"/>
                      <w:szCs w:val="21"/>
                      <w:u w:val="single" w:color="auto"/>
                      <w:lang w:val="en-US" w:bidi="zh-CN"/>
                    </w:rPr>
                    <w:t>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388"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vMerge w:val="continue"/>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default" w:ascii="Times New Roman" w:hAnsi="Times New Roman" w:eastAsia="宋体" w:cs="Times New Roman"/>
                      <w:color w:val="auto"/>
                      <w:sz w:val="21"/>
                      <w:szCs w:val="21"/>
                      <w:u w:val="single" w:color="auto"/>
                      <w:lang w:val="en-US" w:bidi="zh-CN"/>
                    </w:rPr>
                    <w:t>农田、旱地</w:t>
                  </w:r>
                  <w:r>
                    <w:rPr>
                      <w:rFonts w:hint="default" w:ascii="Times New Roman" w:hAnsi="Times New Roman" w:eastAsia="宋体" w:cs="Times New Roman"/>
                      <w:color w:val="auto"/>
                      <w:sz w:val="21"/>
                      <w:szCs w:val="21"/>
                      <w:highlight w:val="none"/>
                      <w:u w:val="single" w:color="auto"/>
                      <w:lang w:val="en-US" w:bidi="zh-CN"/>
                    </w:rPr>
                    <w:t>灌溉水管约1.5km</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bidi="zh-CN"/>
                    </w:rPr>
                  </w:pPr>
                  <w:r>
                    <w:rPr>
                      <w:rFonts w:hint="eastAsia" w:ascii="Times New Roman" w:hAnsi="Times New Roman" w:eastAsia="宋体" w:cs="Times New Roman"/>
                      <w:color w:val="auto"/>
                      <w:sz w:val="21"/>
                      <w:szCs w:val="21"/>
                      <w:u w:val="single" w:color="auto"/>
                      <w:lang w:val="en-US" w:bidi="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272" w:hRule="atLeast"/>
                <w:jc w:val="center"/>
              </w:trPr>
              <w:tc>
                <w:tcPr>
                  <w:tcW w:w="1138"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噪声治理</w:t>
                  </w:r>
                </w:p>
              </w:tc>
              <w:tc>
                <w:tcPr>
                  <w:tcW w:w="1146"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运营期</w:t>
                  </w:r>
                </w:p>
              </w:tc>
              <w:tc>
                <w:tcPr>
                  <w:tcW w:w="1620"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设备噪声</w:t>
                  </w:r>
                </w:p>
              </w:tc>
              <w:tc>
                <w:tcPr>
                  <w:tcW w:w="2533"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厂房隔声、基础减振</w:t>
                  </w:r>
                </w:p>
              </w:tc>
              <w:tc>
                <w:tcPr>
                  <w:tcW w:w="1931" w:type="dxa"/>
                  <w:tcBorders>
                    <w:tl2br w:val="nil"/>
                    <w:tr2bl w:val="nil"/>
                  </w:tcBorders>
                  <w:vAlign w:val="center"/>
                </w:tcPr>
                <w:p>
                  <w:pPr>
                    <w:pStyle w:val="34"/>
                    <w:keepNext w:val="0"/>
                    <w:keepLines w:val="0"/>
                    <w:pageBreakBefore w:val="0"/>
                    <w:widowControl w:val="0"/>
                    <w:kinsoku/>
                    <w:wordWrap w:val="0"/>
                    <w:overflowPunct/>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u w:val="single" w:color="auto"/>
                      <w:lang w:bidi="zh-CN"/>
                    </w:rPr>
                  </w:pPr>
                  <w:r>
                    <w:rPr>
                      <w:rFonts w:hint="default" w:ascii="Times New Roman" w:hAnsi="Times New Roman" w:eastAsia="宋体" w:cs="Times New Roman"/>
                      <w:color w:val="auto"/>
                      <w:sz w:val="21"/>
                      <w:szCs w:val="21"/>
                      <w:u w:val="single" w:color="auto"/>
                      <w:lang w:bidi="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84" w:hRule="atLeast"/>
                <w:jc w:val="center"/>
              </w:trPr>
              <w:tc>
                <w:tcPr>
                  <w:tcW w:w="1138" w:type="dxa"/>
                  <w:vMerge w:val="restart"/>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固废处置</w:t>
                  </w:r>
                </w:p>
              </w:tc>
              <w:tc>
                <w:tcPr>
                  <w:tcW w:w="1146" w:type="dxa"/>
                  <w:vMerge w:val="restart"/>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运营期</w:t>
                  </w: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szCs w:val="21"/>
                      <w:u w:val="single" w:color="auto"/>
                      <w:lang w:val="en-US" w:eastAsia="zh-CN"/>
                    </w:rPr>
                  </w:pPr>
                  <w:r>
                    <w:rPr>
                      <w:rFonts w:hint="default" w:ascii="Times New Roman" w:hAnsi="Times New Roman" w:cs="Times New Roman"/>
                      <w:szCs w:val="21"/>
                      <w:u w:val="single" w:color="auto"/>
                      <w:lang w:val="en-US"/>
                    </w:rPr>
                    <w:t>生活垃圾</w:t>
                  </w:r>
                  <w:r>
                    <w:rPr>
                      <w:rFonts w:hint="default" w:ascii="Times New Roman" w:hAnsi="Times New Roman" w:cs="Times New Roman"/>
                      <w:szCs w:val="21"/>
                      <w:u w:val="single" w:color="auto"/>
                      <w:lang w:val="en-US" w:eastAsia="zh-CN"/>
                    </w:rPr>
                    <w:t>、砂石、检验室固废</w:t>
                  </w:r>
                </w:p>
              </w:tc>
              <w:tc>
                <w:tcPr>
                  <w:tcW w:w="2533"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eastAsia="zh-CN"/>
                    </w:rPr>
                    <w:t>设置垃圾桶</w:t>
                  </w:r>
                  <w:r>
                    <w:rPr>
                      <w:rFonts w:hint="default" w:ascii="Times New Roman" w:hAnsi="Times New Roman" w:cs="Times New Roman"/>
                      <w:szCs w:val="21"/>
                      <w:u w:val="single" w:color="auto"/>
                      <w:lang w:val="en-US"/>
                    </w:rPr>
                    <w:t>收集后由环卫部门统一清运</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szCs w:val="21"/>
                      <w:u w:val="single" w:color="auto"/>
                      <w:lang w:val="en-US" w:eastAsia="zh-CN"/>
                    </w:rPr>
                  </w:pPr>
                  <w:r>
                    <w:rPr>
                      <w:rFonts w:hint="default" w:ascii="Times New Roman" w:hAnsi="Times New Roman" w:cs="Times New Roman"/>
                      <w:szCs w:val="21"/>
                      <w:u w:val="single" w:color="auto"/>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28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szCs w:val="21"/>
                      <w:u w:val="single" w:color="auto"/>
                      <w:lang w:val="en-US" w:eastAsia="zh-CN"/>
                    </w:rPr>
                  </w:pPr>
                  <w:r>
                    <w:rPr>
                      <w:rFonts w:hint="default" w:ascii="Times New Roman" w:hAnsi="Times New Roman" w:cs="Times New Roman"/>
                      <w:szCs w:val="21"/>
                      <w:u w:val="single" w:color="auto"/>
                      <w:lang w:val="en-US" w:eastAsia="zh-CN"/>
                    </w:rPr>
                    <w:t>生产性废料</w:t>
                  </w:r>
                </w:p>
              </w:tc>
              <w:tc>
                <w:tcPr>
                  <w:tcW w:w="2533"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szCs w:val="21"/>
                      <w:u w:val="single" w:color="auto"/>
                      <w:lang w:val="en-US" w:eastAsia="zh-CN"/>
                    </w:rPr>
                  </w:pPr>
                  <w:r>
                    <w:rPr>
                      <w:rFonts w:hint="default" w:ascii="Times New Roman" w:hAnsi="Times New Roman" w:cs="Times New Roman"/>
                      <w:szCs w:val="21"/>
                      <w:u w:val="single" w:color="auto"/>
                      <w:lang w:val="en-US" w:eastAsia="zh-CN"/>
                    </w:rPr>
                    <w:t>打包好外售处理</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29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废包装物</w:t>
                  </w:r>
                </w:p>
              </w:tc>
              <w:tc>
                <w:tcPr>
                  <w:tcW w:w="2533"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收集后外售至废品回收站</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31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污泥</w:t>
                  </w:r>
                </w:p>
              </w:tc>
              <w:tc>
                <w:tcPr>
                  <w:tcW w:w="2533"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color w:val="auto"/>
                      <w:u w:val="single" w:color="auto"/>
                    </w:rPr>
                    <w:t>经污泥干化池脱水后的污泥</w:t>
                  </w:r>
                  <w:r>
                    <w:rPr>
                      <w:rFonts w:hint="default" w:ascii="Times New Roman" w:hAnsi="Times New Roman" w:cs="Times New Roman"/>
                      <w:color w:val="auto"/>
                      <w:u w:val="single" w:color="auto"/>
                      <w:lang w:val="en-US" w:eastAsia="zh-CN"/>
                    </w:rPr>
                    <w:t>采取</w:t>
                  </w:r>
                  <w:r>
                    <w:rPr>
                      <w:rFonts w:hint="default" w:ascii="Times New Roman" w:hAnsi="Times New Roman" w:cs="Times New Roman"/>
                      <w:color w:val="auto"/>
                      <w:u w:val="single" w:color="auto"/>
                    </w:rPr>
                    <w:t>密闭</w:t>
                  </w:r>
                  <w:r>
                    <w:rPr>
                      <w:rFonts w:hint="default" w:ascii="Times New Roman" w:hAnsi="Times New Roman" w:cs="Times New Roman"/>
                      <w:color w:val="auto"/>
                      <w:u w:val="single" w:color="auto"/>
                      <w:lang w:val="en-US" w:eastAsia="zh-CN"/>
                    </w:rPr>
                    <w:t>袋</w:t>
                  </w:r>
                  <w:r>
                    <w:rPr>
                      <w:rFonts w:hint="default" w:ascii="Times New Roman" w:hAnsi="Times New Roman" w:cs="Times New Roman"/>
                      <w:color w:val="auto"/>
                      <w:u w:val="single" w:color="auto"/>
                    </w:rPr>
                    <w:t>封装</w:t>
                  </w:r>
                  <w:r>
                    <w:rPr>
                      <w:rFonts w:hint="default" w:ascii="Times New Roman" w:hAnsi="Times New Roman" w:cs="Times New Roman"/>
                      <w:color w:val="auto"/>
                      <w:u w:val="single" w:color="auto"/>
                      <w:lang w:eastAsia="zh-CN"/>
                    </w:rPr>
                    <w:t>，</w:t>
                  </w:r>
                  <w:r>
                    <w:rPr>
                      <w:rFonts w:hint="default" w:ascii="Times New Roman" w:hAnsi="Times New Roman" w:cs="Times New Roman"/>
                      <w:color w:val="auto"/>
                      <w:u w:val="single" w:color="auto"/>
                      <w:lang w:val="en-US" w:eastAsia="zh-CN"/>
                    </w:rPr>
                    <w:t>交</w:t>
                  </w:r>
                  <w:r>
                    <w:rPr>
                      <w:rFonts w:hint="default" w:ascii="Times New Roman" w:hAnsi="Times New Roman" w:cs="Times New Roman"/>
                      <w:szCs w:val="21"/>
                      <w:u w:val="single" w:color="auto"/>
                      <w:lang w:val="en-US"/>
                    </w:rPr>
                    <w:t>由环卫部门统一清运</w:t>
                  </w:r>
                  <w:r>
                    <w:rPr>
                      <w:rFonts w:hint="default" w:ascii="Times New Roman" w:hAnsi="Times New Roman" w:cs="Times New Roman"/>
                      <w:szCs w:val="21"/>
                      <w:u w:val="single" w:color="auto"/>
                      <w:lang w:val="en-US" w:eastAsia="zh-CN"/>
                    </w:rPr>
                    <w:t>至吉首市垃圾焚烧发电厂焚烧处</w:t>
                  </w:r>
                  <w:r>
                    <w:rPr>
                      <w:rFonts w:hint="default" w:ascii="Times New Roman" w:hAnsi="Times New Roman" w:cs="Times New Roman"/>
                      <w:color w:val="auto"/>
                      <w:u w:val="single" w:color="auto"/>
                    </w:rPr>
                    <w:t>理</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szCs w:val="21"/>
                      <w:u w:val="single" w:color="auto"/>
                      <w:lang w:val="en-US" w:eastAsia="zh-CN"/>
                    </w:rPr>
                  </w:pPr>
                  <w:r>
                    <w:rPr>
                      <w:rFonts w:hint="default" w:ascii="Times New Roman" w:hAnsi="Times New Roman" w:cs="Times New Roman"/>
                      <w:szCs w:val="21"/>
                      <w:u w:val="single" w:color="auto"/>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31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szCs w:val="21"/>
                      <w:u w:val="single" w:color="auto"/>
                      <w:lang w:val="en-US" w:eastAsia="zh-CN"/>
                    </w:rPr>
                  </w:pPr>
                  <w:r>
                    <w:rPr>
                      <w:rFonts w:hint="default" w:ascii="Times New Roman" w:hAnsi="Times New Roman" w:cs="Times New Roman"/>
                      <w:szCs w:val="21"/>
                      <w:u w:val="single" w:color="auto"/>
                      <w:lang w:val="en-US" w:eastAsia="zh-CN"/>
                    </w:rPr>
                    <w:t>过期原辅料</w:t>
                  </w:r>
                </w:p>
              </w:tc>
              <w:tc>
                <w:tcPr>
                  <w:tcW w:w="2533"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color w:val="auto"/>
                      <w:u w:val="single" w:color="auto"/>
                      <w:lang w:val="en-US" w:eastAsia="zh-CN"/>
                    </w:rPr>
                  </w:pPr>
                  <w:r>
                    <w:rPr>
                      <w:rFonts w:hint="default" w:ascii="Times New Roman" w:hAnsi="Times New Roman" w:cs="Times New Roman"/>
                      <w:szCs w:val="21"/>
                      <w:u w:val="single" w:color="auto"/>
                      <w:lang w:val="en-US" w:eastAsia="zh-CN"/>
                    </w:rPr>
                    <w:t>打包好外售处理</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eastAsia="zh-CN"/>
                    </w:rPr>
                  </w:pPr>
                  <w:r>
                    <w:rPr>
                      <w:rFonts w:hint="default" w:ascii="Times New Roman" w:hAnsi="Times New Roman" w:cs="Times New Roman"/>
                      <w:szCs w:val="21"/>
                      <w:u w:val="single" w:color="auto"/>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31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eastAsia="zh-CN"/>
                    </w:rPr>
                  </w:pPr>
                  <w:r>
                    <w:rPr>
                      <w:rFonts w:hint="default" w:ascii="Times New Roman" w:hAnsi="Times New Roman" w:cs="Times New Roman"/>
                      <w:szCs w:val="21"/>
                      <w:u w:val="single" w:color="auto"/>
                      <w:lang w:val="en-US" w:eastAsia="zh-CN"/>
                    </w:rPr>
                    <w:t>除尘灰及锅炉灰渣</w:t>
                  </w:r>
                </w:p>
              </w:tc>
              <w:tc>
                <w:tcPr>
                  <w:tcW w:w="2533"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color w:val="auto"/>
                      <w:u w:val="single" w:color="auto"/>
                      <w:lang w:val="en-US" w:eastAsia="zh-CN"/>
                    </w:rPr>
                  </w:pPr>
                  <w:r>
                    <w:rPr>
                      <w:rFonts w:hint="default" w:ascii="Times New Roman" w:hAnsi="Times New Roman" w:cs="Times New Roman"/>
                      <w:color w:val="auto"/>
                      <w:u w:val="single" w:color="auto"/>
                      <w:lang w:val="en-US" w:eastAsia="zh-CN"/>
                    </w:rPr>
                    <w:t>袋装打包后交由附近农户作为肥料使用</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eastAsia="zh-CN"/>
                    </w:rPr>
                  </w:pPr>
                  <w:r>
                    <w:rPr>
                      <w:rFonts w:hint="default" w:ascii="Times New Roman" w:hAnsi="Times New Roman" w:cs="Times New Roman"/>
                      <w:szCs w:val="21"/>
                      <w:u w:val="single" w:color="auto"/>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31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szCs w:val="21"/>
                      <w:u w:val="single" w:color="auto"/>
                      <w:lang w:val="en-US" w:eastAsia="zh-CN"/>
                    </w:rPr>
                  </w:pPr>
                  <w:r>
                    <w:rPr>
                      <w:rFonts w:hint="default" w:ascii="Times New Roman" w:hAnsi="Times New Roman" w:cs="Times New Roman"/>
                      <w:u w:val="single" w:color="auto"/>
                    </w:rPr>
                    <w:t>软水制备产生的</w:t>
                  </w:r>
                  <w:r>
                    <w:rPr>
                      <w:rFonts w:hint="eastAsia" w:cs="Times New Roman"/>
                      <w:u w:val="single" w:color="auto"/>
                      <w:lang w:val="en-US" w:eastAsia="zh-CN"/>
                    </w:rPr>
                    <w:t>过滤器（含活性炭）</w:t>
                  </w:r>
                  <w:r>
                    <w:rPr>
                      <w:rFonts w:hint="default" w:ascii="Times New Roman" w:hAnsi="Times New Roman" w:cs="Times New Roman"/>
                      <w:u w:val="single" w:color="auto"/>
                    </w:rPr>
                    <w:t>和废反渗透膜</w:t>
                  </w:r>
                  <w:r>
                    <w:rPr>
                      <w:rFonts w:hint="eastAsia" w:cs="Times New Roman"/>
                      <w:u w:val="single" w:color="auto"/>
                      <w:lang w:eastAsia="zh-CN"/>
                    </w:rPr>
                    <w:t>、</w:t>
                  </w:r>
                  <w:r>
                    <w:rPr>
                      <w:rFonts w:hint="eastAsia" w:cs="Times New Roman"/>
                      <w:u w:val="single" w:color="auto"/>
                      <w:lang w:val="en-US" w:eastAsia="zh-CN"/>
                    </w:rPr>
                    <w:t>废树脂</w:t>
                  </w:r>
                </w:p>
              </w:tc>
              <w:tc>
                <w:tcPr>
                  <w:tcW w:w="2533"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color w:val="auto"/>
                      <w:u w:val="single" w:color="auto"/>
                      <w:lang w:val="en-US" w:eastAsia="zh-CN"/>
                    </w:rPr>
                  </w:pPr>
                  <w:r>
                    <w:rPr>
                      <w:rFonts w:hint="default" w:ascii="Times New Roman" w:hAnsi="Times New Roman" w:eastAsia="宋体" w:cs="Times New Roman"/>
                      <w:u w:val="single" w:color="auto"/>
                    </w:rPr>
                    <w:t>不属于危险废物，按一般固废进行处理</w:t>
                  </w:r>
                  <w:r>
                    <w:rPr>
                      <w:rFonts w:hint="default" w:ascii="Times New Roman" w:hAnsi="Times New Roman" w:eastAsia="宋体" w:cs="Times New Roman"/>
                      <w:u w:val="single" w:color="auto"/>
                      <w:lang w:eastAsia="zh-CN"/>
                    </w:rPr>
                    <w:t>，</w:t>
                  </w:r>
                  <w:r>
                    <w:rPr>
                      <w:rFonts w:hint="default" w:ascii="Times New Roman" w:hAnsi="Times New Roman" w:cs="Times New Roman"/>
                      <w:color w:val="auto"/>
                      <w:u w:val="single" w:color="auto"/>
                      <w:lang w:val="en-US" w:eastAsia="zh-CN"/>
                    </w:rPr>
                    <w:t>交由设备服务公司回收处理</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eastAsia="zh-CN"/>
                    </w:rPr>
                  </w:pPr>
                  <w:r>
                    <w:rPr>
                      <w:rFonts w:hint="default" w:ascii="Times New Roman" w:hAnsi="Times New Roman" w:cs="Times New Roman"/>
                      <w:szCs w:val="21"/>
                      <w:u w:val="single" w:color="auto"/>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90"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eastAsia="zh-CN"/>
                    </w:rPr>
                  </w:pPr>
                  <w:r>
                    <w:rPr>
                      <w:rFonts w:hint="default" w:ascii="Times New Roman" w:hAnsi="Times New Roman" w:cs="Times New Roman"/>
                      <w:szCs w:val="21"/>
                      <w:u w:val="single" w:color="auto"/>
                      <w:lang w:val="en-US" w:eastAsia="zh-CN"/>
                    </w:rPr>
                    <w:t>废紫外灯管</w:t>
                  </w:r>
                </w:p>
              </w:tc>
              <w:tc>
                <w:tcPr>
                  <w:tcW w:w="2533" w:type="dxa"/>
                  <w:vMerge w:val="restart"/>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color w:val="auto"/>
                      <w:u w:val="single" w:color="auto"/>
                      <w:lang w:val="en-US" w:eastAsia="zh-CN"/>
                    </w:rPr>
                  </w:pPr>
                  <w:r>
                    <w:rPr>
                      <w:rFonts w:hint="default" w:ascii="Times New Roman" w:hAnsi="Times New Roman" w:cs="Times New Roman"/>
                      <w:color w:val="auto"/>
                      <w:u w:val="single" w:color="auto"/>
                      <w:lang w:val="en-US" w:eastAsia="zh-CN"/>
                    </w:rPr>
                    <w:t>危废暂存间（2m</w:t>
                  </w:r>
                  <w:r>
                    <w:rPr>
                      <w:rFonts w:hint="default" w:ascii="Times New Roman" w:hAnsi="Times New Roman" w:cs="Times New Roman"/>
                      <w:color w:val="auto"/>
                      <w:u w:val="single" w:color="auto"/>
                      <w:vertAlign w:val="superscript"/>
                      <w:lang w:val="en-US" w:eastAsia="zh-CN"/>
                    </w:rPr>
                    <w:t>3</w:t>
                  </w:r>
                  <w:r>
                    <w:rPr>
                      <w:rFonts w:hint="default" w:ascii="Times New Roman" w:hAnsi="Times New Roman" w:cs="Times New Roman"/>
                      <w:color w:val="auto"/>
                      <w:u w:val="single" w:color="auto"/>
                      <w:lang w:val="en-US" w:eastAsia="zh-CN"/>
                    </w:rPr>
                    <w:t>）</w:t>
                  </w:r>
                </w:p>
              </w:tc>
              <w:tc>
                <w:tcPr>
                  <w:tcW w:w="1931" w:type="dxa"/>
                  <w:vMerge w:val="restart"/>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eastAsia="zh-CN"/>
                    </w:rPr>
                  </w:pPr>
                  <w:r>
                    <w:rPr>
                      <w:rFonts w:hint="default" w:ascii="Times New Roman" w:hAnsi="Times New Roman" w:cs="Times New Roman"/>
                      <w:szCs w:val="21"/>
                      <w:u w:val="single" w:color="auto"/>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314" w:hRule="atLeast"/>
                <w:jc w:val="center"/>
              </w:trPr>
              <w:tc>
                <w:tcPr>
                  <w:tcW w:w="1138"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146"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p>
              </w:tc>
              <w:tc>
                <w:tcPr>
                  <w:tcW w:w="1620"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eastAsia="zh-CN"/>
                    </w:rPr>
                  </w:pPr>
                  <w:r>
                    <w:rPr>
                      <w:rFonts w:hint="eastAsia" w:cs="Times New Roman"/>
                      <w:szCs w:val="21"/>
                      <w:u w:val="single" w:color="auto"/>
                      <w:lang w:val="en-US" w:eastAsia="zh-CN"/>
                    </w:rPr>
                    <w:t>检验室废液</w:t>
                  </w:r>
                </w:p>
              </w:tc>
              <w:tc>
                <w:tcPr>
                  <w:tcW w:w="2533"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color w:val="auto"/>
                      <w:u w:val="single" w:color="auto"/>
                      <w:lang w:val="en-US" w:eastAsia="zh-CN"/>
                    </w:rPr>
                  </w:pPr>
                </w:p>
              </w:tc>
              <w:tc>
                <w:tcPr>
                  <w:tcW w:w="1931" w:type="dxa"/>
                  <w:vMerge w:val="continue"/>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cs="Times New Roman"/>
                      <w:szCs w:val="21"/>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284" w:hRule="atLeast"/>
                <w:jc w:val="center"/>
              </w:trPr>
              <w:tc>
                <w:tcPr>
                  <w:tcW w:w="6437" w:type="dxa"/>
                  <w:gridSpan w:val="4"/>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ascii="Times New Roman" w:hAnsi="Times New Roman" w:cs="Times New Roman"/>
                      <w:szCs w:val="21"/>
                      <w:u w:val="single" w:color="auto"/>
                      <w:lang w:val="en-US"/>
                    </w:rPr>
                  </w:pPr>
                  <w:r>
                    <w:rPr>
                      <w:rFonts w:hint="default" w:ascii="Times New Roman" w:hAnsi="Times New Roman" w:cs="Times New Roman"/>
                      <w:szCs w:val="21"/>
                      <w:u w:val="single" w:color="auto"/>
                      <w:lang w:val="en-US"/>
                    </w:rPr>
                    <w:t>合计</w:t>
                  </w:r>
                </w:p>
              </w:tc>
              <w:tc>
                <w:tcPr>
                  <w:tcW w:w="1931" w:type="dxa"/>
                  <w:tcBorders>
                    <w:tl2br w:val="nil"/>
                    <w:tr2bl w:val="nil"/>
                  </w:tcBorders>
                  <w:vAlign w:val="center"/>
                </w:tcPr>
                <w:p>
                  <w:pPr>
                    <w:pStyle w:val="70"/>
                    <w:keepNext w:val="0"/>
                    <w:keepLines w:val="0"/>
                    <w:pageBreakBefore w:val="0"/>
                    <w:widowControl w:val="0"/>
                    <w:kinsoku/>
                    <w:wordWrap w:val="0"/>
                    <w:overflowPunct/>
                    <w:topLinePunct/>
                    <w:bidi w:val="0"/>
                    <w:adjustRightInd w:val="0"/>
                    <w:spacing w:line="240" w:lineRule="auto"/>
                    <w:ind w:firstLine="0" w:firstLineChars="0"/>
                    <w:rPr>
                      <w:rFonts w:hint="default" w:ascii="Times New Roman" w:hAnsi="Times New Roman" w:eastAsia="宋体" w:cs="Times New Roman"/>
                      <w:szCs w:val="21"/>
                      <w:u w:val="single" w:color="auto"/>
                      <w:lang w:val="en-US" w:eastAsia="zh-CN"/>
                    </w:rPr>
                  </w:pPr>
                  <w:r>
                    <w:rPr>
                      <w:rFonts w:hint="default" w:ascii="Times New Roman" w:hAnsi="Times New Roman" w:cs="Times New Roman"/>
                      <w:szCs w:val="21"/>
                      <w:u w:val="single" w:color="auto"/>
                      <w:lang w:val="en-US" w:eastAsia="zh-CN"/>
                    </w:rPr>
                    <w:t>71.8</w:t>
                  </w:r>
                </w:p>
              </w:tc>
            </w:tr>
          </w:tbl>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1.</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val="en-US"/>
              </w:rPr>
              <w:t>.</w:t>
            </w:r>
            <w:r>
              <w:rPr>
                <w:rFonts w:hint="eastAsia" w:ascii="Times New Roman" w:hAnsi="Times New Roman" w:cs="Times New Roman"/>
                <w:u w:val="none" w:color="auto"/>
                <w:lang w:val="en-US" w:eastAsia="zh-CN"/>
              </w:rPr>
              <w:t>1</w:t>
            </w:r>
            <w:r>
              <w:rPr>
                <w:rFonts w:hint="eastAsia" w:cs="Times New Roman"/>
                <w:u w:val="none" w:color="auto"/>
                <w:lang w:val="en-US" w:eastAsia="zh-CN"/>
              </w:rPr>
              <w:t>2</w:t>
            </w:r>
            <w:r>
              <w:rPr>
                <w:rFonts w:hint="default" w:ascii="Times New Roman" w:hAnsi="Times New Roman" w:cs="Times New Roman"/>
                <w:u w:val="none" w:color="auto"/>
                <w:lang w:val="en-US"/>
              </w:rPr>
              <w:t>厂</w:t>
            </w:r>
            <w:r>
              <w:rPr>
                <w:rFonts w:hint="default" w:ascii="Times New Roman" w:hAnsi="Times New Roman" w:cs="Times New Roman"/>
                <w:highlight w:val="none"/>
                <w:u w:val="none" w:color="auto"/>
                <w:lang w:val="en-US"/>
              </w:rPr>
              <w:t xml:space="preserve">区平面布置合理性 </w:t>
            </w:r>
          </w:p>
          <w:p>
            <w:pPr>
              <w:ind w:firstLine="480"/>
              <w:rPr>
                <w:rFonts w:ascii="Times New Roman" w:hAnsi="Times New Roman" w:cs="Times New Roman"/>
                <w:u w:val="none" w:color="auto"/>
              </w:rPr>
            </w:pPr>
            <w:r>
              <w:rPr>
                <w:rFonts w:hint="default" w:ascii="Times New Roman" w:hAnsi="Times New Roman" w:cs="Times New Roman"/>
                <w:u w:val="none" w:color="auto"/>
              </w:rPr>
              <w:t>根据</w:t>
            </w:r>
            <w:r>
              <w:rPr>
                <w:rFonts w:hint="default" w:ascii="Times New Roman" w:hAnsi="Times New Roman" w:cs="Times New Roman"/>
                <w:u w:val="none" w:color="auto"/>
                <w:lang w:val="en-US"/>
              </w:rPr>
              <w:t>项目的</w:t>
            </w:r>
            <w:r>
              <w:rPr>
                <w:rFonts w:hint="default" w:ascii="Times New Roman" w:hAnsi="Times New Roman" w:cs="Times New Roman"/>
                <w:u w:val="none" w:color="auto"/>
              </w:rPr>
              <w:t>工艺特点按功能分区，划分为生产区、</w:t>
            </w:r>
            <w:r>
              <w:rPr>
                <w:rFonts w:hint="default" w:ascii="Times New Roman" w:hAnsi="Times New Roman" w:cs="Times New Roman"/>
                <w:u w:val="none" w:color="auto"/>
                <w:lang w:val="en-US"/>
              </w:rPr>
              <w:t>辅助区</w:t>
            </w:r>
            <w:r>
              <w:rPr>
                <w:rFonts w:hint="default" w:ascii="Times New Roman" w:hAnsi="Times New Roman" w:cs="Times New Roman"/>
                <w:u w:val="none" w:color="auto"/>
                <w:lang w:val="en-US" w:eastAsia="zh-CN"/>
              </w:rPr>
              <w:t>。设置有1栋钢架棚厂房为生产区</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包括湿米粉生产线</w:t>
            </w:r>
            <w:r>
              <w:rPr>
                <w:rFonts w:hint="default" w:ascii="Times New Roman" w:hAnsi="Times New Roman" w:cs="Times New Roman"/>
                <w:u w:val="none" w:color="auto"/>
                <w:lang w:val="en-US"/>
              </w:rPr>
              <w:t>1条</w:t>
            </w:r>
            <w:r>
              <w:rPr>
                <w:rFonts w:hint="default" w:ascii="Times New Roman" w:hAnsi="Times New Roman" w:cs="Times New Roman"/>
                <w:u w:val="none" w:color="auto"/>
                <w:lang w:val="en-US" w:eastAsia="zh-CN"/>
              </w:rPr>
              <w:t>，</w:t>
            </w:r>
            <w:r>
              <w:rPr>
                <w:rFonts w:hint="eastAsia" w:cs="Times New Roman"/>
                <w:u w:val="none" w:color="auto"/>
                <w:lang w:val="en-US" w:eastAsia="zh-CN"/>
              </w:rPr>
              <w:t>生产规模为1800t/a，</w:t>
            </w:r>
            <w:r>
              <w:rPr>
                <w:rFonts w:hint="default" w:ascii="Times New Roman" w:hAnsi="Times New Roman" w:cs="Times New Roman"/>
                <w:u w:val="none" w:color="auto"/>
                <w:lang w:val="en-US" w:eastAsia="zh-CN"/>
              </w:rPr>
              <w:t>并设有大米仓库、淀粉暂存区、包材室、化验室等。</w:t>
            </w:r>
            <w:r>
              <w:rPr>
                <w:rFonts w:hint="default" w:ascii="Times New Roman" w:hAnsi="Times New Roman" w:cs="Times New Roman"/>
                <w:u w:val="none" w:color="auto"/>
                <w:lang w:val="en-US"/>
              </w:rPr>
              <w:t>辅助区</w:t>
            </w:r>
            <w:r>
              <w:rPr>
                <w:rFonts w:hint="default" w:ascii="Times New Roman" w:hAnsi="Times New Roman" w:cs="Times New Roman"/>
                <w:u w:val="none" w:color="auto"/>
                <w:lang w:val="en-US" w:eastAsia="zh-CN"/>
              </w:rPr>
              <w:t>紧挨生产区，设置有配电间、设备间、办公室、员工休息室，其中备有柴油发电机放置于配电间中。污水处理设施设置于生产车间西南侧，项目设置的蒸汽发生器放置于生产区内，利用湿式除尘器处理后高空排放，同时项目地下风向周边50m范围</w:t>
            </w:r>
            <w:r>
              <w:rPr>
                <w:rFonts w:hint="eastAsia" w:cs="Times New Roman"/>
                <w:u w:val="none" w:color="auto"/>
                <w:lang w:val="en-US" w:eastAsia="zh-CN"/>
              </w:rPr>
              <w:t>存在红土溪村散户居民1户，位置为项目西南侧10m处，</w:t>
            </w:r>
            <w:r>
              <w:rPr>
                <w:rFonts w:hint="default" w:ascii="Times New Roman" w:hAnsi="Times New Roman" w:cs="Times New Roman"/>
                <w:u w:val="none" w:color="auto"/>
              </w:rPr>
              <w:t>该户居民仅在春节期间有人</w:t>
            </w:r>
            <w:r>
              <w:rPr>
                <w:rFonts w:hint="eastAsia" w:cs="Times New Roman"/>
                <w:u w:val="none" w:color="auto"/>
                <w:lang w:val="en-US" w:eastAsia="zh-CN"/>
              </w:rPr>
              <w:t>短暂</w:t>
            </w:r>
            <w:r>
              <w:rPr>
                <w:rFonts w:hint="default" w:ascii="Times New Roman" w:hAnsi="Times New Roman" w:cs="Times New Roman"/>
                <w:u w:val="none" w:color="auto"/>
              </w:rPr>
              <w:t>居住，其余时间闲置</w:t>
            </w:r>
            <w:r>
              <w:rPr>
                <w:rFonts w:hint="default" w:ascii="Times New Roman" w:hAnsi="Times New Roman" w:cs="Times New Roman"/>
                <w:u w:val="none" w:color="auto"/>
                <w:lang w:val="en-US" w:eastAsia="zh-CN"/>
              </w:rPr>
              <w:t>，</w:t>
            </w:r>
            <w:r>
              <w:rPr>
                <w:rFonts w:hint="eastAsia" w:cs="Times New Roman"/>
                <w:u w:val="none" w:color="auto"/>
                <w:lang w:val="en-US" w:eastAsia="zh-CN"/>
              </w:rPr>
              <w:t>其余</w:t>
            </w:r>
            <w:r>
              <w:rPr>
                <w:rFonts w:hint="default" w:ascii="Times New Roman" w:hAnsi="Times New Roman" w:cs="Times New Roman"/>
                <w:u w:val="none" w:color="auto"/>
                <w:lang w:val="en-US" w:eastAsia="zh-CN"/>
              </w:rPr>
              <w:t>均为空房</w:t>
            </w:r>
            <w:r>
              <w:rPr>
                <w:rFonts w:hint="eastAsia" w:cs="Times New Roman"/>
                <w:u w:val="none" w:color="auto"/>
                <w:lang w:val="en-US" w:eastAsia="zh-CN"/>
              </w:rPr>
              <w:t>，因此</w:t>
            </w:r>
            <w:r>
              <w:rPr>
                <w:rFonts w:hint="default" w:ascii="Times New Roman" w:hAnsi="Times New Roman" w:cs="Times New Roman"/>
                <w:u w:val="none" w:color="auto"/>
                <w:lang w:val="en-US" w:eastAsia="zh-CN"/>
              </w:rPr>
              <w:t>项目产生的废气通过大气扩散后对周边环境影响较小，</w:t>
            </w:r>
            <w:r>
              <w:rPr>
                <w:rFonts w:hint="default" w:ascii="Times New Roman" w:hAnsi="Times New Roman" w:cs="Times New Roman"/>
                <w:u w:val="none" w:color="auto"/>
                <w:lang w:val="en-US"/>
              </w:rPr>
              <w:t>项目分区明确，各功能区相辅相成，厂区的平面布置是合理的。项目平面布置</w:t>
            </w:r>
            <w:r>
              <w:rPr>
                <w:rFonts w:hint="default" w:ascii="Times New Roman" w:hAnsi="Times New Roman" w:cs="Times New Roman"/>
                <w:u w:val="none" w:color="auto"/>
              </w:rPr>
              <w:t>详见附图</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lang w:val="en-US"/>
              </w:rPr>
              <w:t>：项目平面布置图</w:t>
            </w:r>
            <w:r>
              <w:rPr>
                <w:rFonts w:ascii="Times New Roman" w:hAnsi="Times New Roman" w:cs="Times New Roman"/>
                <w:u w:val="none" w:color="auto"/>
              </w:rPr>
              <w:t>。</w:t>
            </w:r>
          </w:p>
          <w:p>
            <w:pPr>
              <w:ind w:firstLine="0" w:firstLineChars="0"/>
              <w:rPr>
                <w:rFonts w:ascii="Times New Roman" w:hAnsi="Times New Roman" w:cs="Times New Roman"/>
                <w:u w:val="none" w:color="auto"/>
              </w:rPr>
            </w:pPr>
          </w:p>
        </w:tc>
      </w:tr>
    </w:tbl>
    <w:p>
      <w:pPr>
        <w:wordWrap/>
        <w:overflowPunct w:val="0"/>
        <w:topLinePunct w:val="0"/>
        <w:autoSpaceDE w:val="0"/>
        <w:autoSpaceDN w:val="0"/>
        <w:ind w:firstLine="420"/>
        <w:jc w:val="left"/>
        <w:rPr>
          <w:sz w:val="21"/>
        </w:rPr>
        <w:sectPr>
          <w:headerReference r:id="rId13" w:type="default"/>
          <w:footerReference r:id="rId15" w:type="default"/>
          <w:headerReference r:id="rId14" w:type="even"/>
          <w:footerReference r:id="rId16" w:type="even"/>
          <w:pgSz w:w="11910" w:h="16840"/>
          <w:pgMar w:top="1580" w:right="1320" w:bottom="1240" w:left="1340" w:header="0" w:footer="1043" w:gutter="0"/>
          <w:pgBorders>
            <w:top w:val="none" w:sz="0" w:space="0"/>
            <w:left w:val="none" w:sz="0" w:space="0"/>
            <w:bottom w:val="none" w:sz="0" w:space="0"/>
            <w:right w:val="none" w:sz="0" w:space="0"/>
          </w:pgBorders>
          <w:pgNumType w:fmt="decimal" w:start="1"/>
          <w:cols w:space="720" w:num="1"/>
        </w:sectPr>
      </w:pPr>
    </w:p>
    <w:p>
      <w:pPr>
        <w:pStyle w:val="13"/>
        <w:wordWrap/>
        <w:overflowPunct w:val="0"/>
        <w:topLinePunct w:val="0"/>
        <w:autoSpaceDE w:val="0"/>
        <w:autoSpaceDN w:val="0"/>
        <w:spacing w:before="58"/>
        <w:ind w:right="653" w:firstLine="0" w:firstLineChars="0"/>
        <w:outlineLvl w:val="0"/>
        <w:rPr>
          <w:rFonts w:hint="eastAsia" w:asciiTheme="minorEastAsia" w:hAnsiTheme="minorEastAsia" w:eastAsiaTheme="minorEastAsia" w:cstheme="minorEastAsia"/>
          <w:b/>
          <w:bCs/>
        </w:rPr>
      </w:pPr>
      <w:bookmarkStart w:id="60" w:name="_Toc5098"/>
      <w:r>
        <w:rPr>
          <w:rFonts w:hint="eastAsia" w:asciiTheme="minorEastAsia" w:hAnsiTheme="minorEastAsia" w:eastAsiaTheme="minorEastAsia" w:cstheme="minorEastAsia"/>
          <w:b/>
          <w:bCs/>
        </w:rPr>
        <w:t>二、建设项目工程分析</w:t>
      </w:r>
      <w:bookmarkEnd w:id="5"/>
      <w:bookmarkEnd w:id="60"/>
    </w:p>
    <w:tbl>
      <w:tblPr>
        <w:tblStyle w:val="28"/>
        <w:tblW w:w="9119"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74"/>
        <w:gridCol w:w="84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862" w:type="dxa"/>
            <w:tcBorders>
              <w:bottom w:val="single" w:color="000000" w:sz="4" w:space="0"/>
              <w:right w:val="single" w:color="000000" w:sz="4" w:space="0"/>
            </w:tcBorders>
            <w:vAlign w:val="center"/>
          </w:tcPr>
          <w:p>
            <w:pPr>
              <w:pStyle w:val="49"/>
              <w:wordWrap/>
              <w:overflowPunct w:val="0"/>
              <w:topLinePunct w:val="0"/>
              <w:autoSpaceDE w:val="0"/>
              <w:autoSpaceDN w:val="0"/>
              <w:spacing w:line="242" w:lineRule="auto"/>
              <w:ind w:right="79"/>
              <w:jc w:val="center"/>
              <w:rPr>
                <w:rFonts w:hint="default" w:ascii="Times New Roman" w:hAnsi="Times New Roman" w:cs="Times New Roman"/>
                <w:b/>
                <w:bCs/>
                <w:sz w:val="30"/>
                <w:szCs w:val="30"/>
                <w:u w:val="none" w:color="auto"/>
                <w:lang w:val="en-US"/>
              </w:rPr>
            </w:pPr>
            <w:r>
              <w:rPr>
                <w:rFonts w:ascii="Times New Roman" w:hAnsi="Times New Roman" w:cs="Times New Roman"/>
                <w:b/>
                <w:bCs/>
                <w:sz w:val="30"/>
                <w:szCs w:val="30"/>
                <w:u w:val="none" w:color="auto"/>
              </w:rPr>
              <w:t>建</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设</w:t>
            </w:r>
          </w:p>
          <w:p>
            <w:pPr>
              <w:pStyle w:val="49"/>
              <w:wordWrap/>
              <w:overflowPunct w:val="0"/>
              <w:topLinePunct w:val="0"/>
              <w:autoSpaceDE w:val="0"/>
              <w:autoSpaceDN w:val="0"/>
              <w:spacing w:line="242" w:lineRule="auto"/>
              <w:ind w:right="79"/>
              <w:jc w:val="center"/>
              <w:rPr>
                <w:rFonts w:hint="default" w:ascii="Times New Roman" w:hAnsi="Times New Roman" w:cs="Times New Roman"/>
                <w:b/>
                <w:bCs/>
                <w:sz w:val="30"/>
                <w:szCs w:val="30"/>
                <w:u w:val="none" w:color="auto"/>
                <w:lang w:val="en-US"/>
              </w:rPr>
            </w:pPr>
            <w:r>
              <w:rPr>
                <w:rFonts w:ascii="Times New Roman" w:hAnsi="Times New Roman" w:cs="Times New Roman"/>
                <w:b/>
                <w:bCs/>
                <w:sz w:val="30"/>
                <w:szCs w:val="30"/>
                <w:u w:val="none" w:color="auto"/>
              </w:rPr>
              <w:t>内</w:t>
            </w:r>
          </w:p>
          <w:p>
            <w:pPr>
              <w:pStyle w:val="49"/>
              <w:wordWrap/>
              <w:overflowPunct w:val="0"/>
              <w:topLinePunct w:val="0"/>
              <w:autoSpaceDE w:val="0"/>
              <w:autoSpaceDN w:val="0"/>
              <w:spacing w:line="242" w:lineRule="auto"/>
              <w:ind w:right="79"/>
              <w:jc w:val="center"/>
              <w:rPr>
                <w:rFonts w:ascii="Times New Roman" w:hAnsi="Times New Roman" w:cs="Times New Roman"/>
                <w:sz w:val="21"/>
                <w:u w:val="none" w:color="auto"/>
              </w:rPr>
            </w:pPr>
            <w:r>
              <w:rPr>
                <w:rFonts w:ascii="Times New Roman" w:hAnsi="Times New Roman" w:cs="Times New Roman"/>
                <w:b/>
                <w:bCs/>
                <w:sz w:val="30"/>
                <w:szCs w:val="30"/>
                <w:u w:val="none" w:color="auto"/>
              </w:rPr>
              <w:t>容</w:t>
            </w:r>
          </w:p>
        </w:tc>
        <w:tc>
          <w:tcPr>
            <w:tcW w:w="8257" w:type="dxa"/>
            <w:tcBorders>
              <w:left w:val="single" w:color="000000" w:sz="4" w:space="0"/>
              <w:bottom w:val="single" w:color="000000" w:sz="4" w:space="0"/>
            </w:tcBorders>
            <w:vAlign w:val="center"/>
          </w:tcPr>
          <w:p>
            <w:pPr>
              <w:pStyle w:val="6"/>
              <w:keepNext w:val="0"/>
              <w:keepLines w:val="0"/>
              <w:wordWrap/>
              <w:overflowPunct w:val="0"/>
              <w:topLinePunct w:val="0"/>
              <w:autoSpaceDE w:val="0"/>
              <w:autoSpaceDN w:val="0"/>
              <w:ind w:firstLine="0" w:firstLineChars="0"/>
              <w:rPr>
                <w:rFonts w:ascii="Times New Roman" w:hAnsi="Times New Roman" w:cs="Times New Roman"/>
                <w:u w:val="none" w:color="auto"/>
                <w:lang w:val="en-US"/>
              </w:rPr>
            </w:pPr>
            <w:r>
              <w:rPr>
                <w:rFonts w:hint="default" w:ascii="Times New Roman" w:hAnsi="Times New Roman" w:cs="Times New Roman"/>
                <w:u w:val="none" w:color="auto"/>
                <w:lang w:val="en-US"/>
              </w:rPr>
              <w:t>2.1项目</w:t>
            </w:r>
            <w:r>
              <w:rPr>
                <w:rFonts w:hint="default" w:ascii="Times New Roman" w:hAnsi="Times New Roman" w:cs="Times New Roman"/>
                <w:u w:val="none" w:color="auto"/>
                <w:lang w:val="en-US" w:eastAsia="zh-CN"/>
              </w:rPr>
              <w:t>变更</w:t>
            </w:r>
            <w:r>
              <w:rPr>
                <w:rFonts w:hint="default" w:ascii="Times New Roman" w:hAnsi="Times New Roman" w:cs="Times New Roman"/>
                <w:u w:val="none" w:color="auto"/>
                <w:lang w:val="en-US"/>
              </w:rPr>
              <w:t>由来</w:t>
            </w:r>
          </w:p>
          <w:p>
            <w:pPr>
              <w:ind w:firstLine="480"/>
              <w:rPr>
                <w:rFonts w:hint="default" w:ascii="Times New Roman" w:hAnsi="Times New Roman" w:cs="Times New Roman"/>
                <w:u w:val="single" w:color="auto"/>
                <w:lang w:eastAsia="zh-CN"/>
              </w:rPr>
            </w:pPr>
            <w:r>
              <w:rPr>
                <w:rFonts w:hint="default" w:ascii="Times New Roman" w:hAnsi="Times New Roman" w:cs="Times New Roman"/>
                <w:u w:val="single" w:color="auto"/>
                <w:lang w:eastAsia="zh-CN"/>
              </w:rPr>
              <w:t>湘西福辛米粉有限责任公司</w:t>
            </w:r>
            <w:r>
              <w:rPr>
                <w:rFonts w:hint="eastAsia" w:cs="Times New Roman"/>
                <w:u w:val="single" w:color="auto"/>
                <w:lang w:val="en-US" w:eastAsia="zh-CN"/>
              </w:rPr>
              <w:t>于2022年拟</w:t>
            </w:r>
            <w:r>
              <w:rPr>
                <w:rFonts w:ascii="Times New Roman" w:hAnsi="Times New Roman" w:cs="Times New Roman"/>
                <w:u w:val="single" w:color="auto"/>
              </w:rPr>
              <w:t>投资</w:t>
            </w:r>
            <w:r>
              <w:rPr>
                <w:rFonts w:hint="default" w:ascii="Times New Roman" w:hAnsi="Times New Roman" w:cs="Times New Roman"/>
                <w:u w:val="single" w:color="auto"/>
                <w:lang w:val="en-US" w:eastAsia="zh-CN"/>
              </w:rPr>
              <w:t>1500</w:t>
            </w:r>
            <w:r>
              <w:rPr>
                <w:rFonts w:ascii="Times New Roman" w:hAnsi="Times New Roman" w:cs="Times New Roman"/>
                <w:u w:val="single" w:color="auto"/>
              </w:rPr>
              <w:t>万元在</w:t>
            </w:r>
            <w:r>
              <w:rPr>
                <w:rFonts w:hint="default" w:ascii="Times New Roman" w:hAnsi="Times New Roman" w:cs="Times New Roman"/>
                <w:u w:val="single" w:color="auto"/>
                <w:lang w:val="en-US" w:eastAsia="zh-CN"/>
              </w:rPr>
              <w:t>泸溪县武溪镇红土溪村</w:t>
            </w:r>
            <w:r>
              <w:rPr>
                <w:rFonts w:hint="default" w:ascii="Times New Roman" w:hAnsi="Times New Roman" w:cs="Times New Roman"/>
                <w:u w:val="single" w:color="auto"/>
                <w:lang w:val="en-US"/>
              </w:rPr>
              <w:t>建设干米粉生产线、</w:t>
            </w:r>
            <w:r>
              <w:rPr>
                <w:rFonts w:hint="default" w:ascii="Times New Roman" w:hAnsi="Times New Roman" w:cs="Times New Roman"/>
                <w:u w:val="single" w:color="auto"/>
                <w:lang w:val="en-US" w:eastAsia="zh-CN"/>
              </w:rPr>
              <w:t>湿米粉</w:t>
            </w:r>
            <w:r>
              <w:rPr>
                <w:rFonts w:hint="default" w:ascii="Times New Roman" w:hAnsi="Times New Roman" w:cs="Times New Roman"/>
                <w:u w:val="single" w:color="auto"/>
                <w:lang w:val="en-US"/>
              </w:rPr>
              <w:t>生产线</w:t>
            </w:r>
            <w:r>
              <w:rPr>
                <w:rFonts w:hint="default" w:ascii="Times New Roman" w:hAnsi="Times New Roman" w:cs="Times New Roman"/>
                <w:u w:val="single" w:color="auto"/>
                <w:lang w:val="en-US" w:eastAsia="zh-CN"/>
              </w:rPr>
              <w:t>各一条，生产规模为年产干米粉540t，湿米粉3600t</w:t>
            </w:r>
            <w:r>
              <w:rPr>
                <w:rFonts w:hint="default" w:ascii="Times New Roman" w:hAnsi="Times New Roman" w:cs="Times New Roman"/>
                <w:u w:val="single" w:color="auto"/>
                <w:lang w:val="en-US"/>
              </w:rPr>
              <w:t>。</w:t>
            </w:r>
            <w:r>
              <w:rPr>
                <w:rFonts w:hint="default" w:ascii="Times New Roman" w:hAnsi="Times New Roman" w:cs="Times New Roman"/>
                <w:u w:val="single" w:color="auto"/>
              </w:rPr>
              <w:t>建设</w:t>
            </w:r>
            <w:r>
              <w:rPr>
                <w:rFonts w:hint="default" w:ascii="Times New Roman" w:hAnsi="Times New Roman" w:cs="Times New Roman"/>
                <w:u w:val="single" w:color="auto"/>
                <w:lang w:val="en-US" w:eastAsia="zh-CN"/>
              </w:rPr>
              <w:t>生产厂房，辅助楼及配套的污水处理站</w:t>
            </w:r>
            <w:r>
              <w:rPr>
                <w:rFonts w:hint="default" w:ascii="Times New Roman" w:hAnsi="Times New Roman" w:cs="Times New Roman"/>
                <w:u w:val="single" w:color="auto"/>
                <w:lang w:eastAsia="zh-CN"/>
              </w:rPr>
              <w:t>等</w:t>
            </w:r>
            <w:r>
              <w:rPr>
                <w:rFonts w:hint="default" w:ascii="Times New Roman" w:hAnsi="Times New Roman" w:cs="Times New Roman"/>
                <w:u w:val="single" w:color="auto"/>
              </w:rPr>
              <w:t>；购置安装</w:t>
            </w:r>
            <w:r>
              <w:rPr>
                <w:rFonts w:hint="default" w:ascii="Times New Roman" w:hAnsi="Times New Roman" w:cs="Times New Roman"/>
                <w:u w:val="single" w:color="auto"/>
                <w:lang w:val="en-US" w:eastAsia="zh-CN"/>
              </w:rPr>
              <w:t>大米定量输送机</w:t>
            </w:r>
            <w:r>
              <w:rPr>
                <w:rFonts w:hint="default" w:ascii="Times New Roman" w:hAnsi="Times New Roman" w:cs="Times New Roman"/>
                <w:u w:val="single" w:color="auto"/>
              </w:rPr>
              <w:t>、</w:t>
            </w:r>
            <w:r>
              <w:rPr>
                <w:rFonts w:hint="default" w:ascii="Times New Roman" w:hAnsi="Times New Roman" w:cs="Times New Roman"/>
                <w:u w:val="single" w:color="auto"/>
                <w:lang w:val="en-US" w:eastAsia="zh-CN"/>
              </w:rPr>
              <w:t>粉碎机</w:t>
            </w:r>
            <w:r>
              <w:rPr>
                <w:rFonts w:hint="default" w:ascii="Times New Roman" w:hAnsi="Times New Roman" w:cs="Times New Roman"/>
                <w:u w:val="single" w:color="auto"/>
              </w:rPr>
              <w:t>、</w:t>
            </w:r>
            <w:r>
              <w:rPr>
                <w:rFonts w:hint="default" w:ascii="Times New Roman" w:hAnsi="Times New Roman" w:cs="Times New Roman"/>
                <w:u w:val="single" w:color="auto"/>
                <w:lang w:val="en-US" w:eastAsia="zh-CN"/>
              </w:rPr>
              <w:t>定量喂料机</w:t>
            </w:r>
            <w:r>
              <w:rPr>
                <w:rFonts w:hint="default" w:ascii="Times New Roman" w:hAnsi="Times New Roman" w:cs="Times New Roman"/>
                <w:u w:val="single" w:color="auto"/>
              </w:rPr>
              <w:t>、</w:t>
            </w:r>
            <w:r>
              <w:rPr>
                <w:rFonts w:hint="default" w:ascii="Times New Roman" w:hAnsi="Times New Roman" w:cs="Times New Roman"/>
                <w:u w:val="single" w:color="auto"/>
                <w:lang w:val="en-US" w:eastAsia="zh-CN"/>
              </w:rPr>
              <w:t>800蒸自熟化一体机</w:t>
            </w:r>
            <w:r>
              <w:rPr>
                <w:rFonts w:hint="default" w:ascii="Times New Roman" w:hAnsi="Times New Roman" w:cs="Times New Roman"/>
                <w:u w:val="single" w:color="auto"/>
              </w:rPr>
              <w:t>、</w:t>
            </w:r>
            <w:r>
              <w:rPr>
                <w:rFonts w:hint="default" w:ascii="Times New Roman" w:hAnsi="Times New Roman" w:cs="Times New Roman"/>
                <w:u w:val="single" w:color="auto"/>
                <w:lang w:val="en-US" w:eastAsia="zh-CN"/>
              </w:rPr>
              <w:t>热水浴机</w:t>
            </w:r>
            <w:r>
              <w:rPr>
                <w:rFonts w:hint="default" w:ascii="Times New Roman" w:hAnsi="Times New Roman" w:cs="Times New Roman"/>
                <w:u w:val="single" w:color="auto"/>
              </w:rPr>
              <w:t>等设备</w:t>
            </w:r>
            <w:r>
              <w:rPr>
                <w:rFonts w:hint="default" w:ascii="Times New Roman" w:hAnsi="Times New Roman" w:cs="Times New Roman"/>
                <w:u w:val="single" w:color="auto"/>
                <w:lang w:eastAsia="zh-CN"/>
              </w:rPr>
              <w:t>，</w:t>
            </w:r>
            <w:r>
              <w:rPr>
                <w:rFonts w:hint="eastAsia" w:cs="Times New Roman"/>
                <w:u w:val="single" w:color="auto"/>
                <w:lang w:val="en-US" w:eastAsia="zh-CN"/>
              </w:rPr>
              <w:t>因此2022年3月</w:t>
            </w:r>
            <w:r>
              <w:rPr>
                <w:rFonts w:hint="default" w:ascii="Times New Roman" w:hAnsi="Times New Roman" w:cs="Times New Roman"/>
                <w:u w:val="single" w:color="auto"/>
                <w:lang w:eastAsia="zh-CN"/>
              </w:rPr>
              <w:t>湘西福辛米粉有限责任公司</w:t>
            </w:r>
            <w:r>
              <w:rPr>
                <w:rFonts w:hint="eastAsia" w:cs="Times New Roman"/>
                <w:u w:val="single" w:color="auto"/>
                <w:lang w:val="en-US" w:eastAsia="zh-CN"/>
              </w:rPr>
              <w:t>委托长沙博大环保科技有限公司编制完成了《</w:t>
            </w:r>
            <w:r>
              <w:rPr>
                <w:rFonts w:hint="default" w:ascii="Times New Roman" w:hAnsi="Times New Roman" w:cs="Times New Roman"/>
                <w:u w:val="single" w:color="auto"/>
                <w:lang w:val="en-US" w:eastAsia="zh-CN"/>
              </w:rPr>
              <w:t>泸溪县特色米粉加工项目</w:t>
            </w:r>
            <w:r>
              <w:rPr>
                <w:rFonts w:hint="default" w:ascii="Times New Roman" w:hAnsi="Times New Roman" w:cs="Times New Roman"/>
                <w:u w:val="single" w:color="auto"/>
              </w:rPr>
              <w:t>环境影响报告</w:t>
            </w:r>
            <w:r>
              <w:rPr>
                <w:rFonts w:hint="default" w:ascii="Times New Roman" w:hAnsi="Times New Roman" w:cs="Times New Roman"/>
                <w:u w:val="single" w:color="auto"/>
                <w:lang w:val="en-US" w:eastAsia="zh-CN"/>
              </w:rPr>
              <w:t>表</w:t>
            </w:r>
            <w:r>
              <w:rPr>
                <w:rFonts w:hint="eastAsia" w:cs="Times New Roman"/>
                <w:u w:val="single" w:color="auto"/>
                <w:lang w:val="en-US" w:eastAsia="zh-CN"/>
              </w:rPr>
              <w:t>》，并于2022年3月11日取得</w:t>
            </w:r>
            <w:r>
              <w:rPr>
                <w:rFonts w:hint="default" w:ascii="Times New Roman" w:hAnsi="Times New Roman" w:cs="Times New Roman"/>
                <w:highlight w:val="none"/>
                <w:u w:val="single" w:color="auto"/>
              </w:rPr>
              <w:t>《</w:t>
            </w:r>
            <w:r>
              <w:rPr>
                <w:rFonts w:hint="default" w:ascii="Times New Roman" w:hAnsi="Times New Roman" w:cs="Times New Roman"/>
                <w:highlight w:val="none"/>
                <w:u w:val="single" w:color="auto"/>
                <w:lang w:eastAsia="zh-CN"/>
              </w:rPr>
              <w:t>湘西自治州生态环境局</w:t>
            </w:r>
            <w:r>
              <w:rPr>
                <w:rFonts w:hint="default" w:ascii="Times New Roman" w:hAnsi="Times New Roman" w:cs="Times New Roman"/>
                <w:highlight w:val="none"/>
                <w:u w:val="single" w:color="auto"/>
                <w:lang w:val="en-US" w:eastAsia="zh-CN"/>
              </w:rPr>
              <w:t>泸溪分局</w:t>
            </w:r>
            <w:r>
              <w:rPr>
                <w:rFonts w:hint="default" w:ascii="Times New Roman" w:hAnsi="Times New Roman" w:cs="Times New Roman"/>
                <w:highlight w:val="none"/>
                <w:u w:val="single" w:color="auto"/>
              </w:rPr>
              <w:t>关于泸溪特色米粉加工项目环境影响报告</w:t>
            </w:r>
            <w:r>
              <w:rPr>
                <w:rFonts w:hint="default" w:ascii="Times New Roman" w:hAnsi="Times New Roman" w:cs="Times New Roman"/>
                <w:highlight w:val="none"/>
                <w:u w:val="single" w:color="auto"/>
                <w:lang w:val="en-US" w:eastAsia="zh-CN"/>
              </w:rPr>
              <w:t>表</w:t>
            </w:r>
            <w:r>
              <w:rPr>
                <w:rFonts w:hint="default" w:ascii="Times New Roman" w:hAnsi="Times New Roman" w:cs="Times New Roman"/>
                <w:highlight w:val="none"/>
                <w:u w:val="single" w:color="auto"/>
              </w:rPr>
              <w:t>的批复》</w:t>
            </w:r>
            <w:r>
              <w:rPr>
                <w:rFonts w:hint="default" w:ascii="Times New Roman" w:hAnsi="Times New Roman" w:cs="Times New Roman"/>
                <w:highlight w:val="none"/>
                <w:u w:val="single" w:color="auto"/>
                <w:lang w:eastAsia="zh-CN"/>
              </w:rPr>
              <w:t>（</w:t>
            </w:r>
            <w:r>
              <w:rPr>
                <w:rFonts w:hint="default" w:ascii="Times New Roman" w:hAnsi="Times New Roman" w:cs="Times New Roman"/>
                <w:highlight w:val="none"/>
                <w:u w:val="single" w:color="auto"/>
                <w:lang w:val="en-US" w:eastAsia="zh-CN"/>
              </w:rPr>
              <w:t>州环评（泸溪）</w:t>
            </w:r>
            <w:r>
              <w:rPr>
                <w:rFonts w:hint="default" w:ascii="Times New Roman" w:hAnsi="Times New Roman" w:cs="Times New Roman"/>
                <w:highlight w:val="none"/>
                <w:u w:val="single" w:color="auto"/>
                <w:lang w:eastAsia="zh-CN"/>
              </w:rPr>
              <w:t>〔</w:t>
            </w:r>
            <w:r>
              <w:rPr>
                <w:rFonts w:hint="default" w:ascii="Times New Roman" w:hAnsi="Times New Roman" w:cs="Times New Roman"/>
                <w:highlight w:val="none"/>
                <w:u w:val="single" w:color="auto"/>
                <w:lang w:val="en-US" w:eastAsia="zh-CN"/>
              </w:rPr>
              <w:t>2022</w:t>
            </w:r>
            <w:r>
              <w:rPr>
                <w:rFonts w:hint="default" w:ascii="Times New Roman" w:hAnsi="Times New Roman" w:cs="Times New Roman"/>
                <w:highlight w:val="none"/>
                <w:u w:val="single" w:color="auto"/>
                <w:lang w:eastAsia="zh-CN"/>
              </w:rPr>
              <w:t>〕</w:t>
            </w:r>
            <w:r>
              <w:rPr>
                <w:rFonts w:hint="default" w:ascii="Times New Roman" w:hAnsi="Times New Roman" w:cs="Times New Roman"/>
                <w:highlight w:val="none"/>
                <w:u w:val="single" w:color="auto"/>
                <w:lang w:val="en-US" w:eastAsia="zh-CN"/>
              </w:rPr>
              <w:t>5</w:t>
            </w:r>
            <w:r>
              <w:rPr>
                <w:rFonts w:hint="default" w:ascii="Times New Roman" w:hAnsi="Times New Roman" w:cs="Times New Roman"/>
                <w:highlight w:val="none"/>
                <w:u w:val="single" w:color="auto"/>
              </w:rPr>
              <w:t>号</w:t>
            </w:r>
            <w:r>
              <w:rPr>
                <w:rFonts w:hint="default" w:ascii="Times New Roman" w:hAnsi="Times New Roman" w:cs="Times New Roman"/>
                <w:highlight w:val="none"/>
                <w:u w:val="single" w:color="auto"/>
                <w:lang w:eastAsia="zh-CN"/>
              </w:rPr>
              <w:t>）</w:t>
            </w:r>
            <w:r>
              <w:rPr>
                <w:rFonts w:hint="eastAsia" w:cs="Times New Roman"/>
                <w:highlight w:val="none"/>
                <w:u w:val="single" w:color="auto"/>
                <w:lang w:eastAsia="zh-CN"/>
              </w:rPr>
              <w:t>。</w:t>
            </w:r>
            <w:r>
              <w:rPr>
                <w:rFonts w:hint="eastAsia" w:cs="Times New Roman"/>
                <w:highlight w:val="none"/>
                <w:u w:val="single" w:color="auto"/>
                <w:lang w:val="en-US" w:eastAsia="zh-CN"/>
              </w:rPr>
              <w:t>由于</w:t>
            </w:r>
            <w:r>
              <w:rPr>
                <w:rFonts w:hint="default" w:ascii="Times New Roman" w:hAnsi="Times New Roman" w:cs="Times New Roman"/>
                <w:u w:val="single" w:color="auto"/>
                <w:lang w:eastAsia="zh-CN"/>
              </w:rPr>
              <w:t>湘西福辛米粉有限责任公司原</w:t>
            </w:r>
            <w:r>
              <w:rPr>
                <w:rFonts w:hint="default" w:ascii="Times New Roman" w:hAnsi="Times New Roman" w:cs="Times New Roman"/>
                <w:u w:val="single" w:color="auto"/>
                <w:lang w:val="en-US" w:eastAsia="zh-CN"/>
              </w:rPr>
              <w:t>蒸汽发生器使用的原料及蒸吨</w:t>
            </w:r>
            <w:r>
              <w:rPr>
                <w:rFonts w:hint="default" w:ascii="Times New Roman" w:hAnsi="Times New Roman" w:cs="Times New Roman"/>
                <w:u w:val="single" w:color="auto"/>
                <w:lang w:eastAsia="zh-CN"/>
              </w:rPr>
              <w:t>设计有误，</w:t>
            </w:r>
            <w:r>
              <w:rPr>
                <w:rFonts w:hint="eastAsia" w:cs="Times New Roman"/>
                <w:u w:val="single" w:color="auto"/>
                <w:lang w:val="en-US" w:eastAsia="zh-CN"/>
              </w:rPr>
              <w:t>因此</w:t>
            </w:r>
            <w:r>
              <w:rPr>
                <w:rFonts w:hint="default" w:ascii="Times New Roman" w:hAnsi="Times New Roman" w:cs="Times New Roman"/>
                <w:u w:val="single" w:color="auto"/>
                <w:lang w:eastAsia="zh-CN"/>
              </w:rPr>
              <w:t>决定将原环评中的</w:t>
            </w:r>
            <w:r>
              <w:rPr>
                <w:rFonts w:hint="default" w:ascii="Times New Roman" w:hAnsi="Times New Roman" w:cs="Times New Roman"/>
                <w:u w:val="single" w:color="auto"/>
                <w:lang w:val="en-US" w:eastAsia="zh-CN"/>
              </w:rPr>
              <w:t>2台1t/h电蒸汽发生器变更为1台0.7t/h的生物质蒸汽发生器，以满足日常生产需要以及减少运营成本，并考虑到市场需求以及场地的限制，</w:t>
            </w:r>
            <w:r>
              <w:rPr>
                <w:rFonts w:hint="eastAsia" w:cs="Times New Roman"/>
                <w:u w:val="single" w:color="auto"/>
                <w:lang w:val="en-US" w:eastAsia="zh-CN"/>
              </w:rPr>
              <w:t>湿米粉生产线分为两期建设，一期、二期规模均为1800t/a，二期湿米粉生产线与</w:t>
            </w:r>
            <w:r>
              <w:rPr>
                <w:rFonts w:hint="default" w:ascii="Times New Roman" w:hAnsi="Times New Roman" w:cs="Times New Roman"/>
                <w:u w:val="single" w:color="auto"/>
                <w:lang w:val="en-US" w:eastAsia="zh-CN"/>
              </w:rPr>
              <w:t>干米粉生产线</w:t>
            </w:r>
            <w:r>
              <w:rPr>
                <w:rFonts w:hint="eastAsia" w:cs="Times New Roman"/>
                <w:u w:val="single" w:color="auto"/>
                <w:lang w:val="en-US" w:eastAsia="zh-CN"/>
              </w:rPr>
              <w:t>均</w:t>
            </w:r>
            <w:r>
              <w:rPr>
                <w:rFonts w:hint="default" w:ascii="Times New Roman" w:hAnsi="Times New Roman" w:cs="Times New Roman"/>
                <w:u w:val="single" w:color="auto"/>
                <w:lang w:val="en-US" w:eastAsia="zh-CN"/>
              </w:rPr>
              <w:t>不在本次评价范围之内，远期另行征地建设</w:t>
            </w:r>
            <w:r>
              <w:rPr>
                <w:rFonts w:hint="eastAsia" w:cs="Times New Roman"/>
                <w:u w:val="single" w:color="auto"/>
                <w:lang w:val="en-US" w:eastAsia="zh-CN"/>
              </w:rPr>
              <w:t>，目前一期工程已动工建设完成，其中锅炉房设备尚未进场，尚未投入运行</w:t>
            </w:r>
            <w:r>
              <w:rPr>
                <w:rFonts w:hint="default" w:ascii="Times New Roman" w:hAnsi="Times New Roman" w:cs="Times New Roman"/>
                <w:u w:val="single" w:color="auto"/>
                <w:lang w:val="en-US" w:eastAsia="zh-CN"/>
              </w:rPr>
              <w:t>。</w:t>
            </w:r>
          </w:p>
          <w:p>
            <w:pPr>
              <w:ind w:firstLine="480"/>
              <w:rPr>
                <w:rFonts w:hint="default" w:ascii="Times New Roman" w:hAnsi="Times New Roman" w:cs="Times New Roman"/>
                <w:u w:val="single" w:color="auto"/>
                <w:lang w:val="en-US" w:eastAsia="zh-CN"/>
              </w:rPr>
            </w:pPr>
            <w:r>
              <w:rPr>
                <w:rFonts w:ascii="Times New Roman" w:hAnsi="Times New Roman" w:cs="Times New Roman"/>
                <w:u w:val="single" w:color="auto"/>
              </w:rPr>
              <w:t>根据</w:t>
            </w:r>
            <w:r>
              <w:rPr>
                <w:rFonts w:hint="default" w:ascii="Times New Roman" w:hAnsi="Times New Roman" w:cs="Times New Roman"/>
                <w:u w:val="single" w:color="auto"/>
              </w:rPr>
              <w:t>原环境保护部《关于印发环评管理中部分行业建设项目重大变动清单的通知》（环办[2015]52号）</w:t>
            </w:r>
            <w:r>
              <w:rPr>
                <w:rFonts w:hint="default" w:ascii="Times New Roman" w:hAnsi="Times New Roman" w:cs="Times New Roman"/>
                <w:u w:val="single" w:color="auto"/>
                <w:lang w:eastAsia="zh-CN"/>
              </w:rPr>
              <w:t>、</w:t>
            </w:r>
            <w:r>
              <w:rPr>
                <w:rFonts w:hint="default" w:ascii="Times New Roman" w:hAnsi="Times New Roman" w:cs="Times New Roman"/>
                <w:u w:val="single" w:color="auto"/>
              </w:rPr>
              <w:t>《关于印发污染影响类建设项目重大变动清单（试行）》</w:t>
            </w:r>
            <w:r>
              <w:rPr>
                <w:rFonts w:hint="default" w:ascii="Times New Roman" w:hAnsi="Times New Roman" w:cs="Times New Roman"/>
                <w:u w:val="single" w:color="auto"/>
                <w:lang w:eastAsia="zh-CN"/>
              </w:rPr>
              <w:t>（</w:t>
            </w:r>
            <w:r>
              <w:rPr>
                <w:rFonts w:hint="default" w:ascii="Times New Roman" w:hAnsi="Times New Roman" w:cs="Times New Roman"/>
                <w:u w:val="single" w:color="auto"/>
              </w:rPr>
              <w:t>环办环评函[2020]688号文</w:t>
            </w:r>
            <w:r>
              <w:rPr>
                <w:rFonts w:hint="default" w:ascii="Times New Roman" w:hAnsi="Times New Roman" w:cs="Times New Roman"/>
                <w:u w:val="single" w:color="auto"/>
                <w:lang w:eastAsia="zh-CN"/>
              </w:rPr>
              <w:t>）</w:t>
            </w:r>
            <w:r>
              <w:rPr>
                <w:rFonts w:ascii="Times New Roman" w:hAnsi="Times New Roman" w:cs="Times New Roman"/>
                <w:u w:val="single" w:color="auto"/>
              </w:rPr>
              <w:t>，</w:t>
            </w:r>
            <w:r>
              <w:rPr>
                <w:rFonts w:hint="default" w:ascii="Times New Roman" w:hAnsi="Times New Roman" w:cs="Times New Roman"/>
                <w:u w:val="single" w:color="auto"/>
                <w:lang w:eastAsia="zh-CN"/>
              </w:rPr>
              <w:t>本项目</w:t>
            </w:r>
            <w:r>
              <w:rPr>
                <w:rFonts w:hint="default" w:ascii="Times New Roman" w:hAnsi="Times New Roman" w:cs="Times New Roman"/>
                <w:u w:val="single" w:color="auto"/>
                <w:lang w:val="en-US" w:eastAsia="zh-CN"/>
              </w:rPr>
              <w:t>将</w:t>
            </w:r>
            <w:r>
              <w:rPr>
                <w:rFonts w:hint="default" w:ascii="Times New Roman" w:hAnsi="Times New Roman" w:cs="Times New Roman"/>
                <w:u w:val="single" w:color="auto"/>
                <w:lang w:eastAsia="zh-CN"/>
              </w:rPr>
              <w:t>原环评中</w:t>
            </w:r>
            <w:r>
              <w:rPr>
                <w:rFonts w:hint="default" w:ascii="Times New Roman" w:hAnsi="Times New Roman" w:cs="Times New Roman"/>
                <w:u w:val="single" w:color="auto"/>
                <w:lang w:val="en-US" w:eastAsia="zh-CN"/>
              </w:rPr>
              <w:t>2台1t/h电蒸汽发生器变更为1台0.7t/h的生物质蒸汽发生器，属“新增产品品种或生产工艺（含主要生产装置、设备及配套设施）、主要原辅材料、燃料变化，导致以下情形之一：</w:t>
            </w:r>
          </w:p>
          <w:p>
            <w:pPr>
              <w:ind w:firstLine="480"/>
              <w:rPr>
                <w:rFonts w:hint="default" w:ascii="Times New Roman" w:hAnsi="Times New Roman" w:cs="Times New Roman"/>
                <w:u w:val="single" w:color="auto"/>
                <w:lang w:val="en-US" w:eastAsia="zh-CN"/>
              </w:rPr>
            </w:pPr>
            <w:r>
              <w:rPr>
                <w:rFonts w:hint="default" w:ascii="Times New Roman" w:hAnsi="Times New Roman" w:cs="Times New Roman"/>
                <w:u w:val="single" w:color="auto"/>
                <w:lang w:val="en-US" w:eastAsia="zh-CN"/>
              </w:rPr>
              <w:t>（1）新增排放污染物种类的（毒性、挥发性降低的除外）；</w:t>
            </w:r>
          </w:p>
          <w:p>
            <w:pPr>
              <w:ind w:firstLine="480"/>
              <w:rPr>
                <w:rFonts w:hint="default" w:ascii="Times New Roman" w:hAnsi="Times New Roman" w:cs="Times New Roman"/>
                <w:u w:val="single" w:color="auto"/>
                <w:lang w:val="en-US" w:eastAsia="zh-CN"/>
              </w:rPr>
            </w:pPr>
            <w:r>
              <w:rPr>
                <w:rFonts w:hint="default" w:ascii="Times New Roman" w:hAnsi="Times New Roman" w:cs="Times New Roman"/>
                <w:u w:val="single" w:color="auto"/>
                <w:lang w:val="en-US" w:eastAsia="zh-CN"/>
              </w:rPr>
              <w:t>（2）位于环境质量不达标区的建设项目相应污染物排放量增加的；</w:t>
            </w:r>
          </w:p>
          <w:p>
            <w:pPr>
              <w:ind w:firstLine="480"/>
              <w:rPr>
                <w:rFonts w:hint="default" w:ascii="Times New Roman" w:hAnsi="Times New Roman" w:cs="Times New Roman"/>
                <w:u w:val="single" w:color="auto"/>
                <w:lang w:val="en-US" w:eastAsia="zh-CN"/>
              </w:rPr>
            </w:pPr>
            <w:r>
              <w:rPr>
                <w:rFonts w:hint="default" w:ascii="Times New Roman" w:hAnsi="Times New Roman" w:cs="Times New Roman"/>
                <w:u w:val="single" w:color="auto"/>
                <w:lang w:val="en-US" w:eastAsia="zh-CN"/>
              </w:rPr>
              <w:t>（3）废水第一类污染物排放量增加的；</w:t>
            </w:r>
          </w:p>
          <w:p>
            <w:pPr>
              <w:ind w:firstLine="480"/>
              <w:rPr>
                <w:rFonts w:ascii="Times New Roman" w:hAnsi="Times New Roman" w:cs="Times New Roman"/>
                <w:u w:val="single" w:color="auto"/>
              </w:rPr>
            </w:pPr>
            <w:r>
              <w:rPr>
                <w:rFonts w:hint="default" w:ascii="Times New Roman" w:hAnsi="Times New Roman" w:cs="Times New Roman"/>
                <w:u w:val="single" w:color="auto"/>
                <w:lang w:val="en-US" w:eastAsia="zh-CN"/>
              </w:rPr>
              <w:t>（4）其他污染物排放量增加10%及以上的”</w:t>
            </w:r>
            <w:r>
              <w:rPr>
                <w:rFonts w:hint="default" w:ascii="Times New Roman" w:hAnsi="Times New Roman" w:cs="Times New Roman"/>
                <w:u w:val="single" w:color="auto"/>
              </w:rPr>
              <w:t>。</w:t>
            </w:r>
          </w:p>
          <w:p>
            <w:pPr>
              <w:ind w:firstLine="480"/>
              <w:rPr>
                <w:rFonts w:hint="default" w:ascii="Times New Roman" w:hAnsi="Times New Roman" w:cs="Times New Roman"/>
                <w:u w:val="single" w:color="auto"/>
                <w:lang w:eastAsia="zh-CN"/>
              </w:rPr>
            </w:pPr>
            <w:r>
              <w:rPr>
                <w:rFonts w:hint="default" w:ascii="Times New Roman" w:hAnsi="Times New Roman" w:cs="Times New Roman"/>
                <w:u w:val="single" w:color="auto"/>
                <w:lang w:eastAsia="zh-CN"/>
              </w:rPr>
              <w:t>本项目</w:t>
            </w:r>
            <w:r>
              <w:rPr>
                <w:rFonts w:hint="default" w:ascii="Times New Roman" w:hAnsi="Times New Roman" w:cs="Times New Roman"/>
                <w:u w:val="single" w:color="auto"/>
                <w:lang w:val="en-US" w:eastAsia="zh-CN"/>
              </w:rPr>
              <w:t>锅炉燃料变化</w:t>
            </w:r>
            <w:r>
              <w:rPr>
                <w:rFonts w:hint="default" w:ascii="Times New Roman" w:hAnsi="Times New Roman" w:cs="Times New Roman"/>
                <w:u w:val="single" w:color="auto"/>
                <w:lang w:eastAsia="zh-CN"/>
              </w:rPr>
              <w:t>导致污染物种类的增加，新增污染因子</w:t>
            </w:r>
            <w:r>
              <w:rPr>
                <w:rFonts w:hint="default" w:ascii="Times New Roman" w:hAnsi="Times New Roman" w:cs="Times New Roman"/>
                <w:u w:val="single" w:color="auto"/>
                <w:lang w:val="en-US" w:eastAsia="zh-CN"/>
              </w:rPr>
              <w:t>SO</w:t>
            </w:r>
            <w:r>
              <w:rPr>
                <w:rFonts w:hint="default" w:ascii="Times New Roman" w:hAnsi="Times New Roman" w:cs="Times New Roman"/>
                <w:u w:val="single" w:color="auto"/>
                <w:vertAlign w:val="subscript"/>
                <w:lang w:val="en-US" w:eastAsia="zh-CN"/>
              </w:rPr>
              <w:t>2</w:t>
            </w:r>
            <w:r>
              <w:rPr>
                <w:rFonts w:hint="default" w:ascii="Times New Roman" w:hAnsi="Times New Roman" w:cs="Times New Roman"/>
                <w:u w:val="single" w:color="auto"/>
                <w:lang w:val="en-US" w:eastAsia="zh-CN"/>
              </w:rPr>
              <w:t>、NOx，因此，</w:t>
            </w:r>
            <w:r>
              <w:rPr>
                <w:rFonts w:hint="default" w:ascii="Times New Roman" w:hAnsi="Times New Roman" w:cs="Times New Roman"/>
                <w:u w:val="single" w:color="auto"/>
              </w:rPr>
              <w:t>本</w:t>
            </w:r>
            <w:r>
              <w:rPr>
                <w:rFonts w:hint="default" w:ascii="Times New Roman" w:hAnsi="Times New Roman" w:cs="Times New Roman"/>
                <w:u w:val="single" w:color="auto"/>
                <w:lang w:eastAsia="zh-CN"/>
              </w:rPr>
              <w:t>项目</w:t>
            </w:r>
            <w:r>
              <w:rPr>
                <w:rFonts w:hint="default" w:ascii="Times New Roman" w:hAnsi="Times New Roman" w:cs="Times New Roman"/>
                <w:u w:val="single" w:color="auto"/>
              </w:rPr>
              <w:t>满足重大变动判定条件，属于重大变动，因此按照原环评批复（</w:t>
            </w:r>
            <w:r>
              <w:rPr>
                <w:rFonts w:hint="default" w:ascii="Times New Roman" w:hAnsi="Times New Roman" w:cs="Times New Roman"/>
                <w:u w:val="single" w:color="auto"/>
                <w:lang w:val="en-US" w:eastAsia="zh-CN"/>
              </w:rPr>
              <w:t>州环评（泸溪）【2022】5号</w:t>
            </w:r>
            <w:r>
              <w:rPr>
                <w:rFonts w:hint="default" w:ascii="Times New Roman" w:hAnsi="Times New Roman" w:cs="Times New Roman"/>
                <w:u w:val="single" w:color="auto"/>
              </w:rPr>
              <w:t>）及《中华人民共和国环境影响评价法》、原环境保护部《关于印发环评管理中部分行业建设项目重大变动清单的通知》（环办[2015]52号）</w:t>
            </w:r>
            <w:r>
              <w:rPr>
                <w:rFonts w:hint="default" w:ascii="Times New Roman" w:hAnsi="Times New Roman" w:cs="Times New Roman"/>
                <w:u w:val="single" w:color="auto"/>
                <w:lang w:eastAsia="zh-CN"/>
              </w:rPr>
              <w:t>、</w:t>
            </w:r>
            <w:r>
              <w:rPr>
                <w:rFonts w:hint="default" w:ascii="Times New Roman" w:hAnsi="Times New Roman" w:cs="Times New Roman"/>
                <w:u w:val="single" w:color="auto"/>
              </w:rPr>
              <w:t>《关于印发污染影响类建设项目重大变动清单（试行）》</w:t>
            </w:r>
            <w:r>
              <w:rPr>
                <w:rFonts w:hint="default" w:ascii="Times New Roman" w:hAnsi="Times New Roman" w:cs="Times New Roman"/>
                <w:u w:val="single" w:color="auto"/>
                <w:lang w:eastAsia="zh-CN"/>
              </w:rPr>
              <w:t>（</w:t>
            </w:r>
            <w:r>
              <w:rPr>
                <w:rFonts w:hint="default" w:ascii="Times New Roman" w:hAnsi="Times New Roman" w:cs="Times New Roman"/>
                <w:u w:val="single" w:color="auto"/>
              </w:rPr>
              <w:t>环办环评函[2020]688号文</w:t>
            </w:r>
            <w:r>
              <w:rPr>
                <w:rFonts w:hint="default" w:ascii="Times New Roman" w:hAnsi="Times New Roman" w:cs="Times New Roman"/>
                <w:u w:val="single" w:color="auto"/>
                <w:lang w:eastAsia="zh-CN"/>
              </w:rPr>
              <w:t>）</w:t>
            </w:r>
            <w:r>
              <w:rPr>
                <w:rFonts w:hint="eastAsia" w:cs="Times New Roman"/>
                <w:u w:val="single" w:color="auto"/>
                <w:lang w:eastAsia="zh-CN"/>
              </w:rPr>
              <w:t>，</w:t>
            </w:r>
            <w:r>
              <w:rPr>
                <w:rFonts w:hint="eastAsia" w:cs="Times New Roman"/>
                <w:u w:val="single" w:color="auto"/>
                <w:lang w:val="en-US" w:eastAsia="zh-CN"/>
              </w:rPr>
              <w:t>本项目应当</w:t>
            </w:r>
            <w:r>
              <w:rPr>
                <w:rFonts w:hint="default" w:ascii="Times New Roman" w:hAnsi="Times New Roman" w:cs="Times New Roman"/>
                <w:u w:val="single" w:color="auto"/>
              </w:rPr>
              <w:t>开展项目</w:t>
            </w:r>
            <w:r>
              <w:rPr>
                <w:rFonts w:hint="eastAsia" w:cs="Times New Roman"/>
                <w:u w:val="single" w:color="auto"/>
                <w:lang w:val="en-US" w:eastAsia="zh-CN"/>
              </w:rPr>
              <w:t>变更</w:t>
            </w:r>
            <w:r>
              <w:rPr>
                <w:rFonts w:hint="default" w:ascii="Times New Roman" w:hAnsi="Times New Roman" w:cs="Times New Roman"/>
                <w:u w:val="single" w:color="auto"/>
              </w:rPr>
              <w:t>环境影响评价</w:t>
            </w:r>
            <w:r>
              <w:rPr>
                <w:rFonts w:ascii="Times New Roman" w:hAnsi="Times New Roman" w:cs="Times New Roman"/>
                <w:u w:val="single" w:color="auto"/>
              </w:rPr>
              <w:t>。</w:t>
            </w:r>
          </w:p>
          <w:p>
            <w:pPr>
              <w:ind w:firstLine="480"/>
              <w:rPr>
                <w:rFonts w:hint="default" w:ascii="Times New Roman" w:hAnsi="Times New Roman" w:cs="Times New Roman"/>
                <w:u w:val="single" w:color="auto"/>
                <w:lang w:val="en-US" w:eastAsia="zh-CN"/>
              </w:rPr>
            </w:pPr>
            <w:r>
              <w:rPr>
                <w:rFonts w:hint="default" w:ascii="Times New Roman" w:hAnsi="Times New Roman" w:cs="Times New Roman"/>
                <w:u w:val="single" w:color="auto"/>
                <w:lang w:val="en-US" w:eastAsia="zh-CN"/>
              </w:rPr>
              <w:t>因土地证为泸溪县白沙镇天然饮料厂所有，在报建过程中住建局要求土地所有者与备案建设单位主体相一致，为使该项目尽快落地，于2022年11月7日对泸溪特色米粉加工项目变更了建设单位及法人，因此本次变更建设单位由</w:t>
            </w:r>
            <w:r>
              <w:rPr>
                <w:rFonts w:hint="default" w:ascii="Times New Roman" w:hAnsi="Times New Roman" w:cs="Times New Roman"/>
                <w:u w:val="single" w:color="auto"/>
                <w:lang w:eastAsia="zh-CN"/>
              </w:rPr>
              <w:t>湘西福辛米粉有限责任公司</w:t>
            </w:r>
            <w:r>
              <w:rPr>
                <w:rFonts w:hint="default" w:ascii="Times New Roman" w:hAnsi="Times New Roman" w:cs="Times New Roman"/>
                <w:u w:val="single" w:color="auto"/>
                <w:lang w:val="en-US" w:eastAsia="zh-CN"/>
              </w:rPr>
              <w:t>变更为泸溪县白沙镇天然饮料厂。</w:t>
            </w:r>
          </w:p>
          <w:p>
            <w:pPr>
              <w:ind w:firstLine="480"/>
              <w:rPr>
                <w:rFonts w:hint="default" w:ascii="Times New Roman" w:hAnsi="Times New Roman" w:cs="Times New Roman"/>
                <w:u w:val="none" w:color="auto"/>
                <w:lang w:eastAsia="zh-CN"/>
              </w:rPr>
            </w:pPr>
            <w:r>
              <w:rPr>
                <w:rFonts w:hint="default" w:ascii="Times New Roman" w:hAnsi="Times New Roman" w:cs="Times New Roman"/>
                <w:u w:val="single" w:color="auto"/>
                <w:lang w:val="en-US" w:eastAsia="zh-CN"/>
              </w:rPr>
              <w:t>2023</w:t>
            </w:r>
            <w:r>
              <w:rPr>
                <w:rFonts w:ascii="Times New Roman" w:hAnsi="Times New Roman" w:cs="Times New Roman"/>
                <w:u w:val="single" w:color="auto"/>
              </w:rPr>
              <w:t>年</w:t>
            </w:r>
            <w:r>
              <w:rPr>
                <w:rFonts w:hint="default" w:ascii="Times New Roman" w:hAnsi="Times New Roman" w:cs="Times New Roman"/>
                <w:u w:val="single" w:color="auto"/>
                <w:lang w:val="en-US" w:eastAsia="zh-CN"/>
              </w:rPr>
              <w:t>3</w:t>
            </w:r>
            <w:r>
              <w:rPr>
                <w:rFonts w:ascii="Times New Roman" w:hAnsi="Times New Roman" w:cs="Times New Roman"/>
                <w:u w:val="single" w:color="auto"/>
              </w:rPr>
              <w:t>月，</w:t>
            </w:r>
            <w:r>
              <w:rPr>
                <w:rFonts w:hint="default" w:ascii="Times New Roman" w:hAnsi="Times New Roman" w:cs="Times New Roman"/>
                <w:u w:val="single" w:color="auto"/>
                <w:lang w:val="en-US" w:eastAsia="zh-CN"/>
              </w:rPr>
              <w:t>泸溪县白沙镇天然饮料厂</w:t>
            </w:r>
            <w:r>
              <w:rPr>
                <w:rFonts w:hint="default" w:ascii="Times New Roman" w:hAnsi="Times New Roman" w:cs="Times New Roman"/>
                <w:u w:val="single" w:color="auto"/>
              </w:rPr>
              <w:t>委托</w:t>
            </w:r>
            <w:r>
              <w:rPr>
                <w:rFonts w:hint="default" w:ascii="Times New Roman" w:hAnsi="Times New Roman" w:cs="Times New Roman"/>
                <w:u w:val="single" w:color="auto"/>
                <w:lang w:eastAsia="zh-CN"/>
              </w:rPr>
              <w:t>长沙博大环保科技有限公司</w:t>
            </w:r>
            <w:r>
              <w:rPr>
                <w:rFonts w:ascii="Times New Roman" w:hAnsi="Times New Roman" w:cs="Times New Roman"/>
                <w:u w:val="single" w:color="auto"/>
              </w:rPr>
              <w:t>重新开展项目</w:t>
            </w:r>
            <w:r>
              <w:rPr>
                <w:rFonts w:hint="eastAsia" w:cs="Times New Roman"/>
                <w:u w:val="single" w:color="auto"/>
                <w:lang w:val="en-US" w:eastAsia="zh-CN"/>
              </w:rPr>
              <w:t>变更</w:t>
            </w:r>
            <w:r>
              <w:rPr>
                <w:rFonts w:ascii="Times New Roman" w:hAnsi="Times New Roman" w:cs="Times New Roman"/>
                <w:u w:val="single" w:color="auto"/>
              </w:rPr>
              <w:t>环境影响评价工作（见附件1）。接受委托后，我公司环评技术人员按照有关环保法律法规和《环境影响评价技术导则》的要求，通过现场踏勘、收集资料、走访调查、分析评价，在建设方提供的有关文件资料的基础上</w:t>
            </w:r>
            <w:r>
              <w:rPr>
                <w:rFonts w:hint="default" w:ascii="Times New Roman" w:hAnsi="Times New Roman" w:cs="Times New Roman"/>
                <w:u w:val="single" w:color="auto"/>
                <w:lang w:val="en-US" w:eastAsia="zh-CN"/>
              </w:rPr>
              <w:t>于</w:t>
            </w:r>
            <w:r>
              <w:rPr>
                <w:rFonts w:hint="default" w:ascii="Times New Roman" w:hAnsi="Times New Roman" w:cs="Times New Roman"/>
                <w:u w:val="single" w:color="auto"/>
              </w:rPr>
              <w:t>20</w:t>
            </w:r>
            <w:r>
              <w:rPr>
                <w:rFonts w:hint="default" w:ascii="Times New Roman" w:hAnsi="Times New Roman" w:cs="Times New Roman"/>
                <w:u w:val="single" w:color="auto"/>
                <w:lang w:val="en-US" w:eastAsia="zh-CN"/>
              </w:rPr>
              <w:t>23</w:t>
            </w:r>
            <w:r>
              <w:rPr>
                <w:rFonts w:ascii="Times New Roman" w:hAnsi="Times New Roman" w:cs="Times New Roman"/>
                <w:u w:val="single" w:color="auto"/>
              </w:rPr>
              <w:t>年</w:t>
            </w:r>
            <w:r>
              <w:rPr>
                <w:rFonts w:hint="eastAsia" w:cs="Times New Roman"/>
                <w:u w:val="single" w:color="auto"/>
                <w:lang w:val="en-US" w:eastAsia="zh-CN"/>
              </w:rPr>
              <w:t>10</w:t>
            </w:r>
            <w:r>
              <w:rPr>
                <w:rFonts w:ascii="Times New Roman" w:hAnsi="Times New Roman" w:cs="Times New Roman"/>
                <w:u w:val="single" w:color="auto"/>
              </w:rPr>
              <w:t>月编写完成《</w:t>
            </w:r>
            <w:r>
              <w:rPr>
                <w:rFonts w:hint="default" w:ascii="Times New Roman" w:hAnsi="Times New Roman" w:cs="Times New Roman"/>
                <w:u w:val="single" w:color="auto"/>
                <w:lang w:eastAsia="zh-CN"/>
              </w:rPr>
              <w:t>泸溪特色米粉加工项目</w:t>
            </w:r>
            <w:r>
              <w:rPr>
                <w:rFonts w:hint="eastAsia" w:cs="Times New Roman"/>
                <w:u w:val="single" w:color="auto"/>
                <w:lang w:val="en-US" w:eastAsia="zh-CN"/>
              </w:rPr>
              <w:t>变更</w:t>
            </w:r>
            <w:r>
              <w:rPr>
                <w:rFonts w:ascii="Times New Roman" w:hAnsi="Times New Roman" w:cs="Times New Roman"/>
                <w:u w:val="single" w:color="auto"/>
              </w:rPr>
              <w:t>环境影响报告</w:t>
            </w:r>
            <w:r>
              <w:rPr>
                <w:rFonts w:hint="default" w:ascii="Times New Roman" w:hAnsi="Times New Roman" w:cs="Times New Roman"/>
                <w:u w:val="single" w:color="auto"/>
                <w:lang w:val="en-US" w:eastAsia="zh-CN"/>
              </w:rPr>
              <w:t>表</w:t>
            </w:r>
            <w:r>
              <w:rPr>
                <w:rFonts w:ascii="Times New Roman" w:hAnsi="Times New Roman" w:cs="Times New Roman"/>
                <w:u w:val="single" w:color="auto"/>
              </w:rPr>
              <w:t>》</w:t>
            </w:r>
            <w:r>
              <w:rPr>
                <w:rFonts w:hint="default" w:ascii="Times New Roman" w:hAnsi="Times New Roman" w:cs="Times New Roman"/>
                <w:u w:val="single" w:color="auto"/>
                <w:lang w:eastAsia="zh-CN"/>
              </w:rPr>
              <w:t>。</w:t>
            </w:r>
          </w:p>
          <w:p>
            <w:pPr>
              <w:pStyle w:val="7"/>
              <w:keepNext w:val="0"/>
              <w:keepLines w:val="0"/>
              <w:wordWrap/>
              <w:overflowPunct w:val="0"/>
              <w:topLinePunct w:val="0"/>
              <w:autoSpaceDE w:val="0"/>
              <w:autoSpaceDN w:val="0"/>
              <w:jc w:val="left"/>
              <w:rPr>
                <w:rFonts w:ascii="Times New Roman" w:hAnsi="Times New Roman" w:cs="Times New Roman"/>
                <w:u w:val="none" w:color="auto"/>
                <w:lang w:val="en-US"/>
              </w:rPr>
            </w:pPr>
            <w:r>
              <w:rPr>
                <w:rStyle w:val="38"/>
                <w:rFonts w:ascii="Times New Roman" w:hAnsi="Times New Roman" w:cs="Times New Roman"/>
                <w:u w:val="none" w:color="auto"/>
              </w:rPr>
              <w:t>2.2 项目开展情况</w:t>
            </w:r>
          </w:p>
          <w:p>
            <w:pPr>
              <w:widowControl/>
              <w:bidi w:val="0"/>
              <w:adjustRightInd w:val="0"/>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2022年2月22日，《关于泸溪特色米粉加工项目</w:t>
            </w:r>
            <w:r>
              <w:rPr>
                <w:rFonts w:hint="default" w:ascii="Times New Roman" w:hAnsi="Times New Roman" w:cs="Times New Roman"/>
                <w:u w:val="none" w:color="auto"/>
                <w:lang w:eastAsia="zh-CN"/>
              </w:rPr>
              <w:t>的备案证明</w:t>
            </w:r>
            <w:r>
              <w:rPr>
                <w:rFonts w:hint="default" w:ascii="Times New Roman" w:hAnsi="Times New Roman" w:cs="Times New Roman"/>
                <w:u w:val="none" w:color="auto"/>
                <w:lang w:val="en-US" w:eastAsia="zh-CN"/>
              </w:rPr>
              <w:t>》（泸发改工【2022】6号）。</w:t>
            </w:r>
          </w:p>
          <w:p>
            <w:pPr>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2022年11月7日，《关于泸溪特色米粉加工项目变更建设单位及法人</w:t>
            </w:r>
            <w:r>
              <w:rPr>
                <w:rFonts w:hint="default" w:ascii="Times New Roman" w:hAnsi="Times New Roman" w:cs="Times New Roman"/>
                <w:u w:val="none" w:color="auto"/>
                <w:lang w:eastAsia="zh-CN"/>
              </w:rPr>
              <w:t>的</w:t>
            </w:r>
            <w:r>
              <w:rPr>
                <w:rFonts w:hint="default" w:ascii="Times New Roman" w:hAnsi="Times New Roman" w:cs="Times New Roman"/>
                <w:u w:val="none" w:color="auto"/>
                <w:lang w:val="en-US" w:eastAsia="zh-CN"/>
              </w:rPr>
              <w:t>批复》（泸发改工【2022】41号）。</w:t>
            </w:r>
          </w:p>
          <w:p>
            <w:pPr>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rPr>
              <w:t>20</w:t>
            </w:r>
            <w:r>
              <w:rPr>
                <w:rFonts w:hint="default" w:ascii="Times New Roman" w:hAnsi="Times New Roman" w:cs="Times New Roman"/>
                <w:u w:val="none" w:color="auto"/>
                <w:lang w:val="en-US" w:eastAsia="zh-CN"/>
              </w:rPr>
              <w:t>22</w:t>
            </w:r>
            <w:r>
              <w:rPr>
                <w:rFonts w:hint="default" w:ascii="Times New Roman" w:hAnsi="Times New Roman" w:cs="Times New Roman"/>
                <w:u w:val="none" w:color="auto"/>
              </w:rPr>
              <w:t>年</w:t>
            </w:r>
            <w:r>
              <w:rPr>
                <w:rFonts w:hint="default" w:ascii="Times New Roman" w:hAnsi="Times New Roman" w:cs="Times New Roman"/>
                <w:u w:val="none" w:color="auto"/>
                <w:lang w:val="en-US" w:eastAsia="zh-CN"/>
              </w:rPr>
              <w:t>3</w:t>
            </w:r>
            <w:r>
              <w:rPr>
                <w:rFonts w:hint="default" w:ascii="Times New Roman" w:hAnsi="Times New Roman" w:cs="Times New Roman"/>
                <w:u w:val="none" w:color="auto"/>
              </w:rPr>
              <w:t>月</w:t>
            </w:r>
            <w:r>
              <w:rPr>
                <w:rFonts w:hint="default" w:ascii="Times New Roman" w:hAnsi="Times New Roman" w:cs="Times New Roman"/>
                <w:u w:val="none" w:color="auto"/>
                <w:lang w:eastAsia="zh-CN"/>
              </w:rPr>
              <w:t>，</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泸溪特色米粉加工项目</w:t>
            </w:r>
            <w:r>
              <w:rPr>
                <w:rFonts w:hint="default" w:ascii="Times New Roman" w:hAnsi="Times New Roman" w:cs="Times New Roman"/>
                <w:u w:val="none" w:color="auto"/>
              </w:rPr>
              <w:t>环境影响报告</w:t>
            </w:r>
            <w:r>
              <w:rPr>
                <w:rFonts w:hint="default" w:ascii="Times New Roman" w:hAnsi="Times New Roman" w:cs="Times New Roman"/>
                <w:u w:val="none" w:color="auto"/>
                <w:lang w:val="en-US" w:eastAsia="zh-CN"/>
              </w:rPr>
              <w:t>表</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长沙博大环保科技有限公司</w:t>
            </w:r>
            <w:r>
              <w:rPr>
                <w:rFonts w:hint="default" w:ascii="Times New Roman" w:hAnsi="Times New Roman" w:cs="Times New Roman"/>
                <w:u w:val="none" w:color="auto"/>
                <w:lang w:eastAsia="zh-CN"/>
              </w:rPr>
              <w:t>。</w:t>
            </w:r>
          </w:p>
          <w:p>
            <w:pPr>
              <w:bidi w:val="0"/>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rPr>
              <w:t>20</w:t>
            </w:r>
            <w:r>
              <w:rPr>
                <w:rFonts w:hint="eastAsia" w:cs="Times New Roman"/>
                <w:highlight w:val="none"/>
                <w:u w:val="none" w:color="auto"/>
                <w:lang w:val="en-US" w:eastAsia="zh-CN"/>
              </w:rPr>
              <w:t>22</w:t>
            </w:r>
            <w:r>
              <w:rPr>
                <w:rFonts w:hint="default" w:ascii="Times New Roman" w:hAnsi="Times New Roman" w:cs="Times New Roman"/>
                <w:highlight w:val="none"/>
                <w:u w:val="none" w:color="auto"/>
              </w:rPr>
              <w:t>年</w:t>
            </w:r>
            <w:r>
              <w:rPr>
                <w:rFonts w:hint="eastAsia" w:cs="Times New Roman"/>
                <w:highlight w:val="none"/>
                <w:u w:val="none" w:color="auto"/>
                <w:lang w:val="en-US" w:eastAsia="zh-CN"/>
              </w:rPr>
              <w:t>3</w:t>
            </w:r>
            <w:r>
              <w:rPr>
                <w:rFonts w:hint="default" w:ascii="Times New Roman" w:hAnsi="Times New Roman" w:cs="Times New Roman"/>
                <w:highlight w:val="none"/>
                <w:u w:val="none" w:color="auto"/>
              </w:rPr>
              <w:t>月</w:t>
            </w:r>
            <w:r>
              <w:rPr>
                <w:rFonts w:hint="eastAsia" w:cs="Times New Roman"/>
                <w:highlight w:val="none"/>
                <w:u w:val="none" w:color="auto"/>
                <w:lang w:val="en-US" w:eastAsia="zh-CN"/>
              </w:rPr>
              <w:t>11</w:t>
            </w:r>
            <w:r>
              <w:rPr>
                <w:rFonts w:hint="default" w:ascii="Times New Roman" w:hAnsi="Times New Roman" w:cs="Times New Roman"/>
                <w:highlight w:val="none"/>
                <w:u w:val="none" w:color="auto"/>
              </w:rPr>
              <w:t>日</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rPr>
              <w:t>《</w:t>
            </w:r>
            <w:r>
              <w:rPr>
                <w:rFonts w:hint="default" w:ascii="Times New Roman" w:hAnsi="Times New Roman" w:cs="Times New Roman"/>
                <w:highlight w:val="none"/>
                <w:u w:val="none" w:color="auto"/>
                <w:lang w:eastAsia="zh-CN"/>
              </w:rPr>
              <w:t>湘西自治州生态环境局</w:t>
            </w:r>
            <w:r>
              <w:rPr>
                <w:rFonts w:hint="default" w:ascii="Times New Roman" w:hAnsi="Times New Roman" w:cs="Times New Roman"/>
                <w:highlight w:val="none"/>
                <w:u w:val="none" w:color="auto"/>
                <w:lang w:val="en-US" w:eastAsia="zh-CN"/>
              </w:rPr>
              <w:t>泸溪分局</w:t>
            </w:r>
            <w:r>
              <w:rPr>
                <w:rFonts w:hint="default" w:ascii="Times New Roman" w:hAnsi="Times New Roman" w:cs="Times New Roman"/>
                <w:highlight w:val="none"/>
                <w:u w:val="none" w:color="auto"/>
              </w:rPr>
              <w:t>关于泸溪特色米粉加工项目环境影响报告</w:t>
            </w:r>
            <w:r>
              <w:rPr>
                <w:rFonts w:hint="default" w:ascii="Times New Roman" w:hAnsi="Times New Roman" w:cs="Times New Roman"/>
                <w:highlight w:val="none"/>
                <w:u w:val="none" w:color="auto"/>
                <w:lang w:val="en-US" w:eastAsia="zh-CN"/>
              </w:rPr>
              <w:t>表</w:t>
            </w:r>
            <w:r>
              <w:rPr>
                <w:rFonts w:hint="default" w:ascii="Times New Roman" w:hAnsi="Times New Roman" w:cs="Times New Roman"/>
                <w:highlight w:val="none"/>
                <w:u w:val="none" w:color="auto"/>
              </w:rPr>
              <w:t>的批复》</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lang w:val="en-US" w:eastAsia="zh-CN"/>
              </w:rPr>
              <w:t>州环评（泸溪）</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lang w:val="en-US" w:eastAsia="zh-CN"/>
              </w:rPr>
              <w:t>2022</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lang w:val="en-US" w:eastAsia="zh-CN"/>
              </w:rPr>
              <w:t>5</w:t>
            </w:r>
            <w:r>
              <w:rPr>
                <w:rFonts w:hint="default" w:ascii="Times New Roman" w:hAnsi="Times New Roman" w:cs="Times New Roman"/>
                <w:highlight w:val="none"/>
                <w:u w:val="none" w:color="auto"/>
              </w:rPr>
              <w:t>号</w:t>
            </w:r>
            <w:r>
              <w:rPr>
                <w:rFonts w:hint="default" w:ascii="Times New Roman" w:hAnsi="Times New Roman" w:cs="Times New Roman"/>
                <w:highlight w:val="none"/>
                <w:u w:val="none" w:color="auto"/>
                <w:lang w:eastAsia="zh-CN"/>
              </w:rPr>
              <w:t>）。</w:t>
            </w:r>
          </w:p>
          <w:p>
            <w:pPr>
              <w:adjustRightInd w:val="0"/>
              <w:snapToGrid w:val="0"/>
              <w:ind w:firstLine="480" w:firstLineChars="200"/>
              <w:rPr>
                <w:rFonts w:ascii="Times New Roman" w:hAnsi="Times New Roman" w:cs="Times New Roman"/>
                <w:u w:val="none" w:color="auto"/>
              </w:rPr>
            </w:pPr>
            <w:r>
              <w:rPr>
                <w:rFonts w:hint="default" w:ascii="Times New Roman" w:hAnsi="Times New Roman" w:cs="Times New Roman"/>
                <w:u w:val="none" w:color="auto"/>
                <w:lang w:val="en-US" w:eastAsia="zh-CN"/>
              </w:rPr>
              <w:t>2023</w:t>
            </w:r>
            <w:r>
              <w:rPr>
                <w:rFonts w:hint="default" w:ascii="Times New Roman" w:hAnsi="Times New Roman" w:cs="Times New Roman"/>
                <w:u w:val="none" w:color="auto"/>
              </w:rPr>
              <w:t>年</w:t>
            </w:r>
            <w:r>
              <w:rPr>
                <w:rFonts w:hint="default" w:ascii="Times New Roman" w:hAnsi="Times New Roman" w:cs="Times New Roman"/>
                <w:u w:val="none" w:color="auto"/>
                <w:lang w:val="en-US" w:eastAsia="zh-CN"/>
              </w:rPr>
              <w:t>3</w:t>
            </w:r>
            <w:r>
              <w:rPr>
                <w:rFonts w:hint="default" w:ascii="Times New Roman" w:hAnsi="Times New Roman" w:cs="Times New Roman"/>
                <w:u w:val="none" w:color="auto"/>
              </w:rPr>
              <w:t>月</w:t>
            </w:r>
            <w:r>
              <w:rPr>
                <w:rFonts w:ascii="Times New Roman" w:hAnsi="Times New Roman" w:cs="Times New Roman"/>
                <w:u w:val="none" w:color="auto"/>
              </w:rPr>
              <w:t>项目</w:t>
            </w:r>
            <w:r>
              <w:rPr>
                <w:rFonts w:hint="default" w:ascii="Times New Roman" w:hAnsi="Times New Roman" w:cs="Times New Roman"/>
                <w:u w:val="none" w:color="auto"/>
                <w:lang w:eastAsia="zh-CN"/>
              </w:rPr>
              <w:t>开始动工</w:t>
            </w:r>
            <w:r>
              <w:rPr>
                <w:rFonts w:ascii="Times New Roman" w:hAnsi="Times New Roman" w:cs="Times New Roman"/>
                <w:u w:val="none" w:color="auto"/>
              </w:rPr>
              <w:t>，建设过程因</w:t>
            </w:r>
            <w:r>
              <w:rPr>
                <w:rFonts w:hint="default" w:ascii="Times New Roman" w:hAnsi="Times New Roman" w:cs="Times New Roman"/>
                <w:u w:val="none" w:color="auto"/>
                <w:lang w:eastAsia="zh-CN"/>
              </w:rPr>
              <w:t>设备调整</w:t>
            </w:r>
            <w:r>
              <w:rPr>
                <w:rFonts w:ascii="Times New Roman" w:hAnsi="Times New Roman" w:cs="Times New Roman"/>
                <w:u w:val="none" w:color="auto"/>
              </w:rPr>
              <w:t>，项目建设内容发生变更，主要变更内容包括</w:t>
            </w:r>
            <w:r>
              <w:rPr>
                <w:rFonts w:hint="default" w:ascii="Times New Roman" w:hAnsi="Times New Roman" w:cs="Times New Roman"/>
                <w:u w:val="none" w:color="auto"/>
                <w:lang w:eastAsia="zh-CN"/>
              </w:rPr>
              <w:t>设备</w:t>
            </w:r>
            <w:r>
              <w:rPr>
                <w:rFonts w:ascii="Times New Roman" w:hAnsi="Times New Roman" w:cs="Times New Roman"/>
                <w:u w:val="none" w:color="auto"/>
              </w:rPr>
              <w:t>数量、布置位置等。具体变更如下：</w:t>
            </w:r>
          </w:p>
          <w:p>
            <w:pPr>
              <w:pStyle w:val="71"/>
              <w:bidi w:val="0"/>
              <w:rPr>
                <w:rFonts w:ascii="Times New Roman" w:hAnsi="Times New Roman" w:cs="Times New Roman"/>
                <w:u w:val="none" w:color="auto"/>
              </w:rPr>
            </w:pPr>
            <w:r>
              <w:rPr>
                <w:rFonts w:hint="default" w:ascii="Times New Roman" w:hAnsi="Times New Roman" w:cs="Times New Roman"/>
                <w:u w:val="none" w:color="auto"/>
                <w:lang w:val="en-US" w:eastAsia="zh-CN"/>
              </w:rPr>
              <w:t>表2.2-1：</w:t>
            </w:r>
            <w:r>
              <w:rPr>
                <w:rFonts w:ascii="Times New Roman" w:hAnsi="Times New Roman" w:cs="Times New Roman"/>
                <w:u w:val="none" w:color="auto"/>
              </w:rPr>
              <w:t>项目</w:t>
            </w:r>
            <w:r>
              <w:rPr>
                <w:rFonts w:hint="default" w:ascii="Times New Roman" w:hAnsi="Times New Roman" w:cs="Times New Roman"/>
                <w:u w:val="none" w:color="auto"/>
                <w:lang w:eastAsia="zh-CN"/>
              </w:rPr>
              <w:t>工程内容</w:t>
            </w:r>
            <w:r>
              <w:rPr>
                <w:rFonts w:ascii="Times New Roman" w:hAnsi="Times New Roman" w:cs="Times New Roman"/>
                <w:u w:val="none" w:color="auto"/>
              </w:rPr>
              <w:t>变动情况一览表</w:t>
            </w:r>
          </w:p>
          <w:tbl>
            <w:tblPr>
              <w:tblStyle w:val="28"/>
              <w:tblW w:w="4951"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477"/>
              <w:gridCol w:w="1063"/>
              <w:gridCol w:w="1388"/>
              <w:gridCol w:w="1223"/>
              <w:gridCol w:w="1225"/>
              <w:gridCol w:w="1242"/>
              <w:gridCol w:w="1245"/>
            </w:tblGrid>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79" w:type="pct"/>
                  <w:tcBorders>
                    <w:tl2br w:val="nil"/>
                    <w:tr2bl w:val="nil"/>
                  </w:tcBorders>
                  <w:noWrap w:val="0"/>
                  <w:vAlign w:val="center"/>
                </w:tcPr>
                <w:p>
                  <w:pPr>
                    <w:pStyle w:val="70"/>
                    <w:bidi w:val="0"/>
                    <w:rPr>
                      <w:rFonts w:ascii="Times New Roman" w:hAnsi="Times New Roman" w:cs="Times New Roman"/>
                      <w:b/>
                      <w:bCs/>
                      <w:u w:val="none" w:color="auto"/>
                    </w:rPr>
                  </w:pPr>
                  <w:r>
                    <w:rPr>
                      <w:rFonts w:ascii="Times New Roman" w:hAnsi="Times New Roman" w:cs="Times New Roman"/>
                      <w:b/>
                      <w:bCs/>
                      <w:u w:val="none" w:color="auto"/>
                    </w:rPr>
                    <w:t>序号</w:t>
                  </w:r>
                </w:p>
              </w:tc>
              <w:tc>
                <w:tcPr>
                  <w:tcW w:w="924" w:type="pct"/>
                  <w:gridSpan w:val="2"/>
                  <w:tcBorders>
                    <w:tl2br w:val="nil"/>
                    <w:tr2bl w:val="nil"/>
                  </w:tcBorders>
                  <w:noWrap w:val="0"/>
                  <w:vAlign w:val="center"/>
                </w:tcPr>
                <w:p>
                  <w:pPr>
                    <w:pStyle w:val="70"/>
                    <w:bidi w:val="0"/>
                    <w:rPr>
                      <w:rFonts w:ascii="Times New Roman" w:hAnsi="Times New Roman" w:cs="Times New Roman"/>
                      <w:b/>
                      <w:bCs/>
                      <w:u w:val="none" w:color="auto"/>
                    </w:rPr>
                  </w:pPr>
                  <w:r>
                    <w:rPr>
                      <w:rFonts w:hint="default" w:ascii="Times New Roman" w:hAnsi="Times New Roman" w:cs="Times New Roman"/>
                      <w:b/>
                      <w:bCs/>
                      <w:u w:val="none" w:color="auto"/>
                    </w:rPr>
                    <w:t>类别</w:t>
                  </w:r>
                </w:p>
              </w:tc>
              <w:tc>
                <w:tcPr>
                  <w:tcW w:w="1567" w:type="pct"/>
                  <w:gridSpan w:val="2"/>
                  <w:tcBorders>
                    <w:tl2br w:val="nil"/>
                    <w:tr2bl w:val="nil"/>
                  </w:tcBorders>
                  <w:noWrap w:val="0"/>
                  <w:vAlign w:val="center"/>
                </w:tcPr>
                <w:p>
                  <w:pPr>
                    <w:pStyle w:val="70"/>
                    <w:bidi w:val="0"/>
                    <w:rPr>
                      <w:rFonts w:hint="default" w:ascii="Times New Roman" w:hAnsi="Times New Roman" w:cs="Times New Roman"/>
                      <w:b/>
                      <w:bCs/>
                      <w:u w:val="none" w:color="auto"/>
                      <w:lang w:val="en-US" w:eastAsia="zh-CN"/>
                    </w:rPr>
                  </w:pPr>
                  <w:r>
                    <w:rPr>
                      <w:rFonts w:hint="default" w:ascii="Times New Roman" w:hAnsi="Times New Roman" w:cs="Times New Roman"/>
                      <w:b/>
                      <w:bCs/>
                      <w:u w:val="none" w:color="auto"/>
                      <w:lang w:val="en-US" w:eastAsia="zh-CN"/>
                    </w:rPr>
                    <w:t>原环评</w:t>
                  </w:r>
                </w:p>
              </w:tc>
              <w:tc>
                <w:tcPr>
                  <w:tcW w:w="1480" w:type="pct"/>
                  <w:gridSpan w:val="2"/>
                  <w:tcBorders>
                    <w:tl2br w:val="nil"/>
                    <w:tr2bl w:val="nil"/>
                  </w:tcBorders>
                  <w:noWrap w:val="0"/>
                  <w:vAlign w:val="center"/>
                </w:tcPr>
                <w:p>
                  <w:pPr>
                    <w:pStyle w:val="70"/>
                    <w:bidi w:val="0"/>
                    <w:rPr>
                      <w:rFonts w:hint="default" w:ascii="Times New Roman" w:hAnsi="Times New Roman" w:cs="Times New Roman"/>
                      <w:b/>
                      <w:bCs/>
                      <w:u w:val="none" w:color="auto"/>
                      <w:lang w:eastAsia="zh-CN"/>
                    </w:rPr>
                  </w:pPr>
                  <w:r>
                    <w:rPr>
                      <w:rFonts w:hint="default" w:ascii="Times New Roman" w:hAnsi="Times New Roman" w:cs="Times New Roman"/>
                      <w:b/>
                      <w:bCs/>
                      <w:u w:val="none" w:color="auto"/>
                    </w:rPr>
                    <w:t>本</w:t>
                  </w:r>
                  <w:r>
                    <w:rPr>
                      <w:rFonts w:hint="default" w:ascii="Times New Roman" w:hAnsi="Times New Roman" w:cs="Times New Roman"/>
                      <w:b/>
                      <w:bCs/>
                      <w:u w:val="none" w:color="auto"/>
                      <w:lang w:val="en-US" w:eastAsia="zh-CN"/>
                    </w:rPr>
                    <w:t>环评</w:t>
                  </w:r>
                </w:p>
              </w:tc>
              <w:tc>
                <w:tcPr>
                  <w:tcW w:w="747" w:type="pct"/>
                  <w:tcBorders>
                    <w:tl2br w:val="nil"/>
                    <w:tr2bl w:val="nil"/>
                  </w:tcBorders>
                  <w:noWrap w:val="0"/>
                  <w:vAlign w:val="center"/>
                </w:tcPr>
                <w:p>
                  <w:pPr>
                    <w:pStyle w:val="70"/>
                    <w:bidi w:val="0"/>
                    <w:rPr>
                      <w:rFonts w:hint="default" w:ascii="Times New Roman" w:hAnsi="Times New Roman" w:cs="Times New Roman"/>
                      <w:b/>
                      <w:bCs/>
                      <w:u w:val="none" w:color="auto"/>
                      <w:lang w:eastAsia="zh-CN"/>
                    </w:rPr>
                  </w:pPr>
                  <w:r>
                    <w:rPr>
                      <w:rFonts w:hint="default" w:ascii="Times New Roman" w:hAnsi="Times New Roman" w:cs="Times New Roman"/>
                      <w:b/>
                      <w:bCs/>
                      <w:u w:val="none" w:color="auto"/>
                      <w:lang w:val="en-US" w:eastAsia="zh-CN"/>
                    </w:rPr>
                    <w:t>变动情况</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79"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w:t>
                  </w:r>
                </w:p>
              </w:tc>
              <w:tc>
                <w:tcPr>
                  <w:tcW w:w="924"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eastAsia="zh-CN"/>
                    </w:rPr>
                    <w:t>生产设备</w:t>
                  </w:r>
                </w:p>
              </w:tc>
              <w:tc>
                <w:tcPr>
                  <w:tcW w:w="1567"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w:t>
                  </w:r>
                  <w:r>
                    <w:rPr>
                      <w:rFonts w:hint="default" w:ascii="Times New Roman" w:hAnsi="Times New Roman" w:cs="Times New Roman"/>
                      <w:u w:val="none" w:color="auto"/>
                      <w:lang w:eastAsia="zh-CN"/>
                    </w:rPr>
                    <w:t>台</w:t>
                  </w:r>
                  <w:r>
                    <w:rPr>
                      <w:rFonts w:hint="default" w:ascii="Times New Roman" w:hAnsi="Times New Roman" w:cs="Times New Roman"/>
                      <w:u w:val="none" w:color="auto"/>
                      <w:lang w:val="en-US" w:eastAsia="zh-CN"/>
                    </w:rPr>
                    <w:t>1.0</w:t>
                  </w:r>
                  <w:r>
                    <w:rPr>
                      <w:rFonts w:hint="default" w:ascii="Times New Roman" w:hAnsi="Times New Roman" w:cs="Times New Roman"/>
                      <w:u w:val="none" w:color="auto"/>
                      <w:lang w:eastAsia="zh-CN"/>
                    </w:rPr>
                    <w:t>t/h</w:t>
                  </w:r>
                  <w:r>
                    <w:rPr>
                      <w:rFonts w:hint="default" w:ascii="Times New Roman" w:hAnsi="Times New Roman" w:cs="Times New Roman"/>
                      <w:u w:val="none" w:color="auto"/>
                      <w:lang w:val="en-US" w:eastAsia="zh-CN"/>
                    </w:rPr>
                    <w:t>电</w:t>
                  </w:r>
                  <w:r>
                    <w:rPr>
                      <w:rFonts w:hint="default" w:ascii="Times New Roman" w:hAnsi="Times New Roman" w:cs="Times New Roman"/>
                      <w:u w:val="none" w:color="auto"/>
                      <w:lang w:eastAsia="zh-CN"/>
                    </w:rPr>
                    <w:t>蒸汽</w:t>
                  </w:r>
                  <w:r>
                    <w:rPr>
                      <w:rFonts w:hint="default" w:ascii="Times New Roman" w:hAnsi="Times New Roman" w:cs="Times New Roman"/>
                      <w:u w:val="none" w:color="auto"/>
                      <w:lang w:val="en-US" w:eastAsia="zh-CN"/>
                    </w:rPr>
                    <w:t>发生器</w:t>
                  </w:r>
                </w:p>
              </w:tc>
              <w:tc>
                <w:tcPr>
                  <w:tcW w:w="1480"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eastAsia="zh-CN"/>
                    </w:rPr>
                    <w:t>台</w:t>
                  </w:r>
                  <w:r>
                    <w:rPr>
                      <w:rFonts w:hint="default" w:ascii="Times New Roman" w:hAnsi="Times New Roman" w:cs="Times New Roman"/>
                      <w:u w:val="none" w:color="auto"/>
                      <w:lang w:val="en-US" w:eastAsia="zh-CN"/>
                    </w:rPr>
                    <w:t>0.7</w:t>
                  </w:r>
                  <w:r>
                    <w:rPr>
                      <w:rFonts w:hint="default" w:ascii="Times New Roman" w:hAnsi="Times New Roman" w:cs="Times New Roman"/>
                      <w:u w:val="none" w:color="auto"/>
                      <w:lang w:eastAsia="zh-CN"/>
                    </w:rPr>
                    <w:t>t/h</w:t>
                  </w:r>
                  <w:r>
                    <w:rPr>
                      <w:rFonts w:hint="default" w:ascii="Times New Roman" w:hAnsi="Times New Roman" w:cs="Times New Roman"/>
                      <w:u w:val="none" w:color="auto"/>
                      <w:lang w:val="en-US" w:eastAsia="zh-CN"/>
                    </w:rPr>
                    <w:t>生物质</w:t>
                  </w:r>
                  <w:r>
                    <w:rPr>
                      <w:rFonts w:hint="default" w:ascii="Times New Roman" w:hAnsi="Times New Roman" w:cs="Times New Roman"/>
                      <w:u w:val="none" w:color="auto"/>
                      <w:lang w:eastAsia="zh-CN"/>
                    </w:rPr>
                    <w:t>蒸汽</w:t>
                  </w:r>
                  <w:r>
                    <w:rPr>
                      <w:rFonts w:hint="default" w:ascii="Times New Roman" w:hAnsi="Times New Roman" w:cs="Times New Roman"/>
                      <w:u w:val="none" w:color="auto"/>
                      <w:lang w:val="en-US" w:eastAsia="zh-CN"/>
                    </w:rPr>
                    <w:t>发生器</w:t>
                  </w:r>
                </w:p>
              </w:tc>
              <w:tc>
                <w:tcPr>
                  <w:tcW w:w="747"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rPr>
                    <w:t>变更</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79" w:type="pct"/>
                  <w:vMerge w:val="restar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2</w:t>
                  </w:r>
                </w:p>
              </w:tc>
              <w:tc>
                <w:tcPr>
                  <w:tcW w:w="286" w:type="pct"/>
                  <w:vMerge w:val="restar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原料用量</w:t>
                  </w:r>
                </w:p>
              </w:tc>
              <w:tc>
                <w:tcPr>
                  <w:tcW w:w="638" w:type="pct"/>
                  <w:vMerge w:val="restar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生物质成型燃料</w:t>
                  </w:r>
                </w:p>
              </w:tc>
              <w:tc>
                <w:tcPr>
                  <w:tcW w:w="1567"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w:t>
                  </w:r>
                </w:p>
              </w:tc>
              <w:tc>
                <w:tcPr>
                  <w:tcW w:w="1480"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eastAsia" w:ascii="Times New Roman" w:hAnsi="Times New Roman" w:cs="Times New Roman"/>
                      <w:u w:val="none" w:color="auto"/>
                      <w:lang w:val="en-US" w:eastAsia="zh-CN"/>
                    </w:rPr>
                    <w:t>300</w:t>
                  </w:r>
                  <w:r>
                    <w:rPr>
                      <w:rFonts w:hint="default" w:ascii="Times New Roman" w:hAnsi="Times New Roman" w:cs="Times New Roman"/>
                      <w:u w:val="none" w:color="auto"/>
                      <w:lang w:val="en-US" w:eastAsia="zh-CN"/>
                    </w:rPr>
                    <w:t>吨/年</w:t>
                  </w:r>
                </w:p>
              </w:tc>
              <w:tc>
                <w:tcPr>
                  <w:tcW w:w="747" w:type="pct"/>
                  <w:vMerge w:val="restar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变更</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79" w:type="pct"/>
                  <w:vMerge w:val="restart"/>
                  <w:tcBorders>
                    <w:tl2br w:val="nil"/>
                    <w:tr2bl w:val="nil"/>
                  </w:tcBorders>
                  <w:noWrap w:val="0"/>
                  <w:vAlign w:val="center"/>
                </w:tcPr>
                <w:p>
                  <w:pPr>
                    <w:pStyle w:val="70"/>
                    <w:bidi w:val="0"/>
                    <w:rPr>
                      <w:rFonts w:ascii="Times New Roman" w:hAnsi="Times New Roman" w:cs="Times New Roman"/>
                      <w:u w:val="none" w:color="auto"/>
                      <w:lang w:eastAsia="zh-CN"/>
                    </w:rPr>
                  </w:pPr>
                  <w:r>
                    <w:rPr>
                      <w:rFonts w:hint="default" w:ascii="Times New Roman" w:hAnsi="Times New Roman" w:cs="Times New Roman"/>
                      <w:u w:val="none" w:color="auto"/>
                      <w:lang w:val="en-US" w:eastAsia="zh-CN"/>
                    </w:rPr>
                    <w:t>3</w:t>
                  </w:r>
                </w:p>
              </w:tc>
              <w:tc>
                <w:tcPr>
                  <w:tcW w:w="286" w:type="pct"/>
                  <w:vMerge w:val="restar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主体</w:t>
                  </w:r>
                </w:p>
                <w:p>
                  <w:pPr>
                    <w:pStyle w:val="70"/>
                    <w:bidi w:val="0"/>
                    <w:rPr>
                      <w:rFonts w:ascii="Times New Roman" w:hAnsi="Times New Roman" w:cs="Times New Roman"/>
                      <w:u w:val="none" w:color="auto"/>
                      <w:lang w:eastAsia="zh-CN"/>
                    </w:rPr>
                  </w:pPr>
                  <w:r>
                    <w:rPr>
                      <w:rFonts w:hint="default" w:ascii="Times New Roman" w:hAnsi="Times New Roman" w:cs="Times New Roman"/>
                      <w:u w:val="none" w:color="auto"/>
                      <w:lang w:eastAsia="zh-CN"/>
                    </w:rPr>
                    <w:t>工程</w:t>
                  </w:r>
                </w:p>
              </w:tc>
              <w:tc>
                <w:tcPr>
                  <w:tcW w:w="638" w:type="pct"/>
                  <w:vMerge w:val="restar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生产车间</w:t>
                  </w:r>
                </w:p>
              </w:tc>
              <w:tc>
                <w:tcPr>
                  <w:tcW w:w="833"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干米粉</w:t>
                  </w:r>
                  <w:r>
                    <w:rPr>
                      <w:rFonts w:hint="default" w:ascii="Times New Roman" w:hAnsi="Times New Roman" w:cs="Times New Roman"/>
                      <w:u w:val="none" w:color="auto"/>
                      <w:lang w:eastAsia="zh-CN"/>
                    </w:rPr>
                    <w:t>生产</w:t>
                  </w:r>
                  <w:r>
                    <w:rPr>
                      <w:rFonts w:hint="default" w:ascii="Times New Roman" w:hAnsi="Times New Roman" w:cs="Times New Roman"/>
                      <w:u w:val="none" w:color="auto"/>
                    </w:rPr>
                    <w:t>车间</w:t>
                  </w:r>
                  <w:r>
                    <w:rPr>
                      <w:rFonts w:hint="default" w:ascii="Times New Roman" w:hAnsi="Times New Roman" w:cs="Times New Roman"/>
                      <w:u w:val="none" w:color="auto"/>
                      <w:lang w:eastAsia="zh-CN"/>
                    </w:rPr>
                    <w:t>：</w:t>
                  </w:r>
                  <w:r>
                    <w:rPr>
                      <w:rFonts w:hint="default" w:ascii="Times New Roman" w:hAnsi="Times New Roman" w:cs="Times New Roman"/>
                      <w:u w:val="none" w:color="auto"/>
                    </w:rPr>
                    <w:t>128m</w:t>
                  </w:r>
                  <w:r>
                    <w:rPr>
                      <w:rFonts w:hint="default" w:ascii="Times New Roman" w:hAnsi="Times New Roman" w:cs="Times New Roman"/>
                      <w:u w:val="none" w:color="auto"/>
                      <w:vertAlign w:val="superscript"/>
                    </w:rPr>
                    <w:t>2</w:t>
                  </w:r>
                </w:p>
              </w:tc>
              <w:tc>
                <w:tcPr>
                  <w:tcW w:w="734" w:type="pct"/>
                  <w:vMerge w:val="restar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1栋2层，混凝土构筑物，约700</w:t>
                  </w:r>
                  <w:r>
                    <w:rPr>
                      <w:rFonts w:hint="default" w:ascii="Times New Roman" w:hAnsi="Times New Roman" w:cs="Times New Roman"/>
                      <w:u w:val="none" w:color="auto"/>
                      <w:lang w:val="en-US"/>
                    </w:rPr>
                    <w:t>m</w:t>
                  </w:r>
                  <w:r>
                    <w:rPr>
                      <w:rFonts w:hint="default" w:ascii="Times New Roman" w:hAnsi="Times New Roman" w:cs="Times New Roman"/>
                      <w:u w:val="none" w:color="auto"/>
                      <w:vertAlign w:val="superscript"/>
                      <w:lang w:val="en-US"/>
                    </w:rPr>
                    <w:t>2</w:t>
                  </w:r>
                </w:p>
              </w:tc>
              <w:tc>
                <w:tcPr>
                  <w:tcW w:w="735" w:type="pct"/>
                  <w:vMerge w:val="restart"/>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湿米粉生产线1条</w:t>
                  </w:r>
                </w:p>
              </w:tc>
              <w:tc>
                <w:tcPr>
                  <w:tcW w:w="745" w:type="pct"/>
                  <w:vMerge w:val="restart"/>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1栋，钢架式构筑物，约420</w:t>
                  </w:r>
                  <w:r>
                    <w:rPr>
                      <w:rFonts w:hint="default" w:ascii="Times New Roman" w:hAnsi="Times New Roman" w:cs="Times New Roman"/>
                      <w:u w:val="none" w:color="auto"/>
                      <w:lang w:val="en-US"/>
                    </w:rPr>
                    <w:t>m</w:t>
                  </w:r>
                  <w:r>
                    <w:rPr>
                      <w:rFonts w:hint="default" w:ascii="Times New Roman" w:hAnsi="Times New Roman" w:cs="Times New Roman"/>
                      <w:u w:val="none" w:color="auto"/>
                      <w:vertAlign w:val="superscript"/>
                      <w:lang w:val="en-US"/>
                    </w:rPr>
                    <w:t>2</w:t>
                  </w:r>
                </w:p>
              </w:tc>
              <w:tc>
                <w:tcPr>
                  <w:tcW w:w="747" w:type="pct"/>
                  <w:vMerge w:val="restart"/>
                  <w:tcBorders>
                    <w:tl2br w:val="nil"/>
                    <w:tr2bl w:val="nil"/>
                  </w:tcBorders>
                  <w:noWrap w:val="0"/>
                  <w:vAlign w:val="center"/>
                </w:tcPr>
                <w:p>
                  <w:pPr>
                    <w:pStyle w:val="70"/>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变更，考虑到市场需求以及场地的限制，湿米粉生产线分为两期建设，一期、二期规模均为1800t/a，二期湿米粉生产线与干米粉生产线不在本次评价范围之内，远期另行征地建设</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79"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286"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638"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833"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湿米粉</w:t>
                  </w:r>
                  <w:r>
                    <w:rPr>
                      <w:rFonts w:hint="default" w:ascii="Times New Roman" w:hAnsi="Times New Roman" w:cs="Times New Roman"/>
                      <w:u w:val="none" w:color="auto"/>
                      <w:lang w:eastAsia="zh-CN"/>
                    </w:rPr>
                    <w:t>生产</w:t>
                  </w:r>
                  <w:r>
                    <w:rPr>
                      <w:rFonts w:hint="default" w:ascii="Times New Roman" w:hAnsi="Times New Roman" w:cs="Times New Roman"/>
                      <w:u w:val="none" w:color="auto"/>
                    </w:rPr>
                    <w:t>车间</w:t>
                  </w:r>
                  <w:r>
                    <w:rPr>
                      <w:rFonts w:hint="default" w:ascii="Times New Roman" w:hAnsi="Times New Roman" w:cs="Times New Roman"/>
                      <w:u w:val="none" w:color="auto"/>
                      <w:lang w:eastAsia="zh-CN"/>
                    </w:rPr>
                    <w:t>：</w:t>
                  </w:r>
                  <w:r>
                    <w:rPr>
                      <w:rFonts w:hint="default" w:ascii="Times New Roman" w:hAnsi="Times New Roman" w:cs="Times New Roman"/>
                      <w:u w:val="none" w:color="auto"/>
                    </w:rPr>
                    <w:t>400m</w:t>
                  </w:r>
                  <w:r>
                    <w:rPr>
                      <w:rFonts w:hint="default" w:ascii="Times New Roman" w:hAnsi="Times New Roman" w:cs="Times New Roman"/>
                      <w:u w:val="none" w:color="auto"/>
                      <w:vertAlign w:val="superscript"/>
                    </w:rPr>
                    <w:t>2</w:t>
                  </w:r>
                </w:p>
              </w:tc>
              <w:tc>
                <w:tcPr>
                  <w:tcW w:w="734" w:type="pct"/>
                  <w:vMerge w:val="continue"/>
                  <w:tcBorders>
                    <w:tl2br w:val="nil"/>
                    <w:tr2bl w:val="nil"/>
                  </w:tcBorders>
                  <w:noWrap w:val="0"/>
                  <w:vAlign w:val="center"/>
                </w:tcPr>
                <w:p>
                  <w:pPr>
                    <w:pStyle w:val="70"/>
                    <w:bidi w:val="0"/>
                    <w:rPr>
                      <w:rFonts w:hint="default" w:ascii="Times New Roman" w:hAnsi="Times New Roman" w:cs="Times New Roman"/>
                      <w:u w:val="none" w:color="auto"/>
                      <w:lang w:val="en-US" w:eastAsia="zh-CN"/>
                    </w:rPr>
                  </w:pPr>
                </w:p>
              </w:tc>
              <w:tc>
                <w:tcPr>
                  <w:tcW w:w="735" w:type="pct"/>
                  <w:vMerge w:val="continue"/>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p>
              </w:tc>
              <w:tc>
                <w:tcPr>
                  <w:tcW w:w="745" w:type="pct"/>
                  <w:vMerge w:val="continue"/>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p>
              </w:tc>
              <w:tc>
                <w:tcPr>
                  <w:tcW w:w="747" w:type="pct"/>
                  <w:vMerge w:val="continue"/>
                  <w:tcBorders>
                    <w:tl2br w:val="nil"/>
                    <w:tr2bl w:val="nil"/>
                  </w:tcBorders>
                  <w:noWrap w:val="0"/>
                  <w:vAlign w:val="center"/>
                </w:tcPr>
                <w:p>
                  <w:pPr>
                    <w:pStyle w:val="70"/>
                    <w:bidi w:val="0"/>
                    <w:rPr>
                      <w:rFonts w:hint="default" w:ascii="Times New Roman" w:hAnsi="Times New Roman" w:cs="Times New Roman"/>
                      <w:u w:val="none" w:color="auto"/>
                    </w:rPr>
                  </w:pP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79"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286"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638"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rPr>
                    <w:t>锅炉房</w:t>
                  </w:r>
                </w:p>
              </w:tc>
              <w:tc>
                <w:tcPr>
                  <w:tcW w:w="1567"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w:t>
                  </w:r>
                </w:p>
              </w:tc>
              <w:tc>
                <w:tcPr>
                  <w:tcW w:w="1480" w:type="pct"/>
                  <w:gridSpan w:val="2"/>
                  <w:tcBorders>
                    <w:tl2br w:val="nil"/>
                    <w:tr2bl w:val="nil"/>
                  </w:tcBorders>
                  <w:noWrap w:val="0"/>
                  <w:vAlign w:val="center"/>
                </w:tcPr>
                <w:p>
                  <w:pPr>
                    <w:pStyle w:val="70"/>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生物质蒸汽发生器放置于生产车间内的蒸煮车间内</w:t>
                  </w:r>
                </w:p>
              </w:tc>
              <w:tc>
                <w:tcPr>
                  <w:tcW w:w="747" w:type="pc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变更</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79"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286"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638"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rPr>
                    <w:t>污水处理</w:t>
                  </w:r>
                  <w:r>
                    <w:rPr>
                      <w:rFonts w:hint="default" w:ascii="Times New Roman" w:hAnsi="Times New Roman" w:cs="Times New Roman"/>
                      <w:u w:val="none" w:color="auto"/>
                      <w:lang w:eastAsia="zh-CN"/>
                    </w:rPr>
                    <w:t>间</w:t>
                  </w:r>
                </w:p>
              </w:tc>
              <w:tc>
                <w:tcPr>
                  <w:tcW w:w="1567"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处理规模为65m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/d，位于生产车间下方</w:t>
                  </w:r>
                </w:p>
              </w:tc>
              <w:tc>
                <w:tcPr>
                  <w:tcW w:w="1480" w:type="pct"/>
                  <w:gridSpan w:val="2"/>
                  <w:tcBorders>
                    <w:tl2br w:val="nil"/>
                    <w:tr2bl w:val="nil"/>
                  </w:tcBorders>
                  <w:noWrap w:val="0"/>
                  <w:vAlign w:val="center"/>
                </w:tcPr>
                <w:p>
                  <w:pPr>
                    <w:pStyle w:val="70"/>
                    <w:bidi w:val="0"/>
                    <w:rPr>
                      <w:rFonts w:hint="default" w:ascii="Times New Roman" w:hAnsi="Times New Roman" w:cs="Times New Roman"/>
                      <w:highlight w:val="none"/>
                      <w:u w:val="none" w:color="auto"/>
                    </w:rPr>
                  </w:pPr>
                  <w:r>
                    <w:rPr>
                      <w:rFonts w:hint="default" w:ascii="Times New Roman" w:hAnsi="Times New Roman" w:cs="Times New Roman"/>
                      <w:highlight w:val="none"/>
                      <w:u w:val="none" w:color="auto"/>
                      <w:lang w:val="en-US" w:eastAsia="zh-CN"/>
                    </w:rPr>
                    <w:t>处理规模为</w:t>
                  </w:r>
                  <w:r>
                    <w:rPr>
                      <w:rFonts w:hint="eastAsia" w:cs="Times New Roman"/>
                      <w:highlight w:val="none"/>
                      <w:u w:val="none" w:color="auto"/>
                      <w:lang w:val="en-US" w:eastAsia="zh-CN"/>
                    </w:rPr>
                    <w:t>50</w:t>
                  </w:r>
                  <w:r>
                    <w:rPr>
                      <w:rFonts w:hint="default" w:ascii="Times New Roman" w:hAnsi="Times New Roman" w:cs="Times New Roman"/>
                      <w:highlight w:val="none"/>
                      <w:u w:val="none" w:color="auto"/>
                      <w:lang w:val="en-US" w:eastAsia="zh-CN"/>
                    </w:rPr>
                    <w:t>m</w:t>
                  </w:r>
                  <w:r>
                    <w:rPr>
                      <w:rFonts w:hint="default" w:ascii="Times New Roman" w:hAnsi="Times New Roman" w:cs="Times New Roman"/>
                      <w:highlight w:val="none"/>
                      <w:u w:val="none" w:color="auto"/>
                      <w:vertAlign w:val="superscript"/>
                      <w:lang w:val="en-US" w:eastAsia="zh-CN"/>
                    </w:rPr>
                    <w:t>3</w:t>
                  </w:r>
                  <w:r>
                    <w:rPr>
                      <w:rFonts w:hint="default" w:ascii="Times New Roman" w:hAnsi="Times New Roman" w:cs="Times New Roman"/>
                      <w:highlight w:val="none"/>
                      <w:u w:val="none" w:color="auto"/>
                      <w:lang w:val="en-US" w:eastAsia="zh-CN"/>
                    </w:rPr>
                    <w:t>/d，位于生产车间南侧</w:t>
                  </w:r>
                </w:p>
              </w:tc>
              <w:tc>
                <w:tcPr>
                  <w:tcW w:w="747" w:type="pct"/>
                  <w:tcBorders>
                    <w:tl2br w:val="nil"/>
                    <w:tr2bl w:val="nil"/>
                  </w:tcBorders>
                  <w:noWrap w:val="0"/>
                  <w:vAlign w:val="center"/>
                </w:tcPr>
                <w:p>
                  <w:pPr>
                    <w:pStyle w:val="70"/>
                    <w:bidi w:val="0"/>
                    <w:rPr>
                      <w:rFonts w:hint="default" w:ascii="Times New Roman" w:hAnsi="Times New Roman" w:cs="Times New Roman"/>
                      <w:highlight w:val="none"/>
                      <w:u w:val="none" w:color="auto"/>
                      <w:lang w:eastAsia="zh-CN"/>
                    </w:rPr>
                  </w:pPr>
                  <w:r>
                    <w:rPr>
                      <w:rFonts w:hint="default" w:ascii="Times New Roman" w:hAnsi="Times New Roman" w:cs="Times New Roman"/>
                      <w:highlight w:val="none"/>
                      <w:u w:val="none" w:color="auto"/>
                      <w:lang w:val="en-US" w:eastAsia="zh-CN"/>
                    </w:rPr>
                    <w:t>变更</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279" w:type="pct"/>
                  <w:vMerge w:val="restar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4</w:t>
                  </w:r>
                </w:p>
              </w:tc>
              <w:tc>
                <w:tcPr>
                  <w:tcW w:w="286" w:type="pct"/>
                  <w:vMerge w:val="restar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公用工程</w:t>
                  </w:r>
                </w:p>
              </w:tc>
              <w:tc>
                <w:tcPr>
                  <w:tcW w:w="638"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rPr>
                    <w:t>供热</w:t>
                  </w:r>
                </w:p>
              </w:tc>
              <w:tc>
                <w:tcPr>
                  <w:tcW w:w="1567"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2个1.0</w:t>
                  </w:r>
                  <w:r>
                    <w:rPr>
                      <w:rFonts w:hint="default" w:ascii="Times New Roman" w:hAnsi="Times New Roman" w:cs="Times New Roman"/>
                      <w:u w:val="none" w:color="auto"/>
                    </w:rPr>
                    <w:t>t/h</w:t>
                  </w:r>
                  <w:r>
                    <w:rPr>
                      <w:rFonts w:hint="default" w:ascii="Times New Roman" w:hAnsi="Times New Roman" w:cs="Times New Roman"/>
                      <w:u w:val="none" w:color="auto"/>
                      <w:lang w:val="en-US" w:eastAsia="zh-CN"/>
                    </w:rPr>
                    <w:t>的电蒸汽发生器</w:t>
                  </w:r>
                  <w:r>
                    <w:rPr>
                      <w:rFonts w:hint="default" w:ascii="Times New Roman" w:hAnsi="Times New Roman" w:cs="Times New Roman"/>
                      <w:u w:val="none" w:color="auto"/>
                    </w:rPr>
                    <w:t>，用于</w:t>
                  </w:r>
                  <w:r>
                    <w:rPr>
                      <w:rFonts w:hint="default" w:ascii="Times New Roman" w:hAnsi="Times New Roman" w:cs="Times New Roman"/>
                      <w:u w:val="none" w:color="auto"/>
                      <w:lang w:val="en-US" w:eastAsia="zh-CN"/>
                    </w:rPr>
                    <w:t>提供蒸汽、以及干米粉</w:t>
                  </w:r>
                  <w:r>
                    <w:rPr>
                      <w:rFonts w:hint="default" w:ascii="Times New Roman" w:hAnsi="Times New Roman" w:cs="Times New Roman"/>
                      <w:u w:val="none" w:color="auto"/>
                    </w:rPr>
                    <w:t>的烘干</w:t>
                  </w:r>
                </w:p>
              </w:tc>
              <w:tc>
                <w:tcPr>
                  <w:tcW w:w="1480" w:type="pct"/>
                  <w:gridSpan w:val="2"/>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1个0.7</w:t>
                  </w:r>
                  <w:r>
                    <w:rPr>
                      <w:rFonts w:hint="default" w:ascii="Times New Roman" w:hAnsi="Times New Roman" w:cs="Times New Roman"/>
                      <w:u w:val="none" w:color="auto"/>
                    </w:rPr>
                    <w:t>t/h</w:t>
                  </w:r>
                  <w:r>
                    <w:rPr>
                      <w:rFonts w:hint="default" w:ascii="Times New Roman" w:hAnsi="Times New Roman" w:cs="Times New Roman"/>
                      <w:u w:val="none" w:color="auto"/>
                      <w:lang w:val="en-US" w:eastAsia="zh-CN"/>
                    </w:rPr>
                    <w:t>的生物质蒸汽发生器</w:t>
                  </w:r>
                  <w:r>
                    <w:rPr>
                      <w:rFonts w:hint="default" w:ascii="Times New Roman" w:hAnsi="Times New Roman" w:cs="Times New Roman"/>
                      <w:u w:val="none" w:color="auto"/>
                    </w:rPr>
                    <w:t>，用于</w:t>
                  </w:r>
                  <w:r>
                    <w:rPr>
                      <w:rFonts w:hint="default" w:ascii="Times New Roman" w:hAnsi="Times New Roman" w:cs="Times New Roman"/>
                      <w:u w:val="none" w:color="auto"/>
                      <w:lang w:val="en-US" w:eastAsia="zh-CN"/>
                    </w:rPr>
                    <w:t>提供蒸汽</w:t>
                  </w:r>
                </w:p>
              </w:tc>
              <w:tc>
                <w:tcPr>
                  <w:tcW w:w="747" w:type="pc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变更</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79" w:type="pct"/>
                  <w:vMerge w:val="restar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5</w:t>
                  </w:r>
                </w:p>
              </w:tc>
              <w:tc>
                <w:tcPr>
                  <w:tcW w:w="286" w:type="pct"/>
                  <w:vMerge w:val="restar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环保工程</w:t>
                  </w:r>
                </w:p>
              </w:tc>
              <w:tc>
                <w:tcPr>
                  <w:tcW w:w="638" w:type="pc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废气</w:t>
                  </w:r>
                </w:p>
              </w:tc>
              <w:tc>
                <w:tcPr>
                  <w:tcW w:w="1567" w:type="pct"/>
                  <w:gridSpan w:val="2"/>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w:t>
                  </w:r>
                </w:p>
              </w:tc>
              <w:tc>
                <w:tcPr>
                  <w:tcW w:w="1480" w:type="pct"/>
                  <w:gridSpan w:val="2"/>
                  <w:tcBorders>
                    <w:tl2br w:val="nil"/>
                    <w:tr2bl w:val="nil"/>
                  </w:tcBorders>
                  <w:noWrap w:val="0"/>
                  <w:vAlign w:val="center"/>
                </w:tcPr>
                <w:p>
                  <w:pPr>
                    <w:pStyle w:val="70"/>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湿式</w:t>
                  </w:r>
                  <w:r>
                    <w:rPr>
                      <w:rFonts w:hint="default" w:ascii="Times New Roman" w:hAnsi="Times New Roman" w:cs="Times New Roman"/>
                      <w:u w:val="none" w:color="auto"/>
                    </w:rPr>
                    <w:t>除尘处理后</w:t>
                  </w:r>
                  <w:r>
                    <w:rPr>
                      <w:rFonts w:hint="default" w:ascii="Times New Roman" w:hAnsi="Times New Roman" w:cs="Times New Roman"/>
                      <w:u w:val="none" w:color="auto"/>
                      <w:lang w:val="en-US" w:eastAsia="zh-CN"/>
                    </w:rPr>
                    <w:t>20</w:t>
                  </w:r>
                  <w:r>
                    <w:rPr>
                      <w:rFonts w:hint="default" w:ascii="Times New Roman" w:hAnsi="Times New Roman" w:cs="Times New Roman"/>
                      <w:u w:val="none" w:color="auto"/>
                    </w:rPr>
                    <w:t>m</w:t>
                  </w:r>
                  <w:r>
                    <w:rPr>
                      <w:rFonts w:hint="default" w:ascii="Times New Roman" w:hAnsi="Times New Roman" w:cs="Times New Roman"/>
                      <w:u w:val="none" w:color="auto"/>
                      <w:lang w:eastAsia="zh-CN"/>
                    </w:rPr>
                    <w:t>米排气筒高空排放</w:t>
                  </w:r>
                </w:p>
              </w:tc>
              <w:tc>
                <w:tcPr>
                  <w:tcW w:w="747" w:type="pct"/>
                  <w:tcBorders>
                    <w:tl2br w:val="nil"/>
                    <w:tr2bl w:val="nil"/>
                  </w:tcBorders>
                  <w:noWrap w:val="0"/>
                  <w:vAlign w:val="center"/>
                </w:tcPr>
                <w:p>
                  <w:pPr>
                    <w:pStyle w:val="70"/>
                    <w:bidi w:val="0"/>
                    <w:rPr>
                      <w:rFonts w:hint="default" w:ascii="Times New Roman" w:hAnsi="Times New Roman" w:cs="Times New Roman"/>
                      <w:u w:val="none" w:color="auto"/>
                    </w:rPr>
                  </w:pPr>
                  <w:r>
                    <w:rPr>
                      <w:rFonts w:hint="default" w:ascii="Times New Roman" w:hAnsi="Times New Roman" w:cs="Times New Roman"/>
                      <w:u w:val="none" w:color="auto"/>
                    </w:rPr>
                    <w:t>变更</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79"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286"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638" w:type="pct"/>
                  <w:vMerge w:val="restar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废水</w:t>
                  </w:r>
                </w:p>
              </w:tc>
              <w:tc>
                <w:tcPr>
                  <w:tcW w:w="1567"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eastAsia="zh-CN"/>
                    </w:rPr>
                  </w:pPr>
                  <w:r>
                    <w:rPr>
                      <w:rFonts w:hint="default" w:ascii="Times New Roman" w:hAnsi="Times New Roman" w:cs="Times New Roman"/>
                      <w:u w:val="none" w:color="auto"/>
                      <w:lang w:val="en-US"/>
                    </w:rPr>
                    <w:t>生活污水</w:t>
                  </w:r>
                  <w:r>
                    <w:rPr>
                      <w:rFonts w:hint="default" w:ascii="Times New Roman" w:hAnsi="Times New Roman" w:cs="Times New Roman"/>
                      <w:u w:val="none" w:color="auto"/>
                      <w:lang w:val="en-US" w:eastAsia="zh-CN"/>
                    </w:rPr>
                    <w:t>由</w:t>
                  </w:r>
                  <w:r>
                    <w:rPr>
                      <w:rFonts w:hint="default" w:ascii="Times New Roman" w:hAnsi="Times New Roman" w:cs="Times New Roman"/>
                      <w:u w:val="none" w:color="auto"/>
                      <w:lang w:val="en-US"/>
                    </w:rPr>
                    <w:t>化粪池收集后</w:t>
                  </w:r>
                  <w:r>
                    <w:rPr>
                      <w:rFonts w:hint="default" w:ascii="Times New Roman" w:hAnsi="Times New Roman" w:cs="Times New Roman"/>
                      <w:u w:val="none" w:color="auto"/>
                      <w:lang w:val="en-US" w:eastAsia="zh-CN"/>
                    </w:rPr>
                    <w:t>外运作为农肥</w:t>
                  </w:r>
                  <w:r>
                    <w:rPr>
                      <w:rFonts w:hint="default" w:ascii="Times New Roman" w:hAnsi="Times New Roman" w:cs="Times New Roman"/>
                      <w:u w:val="none" w:color="auto"/>
                      <w:lang w:val="en-US"/>
                    </w:rPr>
                    <w:t>。生产废水经厂区自建</w:t>
                  </w:r>
                  <w:r>
                    <w:rPr>
                      <w:rFonts w:hint="default" w:ascii="Times New Roman" w:hAnsi="Times New Roman" w:cs="Times New Roman"/>
                      <w:u w:val="none" w:color="auto"/>
                      <w:lang w:val="en-US" w:eastAsia="zh-CN"/>
                    </w:rPr>
                    <w:t>地埋式</w:t>
                  </w:r>
                  <w:r>
                    <w:rPr>
                      <w:rFonts w:hint="default" w:ascii="Times New Roman" w:hAnsi="Times New Roman" w:cs="Times New Roman"/>
                      <w:u w:val="none" w:color="auto"/>
                      <w:lang w:val="en-US"/>
                    </w:rPr>
                    <w:t>污水处理站处理后达到</w:t>
                  </w:r>
                  <w:r>
                    <w:rPr>
                      <w:rFonts w:hint="default" w:ascii="Times New Roman" w:hAnsi="Times New Roman" w:cs="Times New Roman"/>
                      <w:u w:val="none" w:color="auto"/>
                      <w:lang w:eastAsia="zh-CN"/>
                    </w:rPr>
                    <w:t>《农田灌溉水质标准》（GB5084-20</w:t>
                  </w:r>
                  <w:r>
                    <w:rPr>
                      <w:rFonts w:hint="default" w:ascii="Times New Roman" w:hAnsi="Times New Roman" w:cs="Times New Roman"/>
                      <w:u w:val="none" w:color="auto"/>
                      <w:lang w:val="en-US" w:eastAsia="zh-CN"/>
                    </w:rPr>
                    <w:t>21</w:t>
                  </w:r>
                  <w:r>
                    <w:rPr>
                      <w:rFonts w:hint="default" w:ascii="Times New Roman" w:hAnsi="Times New Roman" w:cs="Times New Roman"/>
                      <w:u w:val="none" w:color="auto"/>
                      <w:lang w:eastAsia="zh-CN"/>
                    </w:rPr>
                    <w:t>）中的</w:t>
                  </w:r>
                  <w:r>
                    <w:rPr>
                      <w:rFonts w:hint="default" w:ascii="Times New Roman" w:hAnsi="Times New Roman" w:cs="Times New Roman"/>
                      <w:u w:val="none" w:color="auto"/>
                      <w:lang w:val="en-US" w:eastAsia="zh-CN"/>
                    </w:rPr>
                    <w:t>水田</w:t>
                  </w:r>
                  <w:r>
                    <w:rPr>
                      <w:rFonts w:hint="default" w:ascii="Times New Roman" w:hAnsi="Times New Roman" w:cs="Times New Roman"/>
                      <w:u w:val="none" w:color="auto"/>
                      <w:lang w:eastAsia="zh-CN"/>
                    </w:rPr>
                    <w:t>标准后</w:t>
                  </w:r>
                  <w:r>
                    <w:rPr>
                      <w:rFonts w:hint="default" w:ascii="Times New Roman" w:hAnsi="Times New Roman" w:cs="Times New Roman"/>
                      <w:u w:val="none" w:color="auto"/>
                    </w:rPr>
                    <w:t>用作农灌</w:t>
                  </w:r>
                </w:p>
              </w:tc>
              <w:tc>
                <w:tcPr>
                  <w:tcW w:w="1480" w:type="pct"/>
                  <w:gridSpan w:val="2"/>
                  <w:tcBorders>
                    <w:tl2br w:val="nil"/>
                    <w:tr2bl w:val="nil"/>
                  </w:tcBorders>
                  <w:noWrap w:val="0"/>
                  <w:vAlign w:val="center"/>
                </w:tcPr>
                <w:p>
                  <w:pPr>
                    <w:pStyle w:val="70"/>
                    <w:bidi w:val="0"/>
                    <w:ind w:left="0" w:leftChars="0" w:right="0" w:rightChars="0" w:firstLine="0" w:firstLineChars="0"/>
                    <w:rPr>
                      <w:rFonts w:ascii="Times New Roman" w:hAnsi="Times New Roman" w:cs="Times New Roman"/>
                      <w:u w:val="none" w:color="auto"/>
                    </w:rPr>
                  </w:pPr>
                  <w:r>
                    <w:rPr>
                      <w:rFonts w:hint="default" w:ascii="Times New Roman" w:hAnsi="Times New Roman" w:cs="Times New Roman"/>
                      <w:u w:val="none" w:color="auto"/>
                    </w:rPr>
                    <w:t>项目生活污水与生产过程中产生的废水进入自建污水处理设施后处理达到</w:t>
                  </w:r>
                  <w:r>
                    <w:rPr>
                      <w:rFonts w:hint="default" w:ascii="Times New Roman" w:hAnsi="Times New Roman" w:cs="Times New Roman"/>
                      <w:u w:val="none" w:color="auto"/>
                      <w:lang w:eastAsia="zh-CN"/>
                    </w:rPr>
                    <w:t>《农田灌溉水质标准》（GB5084-20</w:t>
                  </w:r>
                  <w:r>
                    <w:rPr>
                      <w:rFonts w:hint="default" w:ascii="Times New Roman" w:hAnsi="Times New Roman" w:cs="Times New Roman"/>
                      <w:u w:val="none" w:color="auto"/>
                      <w:lang w:val="en-US" w:eastAsia="zh-CN"/>
                    </w:rPr>
                    <w:t>21</w:t>
                  </w:r>
                  <w:r>
                    <w:rPr>
                      <w:rFonts w:hint="default" w:ascii="Times New Roman" w:hAnsi="Times New Roman" w:cs="Times New Roman"/>
                      <w:u w:val="none" w:color="auto"/>
                      <w:lang w:eastAsia="zh-CN"/>
                    </w:rPr>
                    <w:t>）中的</w:t>
                  </w:r>
                  <w:r>
                    <w:rPr>
                      <w:rFonts w:hint="default" w:ascii="Times New Roman" w:hAnsi="Times New Roman" w:cs="Times New Roman"/>
                      <w:u w:val="none" w:color="auto"/>
                      <w:lang w:val="en-US" w:eastAsia="zh-CN"/>
                    </w:rPr>
                    <w:t>水田</w:t>
                  </w:r>
                  <w:r>
                    <w:rPr>
                      <w:rFonts w:hint="default" w:ascii="Times New Roman" w:hAnsi="Times New Roman" w:cs="Times New Roman"/>
                      <w:u w:val="none" w:color="auto"/>
                      <w:lang w:eastAsia="zh-CN"/>
                    </w:rPr>
                    <w:t>标准后</w:t>
                  </w:r>
                  <w:r>
                    <w:rPr>
                      <w:rFonts w:hint="default" w:ascii="Times New Roman" w:hAnsi="Times New Roman" w:cs="Times New Roman"/>
                      <w:u w:val="none" w:color="auto"/>
                    </w:rPr>
                    <w:t>用作农灌</w:t>
                  </w:r>
                </w:p>
              </w:tc>
              <w:tc>
                <w:tcPr>
                  <w:tcW w:w="747" w:type="pct"/>
                  <w:vMerge w:val="restar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rPr>
                    <w:t>生活污水</w:t>
                  </w:r>
                  <w:r>
                    <w:rPr>
                      <w:rFonts w:hint="default" w:ascii="Times New Roman" w:hAnsi="Times New Roman" w:cs="Times New Roman"/>
                      <w:u w:val="none" w:color="auto"/>
                      <w:lang w:val="en-US" w:eastAsia="zh-CN"/>
                    </w:rPr>
                    <w:t>处置方式变更</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79" w:type="pct"/>
                  <w:vMerge w:val="continue"/>
                  <w:tcBorders>
                    <w:tl2br w:val="nil"/>
                    <w:tr2bl w:val="nil"/>
                  </w:tcBorders>
                  <w:noWrap w:val="0"/>
                  <w:vAlign w:val="center"/>
                </w:tcPr>
                <w:p>
                  <w:pPr>
                    <w:pStyle w:val="70"/>
                    <w:bidi w:val="0"/>
                    <w:rPr>
                      <w:rFonts w:hint="default" w:ascii="Times New Roman" w:hAnsi="Times New Roman" w:cs="Times New Roman"/>
                      <w:u w:val="none" w:color="auto"/>
                      <w:lang w:val="en-US" w:eastAsia="zh-CN"/>
                    </w:rPr>
                  </w:pPr>
                </w:p>
              </w:tc>
              <w:tc>
                <w:tcPr>
                  <w:tcW w:w="286"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638" w:type="pct"/>
                  <w:vMerge w:val="restart"/>
                  <w:tcBorders>
                    <w:tl2br w:val="nil"/>
                    <w:tr2bl w:val="nil"/>
                  </w:tcBorders>
                  <w:noWrap w:val="0"/>
                  <w:vAlign w:val="center"/>
                </w:tcPr>
                <w:p>
                  <w:pPr>
                    <w:pStyle w:val="70"/>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固废</w:t>
                  </w:r>
                </w:p>
              </w:tc>
              <w:tc>
                <w:tcPr>
                  <w:tcW w:w="1567"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w:t>
                  </w:r>
                </w:p>
              </w:tc>
              <w:tc>
                <w:tcPr>
                  <w:tcW w:w="1480"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rPr>
                  </w:pPr>
                  <w:r>
                    <w:rPr>
                      <w:rFonts w:hint="default" w:ascii="Times New Roman" w:hAnsi="Times New Roman" w:cs="Times New Roman"/>
                      <w:u w:val="none" w:color="auto"/>
                      <w:lang w:val="en-US" w:eastAsia="zh-CN"/>
                    </w:rPr>
                    <w:t>除尘灰及</w:t>
                  </w:r>
                  <w:r>
                    <w:rPr>
                      <w:rFonts w:hint="default" w:ascii="Times New Roman" w:hAnsi="Times New Roman" w:cs="Times New Roman"/>
                      <w:u w:val="none" w:color="auto"/>
                      <w:lang w:eastAsia="zh-CN"/>
                    </w:rPr>
                    <w:t>锅炉灰渣交由附近村庄农户用作肥料</w:t>
                  </w:r>
                </w:p>
              </w:tc>
              <w:tc>
                <w:tcPr>
                  <w:tcW w:w="747"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新增</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79"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286"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638"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1567"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w:t>
                  </w:r>
                </w:p>
              </w:tc>
              <w:tc>
                <w:tcPr>
                  <w:tcW w:w="1480"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检验室固废</w:t>
                  </w:r>
                  <w:r>
                    <w:rPr>
                      <w:rFonts w:hint="default" w:ascii="Times New Roman" w:hAnsi="Times New Roman" w:cs="Times New Roman"/>
                      <w:u w:val="none" w:color="auto"/>
                      <w:lang w:eastAsia="zh-CN"/>
                    </w:rPr>
                    <w:t>交由环卫部门清运</w:t>
                  </w:r>
                  <w:r>
                    <w:rPr>
                      <w:rFonts w:hint="eastAsia" w:cs="Times New Roman"/>
                      <w:u w:val="none" w:color="auto"/>
                      <w:lang w:eastAsia="zh-CN"/>
                    </w:rPr>
                    <w:t>，</w:t>
                  </w:r>
                  <w:r>
                    <w:rPr>
                      <w:rFonts w:hint="eastAsia" w:cs="Times New Roman"/>
                      <w:u w:val="none" w:color="auto"/>
                      <w:lang w:val="en-US" w:eastAsia="zh-CN"/>
                    </w:rPr>
                    <w:t>培养基经高温灭活后可按一般固废处置</w:t>
                  </w:r>
                </w:p>
              </w:tc>
              <w:tc>
                <w:tcPr>
                  <w:tcW w:w="747"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新增</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79"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286"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638"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1567"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eastAsia" w:ascii="Times New Roman" w:hAnsi="Times New Roman" w:cs="Times New Roman"/>
                      <w:u w:val="none" w:color="auto"/>
                      <w:lang w:val="en-US" w:eastAsia="zh-CN"/>
                    </w:rPr>
                    <w:t>/</w:t>
                  </w:r>
                </w:p>
              </w:tc>
              <w:tc>
                <w:tcPr>
                  <w:tcW w:w="1480"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eastAsia"/>
                      <w:sz w:val="21"/>
                      <w:szCs w:val="21"/>
                      <w:u w:val="none" w:color="auto"/>
                      <w:lang w:eastAsia="zh-CN"/>
                    </w:rPr>
                    <w:t>过滤器（</w:t>
                  </w:r>
                  <w:r>
                    <w:rPr>
                      <w:rFonts w:hint="eastAsia"/>
                      <w:sz w:val="21"/>
                      <w:szCs w:val="21"/>
                      <w:u w:val="none" w:color="auto"/>
                      <w:lang w:val="en-US" w:eastAsia="zh-CN"/>
                    </w:rPr>
                    <w:t>含活性炭</w:t>
                  </w:r>
                  <w:r>
                    <w:rPr>
                      <w:rFonts w:hint="eastAsia"/>
                      <w:sz w:val="21"/>
                      <w:szCs w:val="21"/>
                      <w:u w:val="none" w:color="auto"/>
                      <w:lang w:eastAsia="zh-CN"/>
                    </w:rPr>
                    <w:t>）、反渗透膜经处理后可以重复使用，</w:t>
                  </w:r>
                  <w:r>
                    <w:rPr>
                      <w:rFonts w:hint="eastAsia"/>
                      <w:sz w:val="21"/>
                      <w:szCs w:val="21"/>
                      <w:u w:val="none" w:color="auto"/>
                      <w:lang w:val="en-US" w:eastAsia="zh-CN"/>
                    </w:rPr>
                    <w:t>与废树脂一同</w:t>
                  </w:r>
                  <w:r>
                    <w:rPr>
                      <w:rFonts w:hint="eastAsia"/>
                      <w:sz w:val="21"/>
                      <w:szCs w:val="21"/>
                      <w:u w:val="none" w:color="auto"/>
                      <w:lang w:eastAsia="zh-CN"/>
                    </w:rPr>
                    <w:t>由设备服务公司回收</w:t>
                  </w:r>
                </w:p>
              </w:tc>
              <w:tc>
                <w:tcPr>
                  <w:tcW w:w="747"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新增</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79"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286"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638" w:type="pct"/>
                  <w:vMerge w:val="continue"/>
                  <w:tcBorders>
                    <w:tl2br w:val="nil"/>
                    <w:tr2bl w:val="nil"/>
                  </w:tcBorders>
                  <w:noWrap w:val="0"/>
                  <w:vAlign w:val="center"/>
                </w:tcPr>
                <w:p>
                  <w:pPr>
                    <w:pStyle w:val="70"/>
                    <w:bidi w:val="0"/>
                    <w:rPr>
                      <w:rFonts w:hint="default" w:ascii="Times New Roman" w:hAnsi="Times New Roman" w:cs="Times New Roman"/>
                      <w:u w:val="none" w:color="auto"/>
                      <w:lang w:eastAsia="zh-CN"/>
                    </w:rPr>
                  </w:pPr>
                </w:p>
              </w:tc>
              <w:tc>
                <w:tcPr>
                  <w:tcW w:w="1567"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w:t>
                  </w:r>
                </w:p>
              </w:tc>
              <w:tc>
                <w:tcPr>
                  <w:tcW w:w="1480" w:type="pct"/>
                  <w:gridSpan w:val="2"/>
                  <w:tcBorders>
                    <w:tl2br w:val="nil"/>
                    <w:tr2bl w:val="nil"/>
                  </w:tcBorders>
                  <w:noWrap w:val="0"/>
                  <w:vAlign w:val="center"/>
                </w:tcPr>
                <w:p>
                  <w:pPr>
                    <w:pStyle w:val="70"/>
                    <w:bidi w:val="0"/>
                    <w:ind w:left="0" w:leftChars="0" w:right="0" w:rightChars="0" w:firstLine="0" w:firstLineChars="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废紫外灯管</w:t>
                  </w:r>
                  <w:r>
                    <w:rPr>
                      <w:rFonts w:hint="eastAsia" w:cs="Times New Roman"/>
                      <w:u w:val="none" w:color="auto"/>
                      <w:lang w:val="en-US" w:eastAsia="zh-CN"/>
                    </w:rPr>
                    <w:t>、检验室废液</w:t>
                  </w:r>
                  <w:r>
                    <w:rPr>
                      <w:rFonts w:hint="default" w:ascii="Times New Roman" w:hAnsi="Times New Roman" w:cs="Times New Roman"/>
                      <w:u w:val="none" w:color="auto"/>
                      <w:lang w:eastAsia="zh-CN"/>
                    </w:rPr>
                    <w:t>属于</w:t>
                  </w:r>
                  <w:r>
                    <w:rPr>
                      <w:rFonts w:hint="default" w:ascii="Times New Roman" w:hAnsi="Times New Roman" w:cs="Times New Roman"/>
                      <w:u w:val="none" w:color="auto"/>
                      <w:lang w:val="en-US" w:eastAsia="zh-CN"/>
                    </w:rPr>
                    <w:t>危险废物</w:t>
                  </w:r>
                  <w:r>
                    <w:rPr>
                      <w:rFonts w:hint="default" w:ascii="Times New Roman" w:hAnsi="Times New Roman" w:cs="Times New Roman"/>
                      <w:u w:val="none" w:color="auto"/>
                      <w:lang w:eastAsia="zh-CN"/>
                    </w:rPr>
                    <w:t>，交由</w:t>
                  </w:r>
                  <w:r>
                    <w:rPr>
                      <w:rFonts w:hint="default" w:ascii="Times New Roman" w:hAnsi="Times New Roman" w:cs="Times New Roman"/>
                      <w:u w:val="none" w:color="auto"/>
                      <w:lang w:val="en-US" w:eastAsia="zh-CN"/>
                    </w:rPr>
                    <w:t>有资质的单位处置</w:t>
                  </w:r>
                </w:p>
              </w:tc>
              <w:tc>
                <w:tcPr>
                  <w:tcW w:w="747" w:type="pct"/>
                  <w:tcBorders>
                    <w:tl2br w:val="nil"/>
                    <w:tr2bl w:val="nil"/>
                  </w:tcBorders>
                  <w:noWrap w:val="0"/>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新增</w:t>
                  </w:r>
                </w:p>
              </w:tc>
            </w:tr>
          </w:tbl>
          <w:p>
            <w:pPr>
              <w:pStyle w:val="25"/>
              <w:rPr>
                <w:rFonts w:ascii="Times New Roman" w:hAnsi="Times New Roman" w:cs="Times New Roman"/>
                <w:u w:val="none" w:color="auto"/>
              </w:rPr>
            </w:pPr>
            <w:bookmarkStart w:id="61" w:name="_Toc16532"/>
            <w:r>
              <w:rPr>
                <w:rFonts w:ascii="Times New Roman" w:hAnsi="Times New Roman" w:cs="Times New Roman"/>
                <w:u w:val="none" w:color="auto"/>
              </w:rPr>
              <w:t>表</w:t>
            </w:r>
            <w:r>
              <w:rPr>
                <w:rFonts w:hint="default" w:ascii="Times New Roman" w:hAnsi="Times New Roman" w:cs="Times New Roman"/>
                <w:u w:val="none" w:color="auto"/>
                <w:lang w:val="en-US" w:eastAsia="zh-CN"/>
              </w:rPr>
              <w:t>2.2-2</w:t>
            </w:r>
            <w:r>
              <w:rPr>
                <w:rFonts w:hint="default" w:ascii="Times New Roman" w:hAnsi="Times New Roman" w:cs="Times New Roman"/>
                <w:u w:val="none" w:color="auto"/>
              </w:rPr>
              <w:t>：</w:t>
            </w:r>
            <w:r>
              <w:rPr>
                <w:rFonts w:ascii="Times New Roman" w:hAnsi="Times New Roman" w:cs="Times New Roman"/>
                <w:u w:val="none" w:color="auto"/>
              </w:rPr>
              <w:t>项目</w:t>
            </w:r>
            <w:r>
              <w:rPr>
                <w:rFonts w:hint="default" w:ascii="Times New Roman" w:hAnsi="Times New Roman" w:cs="Times New Roman"/>
                <w:u w:val="none" w:color="auto"/>
                <w:lang w:eastAsia="zh-CN"/>
              </w:rPr>
              <w:t>设备</w:t>
            </w:r>
            <w:r>
              <w:rPr>
                <w:rFonts w:ascii="Times New Roman" w:hAnsi="Times New Roman" w:cs="Times New Roman"/>
                <w:u w:val="none" w:color="auto"/>
              </w:rPr>
              <w:t>变动情况一览表</w:t>
            </w:r>
            <w:bookmarkEnd w:id="61"/>
          </w:p>
          <w:tbl>
            <w:tblPr>
              <w:tblStyle w:val="28"/>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Layout w:type="autofit"/>
              <w:tblCellMar>
                <w:top w:w="0" w:type="dxa"/>
                <w:left w:w="0" w:type="dxa"/>
                <w:bottom w:w="0" w:type="dxa"/>
                <w:right w:w="0" w:type="dxa"/>
              </w:tblCellMar>
            </w:tblPr>
            <w:tblGrid>
              <w:gridCol w:w="596"/>
              <w:gridCol w:w="1302"/>
              <w:gridCol w:w="802"/>
              <w:gridCol w:w="1597"/>
              <w:gridCol w:w="1507"/>
              <w:gridCol w:w="1520"/>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293" w:hRule="atLeast"/>
                <w:jc w:val="center"/>
              </w:trPr>
              <w:tc>
                <w:tcPr>
                  <w:tcW w:w="355"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序号</w:t>
                  </w:r>
                </w:p>
              </w:tc>
              <w:tc>
                <w:tcPr>
                  <w:tcW w:w="776"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名称</w:t>
                  </w:r>
                </w:p>
              </w:tc>
              <w:tc>
                <w:tcPr>
                  <w:tcW w:w="1430" w:type="pct"/>
                  <w:gridSpan w:val="2"/>
                  <w:tcBorders>
                    <w:tl2br w:val="nil"/>
                    <w:tr2bl w:val="nil"/>
                  </w:tcBorders>
                  <w:vAlign w:val="center"/>
                </w:tcPr>
                <w:p>
                  <w:pPr>
                    <w:pStyle w:val="51"/>
                    <w:ind w:firstLine="0" w:firstLineChars="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原环评</w:t>
                  </w:r>
                </w:p>
              </w:tc>
              <w:tc>
                <w:tcPr>
                  <w:tcW w:w="1804" w:type="pct"/>
                  <w:gridSpan w:val="2"/>
                  <w:tcBorders>
                    <w:tl2br w:val="nil"/>
                    <w:tr2bl w:val="nil"/>
                  </w:tcBorders>
                  <w:vAlign w:val="center"/>
                </w:tcPr>
                <w:p>
                  <w:pPr>
                    <w:pStyle w:val="51"/>
                    <w:ind w:firstLine="0" w:firstLineChars="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本环评</w:t>
                  </w:r>
                </w:p>
              </w:tc>
              <w:tc>
                <w:tcPr>
                  <w:tcW w:w="633" w:type="pct"/>
                  <w:vMerge w:val="restart"/>
                  <w:tcBorders>
                    <w:tl2br w:val="nil"/>
                    <w:tr2bl w:val="nil"/>
                  </w:tcBorders>
                  <w:vAlign w:val="center"/>
                </w:tcPr>
                <w:p>
                  <w:pPr>
                    <w:pStyle w:val="51"/>
                    <w:ind w:firstLine="0" w:firstLineChars="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03" w:hRule="atLeast"/>
                <w:jc w:val="center"/>
              </w:trPr>
              <w:tc>
                <w:tcPr>
                  <w:tcW w:w="35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p>
              </w:tc>
              <w:tc>
                <w:tcPr>
                  <w:tcW w:w="776"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p>
              </w:tc>
              <w:tc>
                <w:tcPr>
                  <w:tcW w:w="47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数量</w:t>
                  </w:r>
                </w:p>
              </w:tc>
              <w:tc>
                <w:tcPr>
                  <w:tcW w:w="951" w:type="pct"/>
                  <w:tcBorders>
                    <w:tl2br w:val="nil"/>
                    <w:tr2bl w:val="nil"/>
                  </w:tcBorders>
                  <w:vAlign w:val="center"/>
                </w:tcPr>
                <w:p>
                  <w:pPr>
                    <w:pStyle w:val="51"/>
                    <w:ind w:firstLine="0" w:firstLineChars="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rPr>
                    <w:t>型号</w:t>
                  </w:r>
                </w:p>
              </w:tc>
              <w:tc>
                <w:tcPr>
                  <w:tcW w:w="898" w:type="pct"/>
                  <w:tcBorders>
                    <w:tl2br w:val="nil"/>
                    <w:tr2bl w:val="nil"/>
                  </w:tcBorders>
                  <w:vAlign w:val="center"/>
                </w:tcPr>
                <w:p>
                  <w:pPr>
                    <w:pStyle w:val="51"/>
                    <w:ind w:firstLine="0" w:firstLineChars="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eastAsia="zh-CN"/>
                    </w:rPr>
                    <w:t>数量</w:t>
                  </w:r>
                </w:p>
              </w:tc>
              <w:tc>
                <w:tcPr>
                  <w:tcW w:w="905" w:type="pct"/>
                  <w:tcBorders>
                    <w:tl2br w:val="nil"/>
                    <w:tr2bl w:val="nil"/>
                  </w:tcBorders>
                  <w:vAlign w:val="center"/>
                </w:tcPr>
                <w:p>
                  <w:pPr>
                    <w:pStyle w:val="51"/>
                    <w:ind w:firstLine="0" w:firstLineChars="0"/>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lang w:eastAsia="zh-CN"/>
                    </w:rPr>
                    <w:t>型号</w:t>
                  </w:r>
                </w:p>
              </w:tc>
              <w:tc>
                <w:tcPr>
                  <w:tcW w:w="633" w:type="pct"/>
                  <w:vMerge w:val="continue"/>
                  <w:tcBorders>
                    <w:tl2br w:val="nil"/>
                    <w:tr2bl w:val="nil"/>
                  </w:tcBorders>
                  <w:vAlign w:val="center"/>
                </w:tcPr>
                <w:p>
                  <w:pPr>
                    <w:pStyle w:val="51"/>
                    <w:ind w:firstLine="0" w:firstLineChars="0"/>
                    <w:rPr>
                      <w:rFonts w:hint="default" w:ascii="Times New Roman" w:hAnsi="Times New Roman" w:eastAsia="宋体" w:cs="Times New Roman"/>
                      <w:b/>
                      <w:bCs/>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803" w:hRule="atLeast"/>
                <w:jc w:val="center"/>
              </w:trPr>
              <w:tc>
                <w:tcPr>
                  <w:tcW w:w="35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rPr>
                    <w:t>1</w:t>
                  </w:r>
                </w:p>
              </w:tc>
              <w:tc>
                <w:tcPr>
                  <w:tcW w:w="77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蒸汽发生器</w:t>
                  </w:r>
                </w:p>
              </w:tc>
              <w:tc>
                <w:tcPr>
                  <w:tcW w:w="478"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2台</w:t>
                  </w:r>
                </w:p>
              </w:tc>
              <w:tc>
                <w:tcPr>
                  <w:tcW w:w="95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1.0t/h电蒸汽发生器</w:t>
                  </w:r>
                </w:p>
              </w:tc>
              <w:tc>
                <w:tcPr>
                  <w:tcW w:w="898"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1台</w:t>
                  </w:r>
                </w:p>
              </w:tc>
              <w:tc>
                <w:tcPr>
                  <w:tcW w:w="90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0.7t/h生物质蒸汽发生器</w:t>
                  </w:r>
                </w:p>
              </w:tc>
              <w:tc>
                <w:tcPr>
                  <w:tcW w:w="6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数量、蒸吨及燃料类型发生变化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PrEx>
              <w:trPr>
                <w:trHeight w:val="346" w:hRule="atLeast"/>
                <w:jc w:val="center"/>
              </w:trPr>
              <w:tc>
                <w:tcPr>
                  <w:tcW w:w="35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2</w:t>
                  </w:r>
                </w:p>
              </w:tc>
              <w:tc>
                <w:tcPr>
                  <w:tcW w:w="77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废气处理设施</w:t>
                  </w:r>
                </w:p>
              </w:tc>
              <w:tc>
                <w:tcPr>
                  <w:tcW w:w="47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95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w:t>
                  </w:r>
                </w:p>
              </w:tc>
              <w:tc>
                <w:tcPr>
                  <w:tcW w:w="898"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1套</w:t>
                  </w:r>
                </w:p>
              </w:tc>
              <w:tc>
                <w:tcPr>
                  <w:tcW w:w="90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湿式除尘器</w:t>
                  </w:r>
                </w:p>
              </w:tc>
              <w:tc>
                <w:tcPr>
                  <w:tcW w:w="6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新增</w:t>
                  </w:r>
                </w:p>
              </w:tc>
            </w:tr>
          </w:tbl>
          <w:p>
            <w:pPr>
              <w:pStyle w:val="6"/>
              <w:rPr>
                <w:rFonts w:hint="default"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3 项目变更情况</w:t>
            </w:r>
          </w:p>
          <w:p>
            <w:pPr>
              <w:bidi w:val="0"/>
              <w:rPr>
                <w:rFonts w:hint="default" w:ascii="Times New Roman" w:hAnsi="Times New Roman" w:cs="Times New Roman"/>
                <w:u w:val="none" w:color="auto"/>
              </w:rPr>
            </w:pPr>
            <w:r>
              <w:rPr>
                <w:rFonts w:hint="default" w:ascii="Times New Roman" w:hAnsi="Times New Roman" w:cs="Times New Roman"/>
                <w:u w:val="none" w:color="auto"/>
              </w:rPr>
              <w:t>（1）建设内容变更情况</w:t>
            </w:r>
          </w:p>
          <w:p>
            <w:pPr>
              <w:bidi w:val="0"/>
              <w:rPr>
                <w:rFonts w:ascii="Times New Roman" w:hAnsi="Times New Roman" w:cs="Times New Roman"/>
                <w:u w:val="none" w:color="auto"/>
              </w:rPr>
            </w:pPr>
            <w:r>
              <w:rPr>
                <w:rFonts w:ascii="Times New Roman" w:hAnsi="Times New Roman" w:cs="Times New Roman"/>
                <w:u w:val="none" w:color="auto"/>
              </w:rPr>
              <w:t>本项目</w:t>
            </w:r>
            <w:r>
              <w:rPr>
                <w:rFonts w:hint="default" w:ascii="Times New Roman" w:hAnsi="Times New Roman" w:cs="Times New Roman"/>
                <w:u w:val="none" w:color="auto"/>
                <w:lang w:eastAsia="zh-CN"/>
              </w:rPr>
              <w:t>用地</w:t>
            </w:r>
            <w:r>
              <w:rPr>
                <w:rFonts w:ascii="Times New Roman" w:hAnsi="Times New Roman" w:cs="Times New Roman"/>
                <w:u w:val="none" w:color="auto"/>
              </w:rPr>
              <w:t>范围没有发生变化，主要变更内容有：</w:t>
            </w:r>
          </w:p>
          <w:p>
            <w:pPr>
              <w:bidi w:val="0"/>
              <w:rPr>
                <w:rFonts w:hint="default" w:ascii="Times New Roman" w:hAnsi="Times New Roman" w:cs="Times New Roman"/>
                <w:u w:val="none" w:color="auto"/>
                <w:lang w:eastAsia="zh-CN"/>
              </w:rPr>
            </w:pPr>
            <w:r>
              <w:rPr>
                <w:rFonts w:hint="default" w:ascii="Times New Roman" w:hAnsi="Times New Roman" w:cs="Times New Roman"/>
                <w:u w:val="none" w:color="auto"/>
              </w:rPr>
              <w:t>①</w:t>
            </w:r>
            <w:r>
              <w:rPr>
                <w:rFonts w:hint="default" w:ascii="Times New Roman" w:hAnsi="Times New Roman" w:cs="Times New Roman"/>
                <w:u w:val="none" w:color="auto"/>
                <w:lang w:eastAsia="zh-CN"/>
              </w:rPr>
              <w:t>调整车间生产线布局。</w:t>
            </w:r>
            <w:r>
              <w:rPr>
                <w:rFonts w:hint="default" w:ascii="Times New Roman" w:hAnsi="Times New Roman" w:cs="Times New Roman"/>
                <w:u w:val="none" w:color="auto"/>
                <w:lang w:val="en-US" w:eastAsia="zh-CN"/>
              </w:rPr>
              <w:t>生产</w:t>
            </w:r>
            <w:r>
              <w:rPr>
                <w:rFonts w:hint="default" w:ascii="Times New Roman" w:hAnsi="Times New Roman" w:cs="Times New Roman"/>
                <w:u w:val="none" w:color="auto"/>
                <w:lang w:eastAsia="zh-CN"/>
              </w:rPr>
              <w:t>车间</w:t>
            </w:r>
            <w:r>
              <w:rPr>
                <w:rFonts w:hint="default" w:ascii="Times New Roman" w:hAnsi="Times New Roman" w:cs="Times New Roman"/>
                <w:u w:val="none" w:color="auto"/>
                <w:lang w:val="en-US" w:eastAsia="zh-CN"/>
              </w:rPr>
              <w:t>内</w:t>
            </w:r>
            <w:r>
              <w:rPr>
                <w:rFonts w:hint="default" w:ascii="Times New Roman" w:hAnsi="Times New Roman" w:cs="Times New Roman"/>
                <w:u w:val="none" w:color="auto"/>
                <w:lang w:eastAsia="zh-CN"/>
              </w:rPr>
              <w:t>设</w:t>
            </w:r>
            <w:r>
              <w:rPr>
                <w:rFonts w:hint="default" w:ascii="Times New Roman" w:hAnsi="Times New Roman" w:cs="Times New Roman"/>
                <w:u w:val="none" w:color="auto"/>
                <w:lang w:val="en-US" w:eastAsia="zh-CN"/>
              </w:rPr>
              <w:t>有1</w:t>
            </w:r>
            <w:r>
              <w:rPr>
                <w:rFonts w:hint="default" w:ascii="Times New Roman" w:hAnsi="Times New Roman" w:cs="Times New Roman"/>
                <w:u w:val="none" w:color="auto"/>
                <w:lang w:eastAsia="zh-CN"/>
              </w:rPr>
              <w:t>条</w:t>
            </w:r>
            <w:r>
              <w:rPr>
                <w:rFonts w:hint="eastAsia" w:cs="Times New Roman"/>
                <w:u w:val="none" w:color="auto"/>
                <w:lang w:val="en-US" w:eastAsia="zh-CN"/>
              </w:rPr>
              <w:t>1800</w:t>
            </w:r>
            <w:r>
              <w:rPr>
                <w:rFonts w:hint="default" w:ascii="Times New Roman" w:hAnsi="Times New Roman" w:cs="Times New Roman"/>
                <w:u w:val="none" w:color="auto"/>
                <w:lang w:val="en-US" w:eastAsia="zh-CN"/>
              </w:rPr>
              <w:t>t湿米粉生产线，放置于1栋钢架式生产车间内；考虑到市场需求以及场地的限制，湿米粉生产线分为两期建设，一期、二期规模均为1800t/a，二期湿米粉生产线与干米粉生产线不在本次评价范围之内，远期另行征地建设</w:t>
            </w:r>
            <w:r>
              <w:rPr>
                <w:rFonts w:hint="default" w:ascii="Times New Roman" w:hAnsi="Times New Roman" w:cs="Times New Roman"/>
                <w:u w:val="none" w:color="auto"/>
                <w:lang w:eastAsia="zh-CN"/>
              </w:rPr>
              <w:t>。</w:t>
            </w:r>
          </w:p>
          <w:p>
            <w:pPr>
              <w:bidi w:val="0"/>
              <w:rPr>
                <w:rFonts w:hint="default" w:ascii="Times New Roman" w:hAnsi="Times New Roman" w:cs="Times New Roman"/>
                <w:u w:val="none" w:color="auto"/>
              </w:rPr>
            </w:pPr>
            <w:r>
              <w:rPr>
                <w:rFonts w:hint="default" w:ascii="Times New Roman" w:hAnsi="Times New Roman" w:cs="Times New Roman"/>
                <w:u w:val="none" w:color="auto"/>
                <w:lang w:eastAsia="zh-CN"/>
              </w:rPr>
              <w:t>②</w:t>
            </w:r>
            <w:r>
              <w:rPr>
                <w:rFonts w:hint="default" w:ascii="Times New Roman" w:hAnsi="Times New Roman" w:cs="Times New Roman"/>
                <w:u w:val="none" w:color="auto"/>
                <w:lang w:val="en-US" w:eastAsia="zh-CN"/>
              </w:rPr>
              <w:t>包材库位置由辅助楼变更到生产车间内</w:t>
            </w:r>
            <w:r>
              <w:rPr>
                <w:rFonts w:hint="default" w:ascii="Times New Roman" w:hAnsi="Times New Roman" w:cs="Times New Roman"/>
                <w:u w:val="none" w:color="auto"/>
                <w:lang w:eastAsia="zh-CN"/>
              </w:rPr>
              <w:t>。</w:t>
            </w:r>
          </w:p>
          <w:p>
            <w:pPr>
              <w:keepNext w:val="0"/>
              <w:keepLines w:val="0"/>
              <w:wordWrap/>
              <w:overflowPunct w:val="0"/>
              <w:topLinePunct w:val="0"/>
              <w:autoSpaceDE w:val="0"/>
              <w:autoSpaceDN w:val="0"/>
              <w:jc w:val="left"/>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③</w:t>
            </w:r>
            <w:r>
              <w:rPr>
                <w:rFonts w:hint="default" w:ascii="Times New Roman" w:hAnsi="Times New Roman" w:cs="Times New Roman"/>
                <w:u w:val="none" w:color="auto"/>
                <w:lang w:eastAsia="zh-CN"/>
              </w:rPr>
              <w:t>新增燃</w:t>
            </w:r>
            <w:r>
              <w:rPr>
                <w:rFonts w:hint="default" w:ascii="Times New Roman" w:hAnsi="Times New Roman" w:cs="Times New Roman"/>
                <w:u w:val="none" w:color="auto"/>
                <w:lang w:val="en-US" w:eastAsia="zh-CN"/>
              </w:rPr>
              <w:t>生物质蒸汽发生器、湿式除尘器、排气筒</w:t>
            </w:r>
            <w:r>
              <w:rPr>
                <w:rFonts w:hint="default" w:ascii="Times New Roman" w:hAnsi="Times New Roman" w:cs="Times New Roman"/>
                <w:u w:val="none" w:color="auto"/>
                <w:lang w:eastAsia="zh-CN"/>
              </w:rPr>
              <w:t>等。项目</w:t>
            </w:r>
            <w:r>
              <w:rPr>
                <w:rFonts w:hint="default" w:ascii="Times New Roman" w:hAnsi="Times New Roman" w:cs="Times New Roman"/>
                <w:u w:val="none" w:color="auto"/>
                <w:lang w:val="en-US" w:eastAsia="zh-CN"/>
              </w:rPr>
              <w:t>湿米粉生产线</w:t>
            </w:r>
            <w:r>
              <w:rPr>
                <w:rFonts w:hint="default" w:ascii="Times New Roman" w:hAnsi="Times New Roman" w:cs="Times New Roman"/>
                <w:u w:val="none" w:color="auto"/>
                <w:lang w:eastAsia="zh-CN"/>
              </w:rPr>
              <w:t>生产产品</w:t>
            </w:r>
            <w:r>
              <w:rPr>
                <w:rFonts w:hint="default" w:ascii="Times New Roman" w:hAnsi="Times New Roman" w:cs="Times New Roman"/>
                <w:u w:val="none" w:color="auto"/>
                <w:lang w:val="en-US" w:eastAsia="zh-CN"/>
              </w:rPr>
              <w:t>未</w:t>
            </w:r>
            <w:r>
              <w:rPr>
                <w:rFonts w:hint="default" w:ascii="Times New Roman" w:hAnsi="Times New Roman" w:cs="Times New Roman"/>
                <w:u w:val="none" w:color="auto"/>
                <w:lang w:eastAsia="zh-CN"/>
              </w:rPr>
              <w:t>发生变化</w:t>
            </w:r>
            <w:r>
              <w:rPr>
                <w:rFonts w:hint="eastAsia" w:cs="Times New Roman"/>
                <w:u w:val="none" w:color="auto"/>
                <w:lang w:eastAsia="zh-CN"/>
              </w:rPr>
              <w:t>，</w:t>
            </w:r>
            <w:r>
              <w:rPr>
                <w:rFonts w:hint="default" w:ascii="Times New Roman" w:hAnsi="Times New Roman" w:cs="Times New Roman"/>
                <w:u w:val="none" w:color="auto"/>
                <w:lang w:eastAsia="zh-CN"/>
              </w:rPr>
              <w:t>生产规模</w:t>
            </w:r>
            <w:r>
              <w:rPr>
                <w:rFonts w:hint="eastAsia" w:cs="Times New Roman"/>
                <w:u w:val="none" w:color="auto"/>
                <w:lang w:val="en-US" w:eastAsia="zh-CN"/>
              </w:rPr>
              <w:t>折半</w:t>
            </w:r>
            <w:r>
              <w:rPr>
                <w:rFonts w:hint="default" w:ascii="Times New Roman" w:hAnsi="Times New Roman" w:cs="Times New Roman"/>
                <w:u w:val="none" w:color="auto"/>
                <w:lang w:eastAsia="zh-CN"/>
              </w:rPr>
              <w:t>。</w:t>
            </w:r>
          </w:p>
          <w:p>
            <w:pPr>
              <w:pStyle w:val="71"/>
              <w:bidi w:val="0"/>
              <w:rPr>
                <w:rFonts w:ascii="Times New Roman" w:hAnsi="Times New Roman" w:cs="Times New Roman"/>
                <w:u w:val="none" w:color="auto"/>
              </w:rPr>
            </w:pPr>
            <w:r>
              <w:rPr>
                <w:rFonts w:ascii="Times New Roman" w:hAnsi="Times New Roman" w:cs="Times New Roman"/>
                <w:u w:val="none" w:color="auto"/>
              </w:rPr>
              <w:t>表</w:t>
            </w:r>
            <w:r>
              <w:rPr>
                <w:rFonts w:hint="default" w:ascii="Times New Roman" w:hAnsi="Times New Roman" w:cs="Times New Roman"/>
                <w:u w:val="none" w:color="auto"/>
                <w:lang w:val="en-US" w:eastAsia="zh-CN"/>
              </w:rPr>
              <w:t>2.3</w:t>
            </w:r>
            <w:r>
              <w:rPr>
                <w:rFonts w:hint="default" w:ascii="Times New Roman" w:hAnsi="Times New Roman" w:cs="Times New Roman"/>
                <w:u w:val="none" w:color="auto"/>
              </w:rPr>
              <w:t>-1：</w:t>
            </w:r>
            <w:r>
              <w:rPr>
                <w:rFonts w:ascii="Times New Roman" w:hAnsi="Times New Roman" w:cs="Times New Roman"/>
                <w:u w:val="none" w:color="auto"/>
              </w:rPr>
              <w:t>项目变更情况</w:t>
            </w:r>
            <w:r>
              <w:rPr>
                <w:rFonts w:hint="default" w:ascii="Times New Roman" w:hAnsi="Times New Roman" w:cs="Times New Roman"/>
                <w:u w:val="none" w:color="auto"/>
              </w:rPr>
              <w:t>一览</w:t>
            </w:r>
            <w:r>
              <w:rPr>
                <w:rFonts w:ascii="Times New Roman" w:hAnsi="Times New Roman" w:cs="Times New Roman"/>
                <w:u w:val="none" w:color="auto"/>
              </w:rPr>
              <w:t>表</w:t>
            </w:r>
          </w:p>
          <w:tbl>
            <w:tblPr>
              <w:tblStyle w:val="28"/>
              <w:tblW w:w="49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810"/>
              <w:gridCol w:w="2901"/>
              <w:gridCol w:w="1157"/>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noWrap w:val="0"/>
                  <w:vAlign w:val="center"/>
                </w:tcPr>
                <w:p>
                  <w:pPr>
                    <w:pStyle w:val="95"/>
                    <w:bidi w:val="0"/>
                    <w:rPr>
                      <w:rFonts w:hint="default" w:ascii="Times New Roman" w:hAnsi="Times New Roman" w:cs="Times New Roman"/>
                      <w:b/>
                      <w:bCs/>
                      <w:u w:val="none" w:color="auto"/>
                    </w:rPr>
                  </w:pPr>
                  <w:r>
                    <w:rPr>
                      <w:rFonts w:hint="default" w:ascii="Times New Roman" w:hAnsi="Times New Roman" w:cs="Times New Roman"/>
                      <w:b/>
                      <w:bCs/>
                      <w:u w:val="none" w:color="auto"/>
                    </w:rPr>
                    <w:t>项目</w:t>
                  </w:r>
                </w:p>
              </w:tc>
              <w:tc>
                <w:tcPr>
                  <w:tcW w:w="1683" w:type="pct"/>
                  <w:noWrap w:val="0"/>
                  <w:vAlign w:val="center"/>
                </w:tcPr>
                <w:p>
                  <w:pPr>
                    <w:pStyle w:val="95"/>
                    <w:bidi w:val="0"/>
                    <w:rPr>
                      <w:rFonts w:ascii="Times New Roman" w:hAnsi="Times New Roman" w:cs="Times New Roman"/>
                      <w:b/>
                      <w:bCs/>
                      <w:u w:val="none" w:color="auto"/>
                    </w:rPr>
                  </w:pPr>
                  <w:r>
                    <w:rPr>
                      <w:rFonts w:hint="default" w:ascii="Times New Roman" w:hAnsi="Times New Roman" w:cs="Times New Roman"/>
                      <w:b/>
                      <w:bCs/>
                      <w:u w:val="none" w:color="auto"/>
                    </w:rPr>
                    <w:t>工程变更前</w:t>
                  </w:r>
                </w:p>
              </w:tc>
              <w:tc>
                <w:tcPr>
                  <w:tcW w:w="1738" w:type="pct"/>
                  <w:noWrap w:val="0"/>
                  <w:vAlign w:val="center"/>
                </w:tcPr>
                <w:p>
                  <w:pPr>
                    <w:pStyle w:val="95"/>
                    <w:bidi w:val="0"/>
                    <w:rPr>
                      <w:rFonts w:ascii="Times New Roman" w:hAnsi="Times New Roman" w:cs="Times New Roman"/>
                      <w:b/>
                      <w:bCs/>
                      <w:u w:val="none" w:color="auto"/>
                    </w:rPr>
                  </w:pPr>
                  <w:r>
                    <w:rPr>
                      <w:rFonts w:hint="default" w:ascii="Times New Roman" w:hAnsi="Times New Roman" w:cs="Times New Roman"/>
                      <w:b/>
                      <w:bCs/>
                      <w:u w:val="none" w:color="auto"/>
                    </w:rPr>
                    <w:t>工程变更后</w:t>
                  </w:r>
                </w:p>
              </w:tc>
              <w:tc>
                <w:tcPr>
                  <w:tcW w:w="693" w:type="pct"/>
                  <w:noWrap w:val="0"/>
                  <w:vAlign w:val="center"/>
                </w:tcPr>
                <w:p>
                  <w:pPr>
                    <w:pStyle w:val="95"/>
                    <w:bidi w:val="0"/>
                    <w:rPr>
                      <w:rFonts w:ascii="Times New Roman" w:hAnsi="Times New Roman" w:cs="Times New Roman"/>
                      <w:b/>
                      <w:bCs/>
                      <w:u w:val="none" w:color="auto"/>
                    </w:rPr>
                  </w:pPr>
                  <w:r>
                    <w:rPr>
                      <w:rFonts w:hint="default" w:ascii="Times New Roman" w:hAnsi="Times New Roman" w:cs="Times New Roman"/>
                      <w:b/>
                      <w:bCs/>
                      <w:u w:val="none" w:color="auto"/>
                    </w:rPr>
                    <w:t>变化情况</w:t>
                  </w:r>
                </w:p>
              </w:tc>
              <w:tc>
                <w:tcPr>
                  <w:tcW w:w="465" w:type="pct"/>
                  <w:noWrap w:val="0"/>
                  <w:vAlign w:val="center"/>
                </w:tcPr>
                <w:p>
                  <w:pPr>
                    <w:pStyle w:val="95"/>
                    <w:bidi w:val="0"/>
                    <w:rPr>
                      <w:rFonts w:ascii="Times New Roman" w:hAnsi="Times New Roman" w:cs="Times New Roman"/>
                      <w:b/>
                      <w:bCs/>
                      <w:u w:val="none" w:color="auto"/>
                    </w:rPr>
                  </w:pPr>
                  <w:r>
                    <w:rPr>
                      <w:rFonts w:hint="default" w:ascii="Times New Roman" w:hAnsi="Times New Roman" w:cs="Times New Roman"/>
                      <w:b/>
                      <w:bCs/>
                      <w:u w:val="none" w:color="auto"/>
                    </w:rPr>
                    <w:t>是否重大变动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noWrap w:val="0"/>
                  <w:vAlign w:val="center"/>
                </w:tcPr>
                <w:p>
                  <w:pPr>
                    <w:pStyle w:val="95"/>
                    <w:bidi w:val="0"/>
                    <w:rPr>
                      <w:rFonts w:hint="default" w:ascii="Times New Roman" w:hAnsi="Times New Roman" w:cs="Times New Roman"/>
                      <w:u w:val="none" w:color="auto"/>
                    </w:rPr>
                  </w:pPr>
                  <w:r>
                    <w:rPr>
                      <w:rFonts w:ascii="Times New Roman" w:hAnsi="Times New Roman" w:cs="Times New Roman"/>
                      <w:u w:val="none" w:color="auto"/>
                    </w:rPr>
                    <w:t>性质</w:t>
                  </w:r>
                </w:p>
              </w:tc>
              <w:tc>
                <w:tcPr>
                  <w:tcW w:w="168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新建</w:t>
                  </w:r>
                </w:p>
              </w:tc>
              <w:tc>
                <w:tcPr>
                  <w:tcW w:w="1738" w:type="pct"/>
                  <w:noWrap w:val="0"/>
                  <w:vAlign w:val="center"/>
                </w:tcPr>
                <w:p>
                  <w:pPr>
                    <w:pStyle w:val="95"/>
                    <w:bidi w:val="0"/>
                    <w:rPr>
                      <w:rFonts w:hint="default" w:ascii="Times New Roman" w:hAnsi="Times New Roman" w:cs="Times New Roman"/>
                      <w:u w:val="none" w:color="auto"/>
                    </w:rPr>
                  </w:pPr>
                  <w:r>
                    <w:rPr>
                      <w:rFonts w:hint="default" w:ascii="Times New Roman" w:hAnsi="Times New Roman" w:cs="Times New Roman"/>
                      <w:u w:val="none" w:color="auto"/>
                      <w:lang w:eastAsia="zh-CN"/>
                    </w:rPr>
                    <w:t>新建</w:t>
                  </w:r>
                </w:p>
              </w:tc>
              <w:tc>
                <w:tcPr>
                  <w:tcW w:w="693" w:type="pct"/>
                  <w:noWrap w:val="0"/>
                  <w:vAlign w:val="center"/>
                </w:tcPr>
                <w:p>
                  <w:pPr>
                    <w:pStyle w:val="95"/>
                    <w:bidi w:val="0"/>
                    <w:rPr>
                      <w:rFonts w:hint="default" w:ascii="Times New Roman" w:hAnsi="Times New Roman" w:cs="Times New Roman"/>
                      <w:u w:val="none" w:color="auto"/>
                    </w:rPr>
                  </w:pPr>
                  <w:r>
                    <w:rPr>
                      <w:rFonts w:ascii="Times New Roman" w:hAnsi="Times New Roman" w:cs="Times New Roman"/>
                      <w:u w:val="none" w:color="auto"/>
                    </w:rPr>
                    <w:t>不变</w:t>
                  </w:r>
                </w:p>
              </w:tc>
              <w:tc>
                <w:tcPr>
                  <w:tcW w:w="465" w:type="pct"/>
                  <w:noWrap w:val="0"/>
                  <w:vAlign w:val="center"/>
                </w:tcPr>
                <w:p>
                  <w:pPr>
                    <w:pStyle w:val="95"/>
                    <w:bidi w:val="0"/>
                    <w:rPr>
                      <w:rFonts w:hint="default" w:ascii="Times New Roman" w:hAnsi="Times New Roman" w:cs="Times New Roman"/>
                      <w:u w:val="none" w:color="auto"/>
                    </w:rPr>
                  </w:pPr>
                  <w:r>
                    <w:rPr>
                      <w:rFonts w:ascii="Times New Roman" w:hAnsi="Times New Roman" w:cs="Times New Roman"/>
                      <w:u w:val="none" w:color="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restart"/>
                  <w:noWrap w:val="0"/>
                  <w:vAlign w:val="center"/>
                </w:tcPr>
                <w:p>
                  <w:pPr>
                    <w:pStyle w:val="95"/>
                    <w:bidi w:val="0"/>
                    <w:rPr>
                      <w:rFonts w:ascii="Times New Roman" w:hAnsi="Times New Roman" w:cs="Times New Roman"/>
                      <w:u w:val="none" w:color="auto"/>
                    </w:rPr>
                  </w:pPr>
                  <w:r>
                    <w:rPr>
                      <w:rFonts w:hint="default" w:ascii="Times New Roman" w:hAnsi="Times New Roman" w:cs="Times New Roman"/>
                      <w:u w:val="none" w:color="auto"/>
                    </w:rPr>
                    <w:t>规模</w:t>
                  </w:r>
                </w:p>
              </w:tc>
              <w:tc>
                <w:tcPr>
                  <w:tcW w:w="1683" w:type="pct"/>
                  <w:noWrap w:val="0"/>
                  <w:vAlign w:val="center"/>
                </w:tcPr>
                <w:p>
                  <w:pPr>
                    <w:pStyle w:val="95"/>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年产干米粉540t，湿米粉3600t</w:t>
                  </w:r>
                </w:p>
              </w:tc>
              <w:tc>
                <w:tcPr>
                  <w:tcW w:w="1738" w:type="pct"/>
                  <w:noWrap w:val="0"/>
                  <w:vAlign w:val="center"/>
                </w:tcPr>
                <w:p>
                  <w:pPr>
                    <w:pStyle w:val="95"/>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年产湿米粉</w:t>
                  </w:r>
                  <w:r>
                    <w:rPr>
                      <w:rFonts w:hint="eastAsia" w:cs="Times New Roman"/>
                      <w:u w:val="none" w:color="auto"/>
                      <w:lang w:val="en-US" w:eastAsia="zh-CN"/>
                    </w:rPr>
                    <w:t>1800</w:t>
                  </w:r>
                  <w:r>
                    <w:rPr>
                      <w:rFonts w:hint="default" w:ascii="Times New Roman" w:hAnsi="Times New Roman" w:cs="Times New Roman"/>
                      <w:u w:val="none" w:color="auto"/>
                      <w:lang w:val="en-US" w:eastAsia="zh-CN"/>
                    </w:rPr>
                    <w:t>t</w:t>
                  </w:r>
                </w:p>
              </w:tc>
              <w:tc>
                <w:tcPr>
                  <w:tcW w:w="693" w:type="pct"/>
                  <w:noWrap w:val="0"/>
                  <w:vAlign w:val="center"/>
                </w:tcPr>
                <w:p>
                  <w:pPr>
                    <w:pStyle w:val="95"/>
                    <w:bidi w:val="0"/>
                    <w:rPr>
                      <w:rFonts w:hint="default" w:ascii="Times New Roman" w:hAnsi="Times New Roman" w:eastAsia="宋体" w:cs="Times New Roman"/>
                      <w:u w:val="none" w:color="auto"/>
                      <w:lang w:eastAsia="zh-CN"/>
                    </w:rPr>
                  </w:pPr>
                  <w:r>
                    <w:rPr>
                      <w:rFonts w:hint="default" w:ascii="Times New Roman" w:hAnsi="Times New Roman" w:cs="Times New Roman"/>
                      <w:u w:val="none" w:color="auto"/>
                      <w:lang w:val="en-US" w:eastAsia="zh-CN"/>
                    </w:rPr>
                    <w:t>变更</w:t>
                  </w:r>
                </w:p>
              </w:tc>
              <w:tc>
                <w:tcPr>
                  <w:tcW w:w="465" w:type="pct"/>
                  <w:noWrap w:val="0"/>
                  <w:vAlign w:val="center"/>
                </w:tcPr>
                <w:p>
                  <w:pPr>
                    <w:pStyle w:val="95"/>
                    <w:bidi w:val="0"/>
                    <w:rPr>
                      <w:rFonts w:hint="default" w:ascii="Times New Roman" w:hAnsi="Times New Roman" w:cs="Times New Roman"/>
                      <w:u w:val="none" w:color="auto"/>
                    </w:rPr>
                  </w:pPr>
                  <w:r>
                    <w:rPr>
                      <w:rFonts w:ascii="Times New Roman" w:hAnsi="Times New Roman" w:cs="Times New Roman"/>
                      <w:u w:val="none" w:color="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pStyle w:val="95"/>
                    <w:bidi w:val="0"/>
                    <w:rPr>
                      <w:rFonts w:hint="default" w:ascii="Times New Roman" w:hAnsi="Times New Roman" w:cs="Times New Roman"/>
                      <w:u w:val="none" w:color="auto"/>
                    </w:rPr>
                  </w:pPr>
                </w:p>
              </w:tc>
              <w:tc>
                <w:tcPr>
                  <w:tcW w:w="1683" w:type="pct"/>
                  <w:noWrap w:val="0"/>
                  <w:vAlign w:val="center"/>
                </w:tcPr>
                <w:p>
                  <w:pPr>
                    <w:pStyle w:val="95"/>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845</w:t>
                  </w:r>
                  <w:r>
                    <w:rPr>
                      <w:rFonts w:ascii="Times New Roman" w:hAnsi="Times New Roman" w:cs="Times New Roman"/>
                      <w:u w:val="none" w:color="auto"/>
                    </w:rPr>
                    <w:t>m</w:t>
                  </w:r>
                  <w:r>
                    <w:rPr>
                      <w:rFonts w:hint="default" w:ascii="Times New Roman" w:hAnsi="Times New Roman" w:cs="Times New Roman"/>
                      <w:u w:val="none" w:color="auto"/>
                      <w:vertAlign w:val="superscript"/>
                    </w:rPr>
                    <w:t>2</w:t>
                  </w:r>
                </w:p>
              </w:tc>
              <w:tc>
                <w:tcPr>
                  <w:tcW w:w="1738" w:type="pct"/>
                  <w:noWrap w:val="0"/>
                  <w:vAlign w:val="center"/>
                </w:tcPr>
                <w:p>
                  <w:pPr>
                    <w:pStyle w:val="95"/>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845</w:t>
                  </w:r>
                  <w:r>
                    <w:rPr>
                      <w:rFonts w:ascii="Times New Roman" w:hAnsi="Times New Roman" w:cs="Times New Roman"/>
                      <w:u w:val="none" w:color="auto"/>
                    </w:rPr>
                    <w:t>m</w:t>
                  </w:r>
                  <w:r>
                    <w:rPr>
                      <w:rFonts w:hint="default" w:ascii="Times New Roman" w:hAnsi="Times New Roman" w:cs="Times New Roman"/>
                      <w:u w:val="none" w:color="auto"/>
                      <w:vertAlign w:val="superscript"/>
                    </w:rPr>
                    <w:t>2</w:t>
                  </w:r>
                </w:p>
              </w:tc>
              <w:tc>
                <w:tcPr>
                  <w:tcW w:w="69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不变</w:t>
                  </w:r>
                </w:p>
              </w:tc>
              <w:tc>
                <w:tcPr>
                  <w:tcW w:w="465" w:type="pct"/>
                  <w:noWrap w:val="0"/>
                  <w:vAlign w:val="center"/>
                </w:tcPr>
                <w:p>
                  <w:pPr>
                    <w:pStyle w:val="95"/>
                    <w:bidi w:val="0"/>
                    <w:rPr>
                      <w:rFonts w:hint="default" w:ascii="Times New Roman" w:hAnsi="Times New Roman" w:cs="Times New Roman"/>
                      <w:u w:val="none" w:color="auto"/>
                    </w:rPr>
                  </w:pPr>
                  <w:r>
                    <w:rPr>
                      <w:rFonts w:ascii="Times New Roman" w:hAnsi="Times New Roman" w:cs="Times New Roman"/>
                      <w:u w:val="none" w:color="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noWrap w:val="0"/>
                  <w:vAlign w:val="center"/>
                </w:tcPr>
                <w:p>
                  <w:pPr>
                    <w:pStyle w:val="95"/>
                    <w:bidi w:val="0"/>
                    <w:rPr>
                      <w:rFonts w:hint="default" w:ascii="Times New Roman" w:hAnsi="Times New Roman" w:cs="Times New Roman"/>
                      <w:u w:val="none" w:color="auto"/>
                    </w:rPr>
                  </w:pPr>
                  <w:r>
                    <w:rPr>
                      <w:rFonts w:hint="default" w:ascii="Times New Roman" w:hAnsi="Times New Roman" w:cs="Times New Roman"/>
                      <w:u w:val="none" w:color="auto"/>
                    </w:rPr>
                    <w:t>地点</w:t>
                  </w:r>
                </w:p>
              </w:tc>
              <w:tc>
                <w:tcPr>
                  <w:tcW w:w="1683" w:type="pct"/>
                  <w:noWrap w:val="0"/>
                  <w:vAlign w:val="center"/>
                </w:tcPr>
                <w:p>
                  <w:pPr>
                    <w:pStyle w:val="95"/>
                    <w:bidi w:val="0"/>
                    <w:rPr>
                      <w:rFonts w:hint="default" w:ascii="Times New Roman" w:hAnsi="Times New Roman" w:eastAsia="宋体" w:cs="Times New Roman"/>
                      <w:u w:val="none" w:color="auto"/>
                      <w:lang w:eastAsia="zh-CN"/>
                    </w:rPr>
                  </w:pPr>
                  <w:r>
                    <w:rPr>
                      <w:rFonts w:hint="default" w:ascii="Times New Roman" w:hAnsi="Times New Roman" w:cs="Times New Roman"/>
                      <w:u w:val="none" w:color="auto"/>
                    </w:rPr>
                    <w:t>项目位于</w:t>
                  </w:r>
                  <w:r>
                    <w:rPr>
                      <w:rFonts w:hint="default" w:ascii="Times New Roman" w:hAnsi="Times New Roman" w:cs="Times New Roman"/>
                      <w:u w:val="none" w:color="auto"/>
                      <w:lang w:val="en-US" w:eastAsia="zh-CN"/>
                    </w:rPr>
                    <w:t>泸溪县武溪镇红土溪村</w:t>
                  </w:r>
                  <w:r>
                    <w:rPr>
                      <w:rFonts w:hint="default" w:ascii="Times New Roman" w:hAnsi="Times New Roman" w:cs="Times New Roman"/>
                      <w:u w:val="none" w:color="auto"/>
                      <w:lang w:eastAsia="zh-CN"/>
                    </w:rPr>
                    <w:t>，中心</w:t>
                  </w:r>
                  <w:r>
                    <w:rPr>
                      <w:rFonts w:hint="default" w:ascii="Times New Roman" w:hAnsi="Times New Roman" w:cs="Times New Roman"/>
                      <w:u w:val="none" w:color="auto"/>
                    </w:rPr>
                    <w:t>地理坐标：E110°</w:t>
                  </w:r>
                  <w:r>
                    <w:rPr>
                      <w:rFonts w:hint="default" w:ascii="Times New Roman" w:hAnsi="Times New Roman" w:cs="Times New Roman"/>
                      <w:u w:val="none" w:color="auto"/>
                      <w:lang w:val="en-US" w:eastAsia="zh-CN"/>
                    </w:rPr>
                    <w:t>11</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3.141</w:t>
                  </w:r>
                  <w:r>
                    <w:rPr>
                      <w:rFonts w:hint="default" w:ascii="Times New Roman" w:hAnsi="Times New Roman" w:cs="Times New Roman"/>
                      <w:u w:val="none" w:color="auto"/>
                    </w:rPr>
                    <w:t>″，N28°</w:t>
                  </w:r>
                  <w:r>
                    <w:rPr>
                      <w:rFonts w:hint="default" w:ascii="Times New Roman" w:hAnsi="Times New Roman" w:cs="Times New Roman"/>
                      <w:u w:val="none" w:color="auto"/>
                      <w:lang w:val="en-US" w:eastAsia="zh-CN"/>
                    </w:rPr>
                    <w:t>11</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29.651</w:t>
                  </w:r>
                  <w:r>
                    <w:rPr>
                      <w:rFonts w:hint="default" w:ascii="Times New Roman" w:hAnsi="Times New Roman" w:cs="Times New Roman"/>
                      <w:u w:val="none" w:color="auto"/>
                    </w:rPr>
                    <w:t>″</w:t>
                  </w:r>
                </w:p>
              </w:tc>
              <w:tc>
                <w:tcPr>
                  <w:tcW w:w="1738" w:type="pct"/>
                  <w:noWrap w:val="0"/>
                  <w:vAlign w:val="center"/>
                </w:tcPr>
                <w:p>
                  <w:pPr>
                    <w:pStyle w:val="95"/>
                    <w:bidi w:val="0"/>
                    <w:rPr>
                      <w:rFonts w:hint="default" w:ascii="Times New Roman" w:hAnsi="Times New Roman" w:cs="Times New Roman"/>
                      <w:u w:val="none" w:color="auto"/>
                    </w:rPr>
                  </w:pPr>
                  <w:r>
                    <w:rPr>
                      <w:rFonts w:hint="default" w:ascii="Times New Roman" w:hAnsi="Times New Roman" w:cs="Times New Roman"/>
                      <w:u w:val="none" w:color="auto"/>
                    </w:rPr>
                    <w:t>项目位于</w:t>
                  </w:r>
                  <w:r>
                    <w:rPr>
                      <w:rFonts w:hint="default" w:ascii="Times New Roman" w:hAnsi="Times New Roman" w:cs="Times New Roman"/>
                      <w:u w:val="none" w:color="auto"/>
                      <w:lang w:val="en-US" w:eastAsia="zh-CN"/>
                    </w:rPr>
                    <w:t>泸溪县武溪镇红土溪村</w:t>
                  </w:r>
                  <w:r>
                    <w:rPr>
                      <w:rFonts w:hint="default" w:ascii="Times New Roman" w:hAnsi="Times New Roman" w:cs="Times New Roman"/>
                      <w:u w:val="none" w:color="auto"/>
                      <w:lang w:eastAsia="zh-CN"/>
                    </w:rPr>
                    <w:t>，中心</w:t>
                  </w:r>
                  <w:r>
                    <w:rPr>
                      <w:rFonts w:hint="default" w:ascii="Times New Roman" w:hAnsi="Times New Roman" w:cs="Times New Roman"/>
                      <w:u w:val="none" w:color="auto"/>
                    </w:rPr>
                    <w:t>地理坐标：E110°</w:t>
                  </w:r>
                  <w:r>
                    <w:rPr>
                      <w:rFonts w:hint="default" w:ascii="Times New Roman" w:hAnsi="Times New Roman" w:cs="Times New Roman"/>
                      <w:u w:val="none" w:color="auto"/>
                      <w:lang w:val="en-US" w:eastAsia="zh-CN"/>
                    </w:rPr>
                    <w:t>11</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3.141</w:t>
                  </w:r>
                  <w:r>
                    <w:rPr>
                      <w:rFonts w:hint="default" w:ascii="Times New Roman" w:hAnsi="Times New Roman" w:cs="Times New Roman"/>
                      <w:u w:val="none" w:color="auto"/>
                    </w:rPr>
                    <w:t>″，N28°</w:t>
                  </w:r>
                  <w:r>
                    <w:rPr>
                      <w:rFonts w:hint="default" w:ascii="Times New Roman" w:hAnsi="Times New Roman" w:cs="Times New Roman"/>
                      <w:u w:val="none" w:color="auto"/>
                      <w:lang w:val="en-US" w:eastAsia="zh-CN"/>
                    </w:rPr>
                    <w:t>11</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29.651</w:t>
                  </w:r>
                  <w:r>
                    <w:rPr>
                      <w:rFonts w:hint="default" w:ascii="Times New Roman" w:hAnsi="Times New Roman" w:cs="Times New Roman"/>
                      <w:u w:val="none" w:color="auto"/>
                    </w:rPr>
                    <w:t>″</w:t>
                  </w:r>
                </w:p>
              </w:tc>
              <w:tc>
                <w:tcPr>
                  <w:tcW w:w="693" w:type="pct"/>
                  <w:noWrap w:val="0"/>
                  <w:vAlign w:val="center"/>
                </w:tcPr>
                <w:p>
                  <w:pPr>
                    <w:pStyle w:val="95"/>
                    <w:bidi w:val="0"/>
                    <w:rPr>
                      <w:rFonts w:hint="default" w:ascii="Times New Roman" w:hAnsi="Times New Roman" w:eastAsia="宋体" w:cs="Times New Roman"/>
                      <w:u w:val="none" w:color="auto"/>
                      <w:lang w:eastAsia="zh-CN"/>
                    </w:rPr>
                  </w:pPr>
                  <w:r>
                    <w:rPr>
                      <w:rFonts w:hint="default" w:ascii="Times New Roman" w:hAnsi="Times New Roman" w:cs="Times New Roman"/>
                      <w:u w:val="none" w:color="auto"/>
                      <w:lang w:eastAsia="zh-CN"/>
                    </w:rPr>
                    <w:t>不变</w:t>
                  </w:r>
                </w:p>
              </w:tc>
              <w:tc>
                <w:tcPr>
                  <w:tcW w:w="465" w:type="pct"/>
                  <w:noWrap w:val="0"/>
                  <w:vAlign w:val="center"/>
                </w:tcPr>
                <w:p>
                  <w:pPr>
                    <w:pStyle w:val="95"/>
                    <w:bidi w:val="0"/>
                    <w:rPr>
                      <w:rFonts w:hint="default" w:ascii="Times New Roman" w:hAnsi="Times New Roman" w:cs="Times New Roman"/>
                      <w:u w:val="none" w:color="auto"/>
                    </w:rPr>
                  </w:pPr>
                  <w:r>
                    <w:rPr>
                      <w:rFonts w:ascii="Times New Roman" w:hAnsi="Times New Roman" w:cs="Times New Roman"/>
                      <w:u w:val="none" w:color="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restar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生产工艺</w:t>
                  </w:r>
                </w:p>
              </w:tc>
              <w:tc>
                <w:tcPr>
                  <w:tcW w:w="168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干、湿米粉所使用的原料均为大米、</w:t>
                  </w:r>
                  <w:r>
                    <w:rPr>
                      <w:rFonts w:ascii="Times New Roman" w:hAnsi="Times New Roman" w:cs="Times New Roman"/>
                      <w:u w:val="none" w:color="auto"/>
                    </w:rPr>
                    <w:t>玉米淀粉</w:t>
                  </w:r>
                  <w:r>
                    <w:rPr>
                      <w:rFonts w:hint="default" w:ascii="Times New Roman" w:hAnsi="Times New Roman" w:cs="Times New Roman"/>
                      <w:u w:val="none" w:color="auto"/>
                      <w:lang w:val="en-US" w:eastAsia="zh-CN"/>
                    </w:rPr>
                    <w:t>以及水</w:t>
                  </w:r>
                </w:p>
              </w:tc>
              <w:tc>
                <w:tcPr>
                  <w:tcW w:w="1738" w:type="pct"/>
                  <w:noWrap w:val="0"/>
                  <w:vAlign w:val="center"/>
                </w:tcPr>
                <w:p>
                  <w:pPr>
                    <w:pStyle w:val="95"/>
                    <w:bidi w:val="0"/>
                    <w:rPr>
                      <w:rFonts w:ascii="Times New Roman" w:hAnsi="Times New Roman" w:cs="Times New Roman"/>
                      <w:u w:val="none" w:color="auto"/>
                    </w:rPr>
                  </w:pPr>
                  <w:r>
                    <w:rPr>
                      <w:rFonts w:hint="default" w:ascii="Times New Roman" w:hAnsi="Times New Roman" w:cs="Times New Roman"/>
                      <w:u w:val="none" w:color="auto"/>
                      <w:lang w:val="en-US" w:eastAsia="zh-CN"/>
                    </w:rPr>
                    <w:t>湿米粉所使用的原料为大米、</w:t>
                  </w:r>
                  <w:r>
                    <w:rPr>
                      <w:rFonts w:ascii="Times New Roman" w:hAnsi="Times New Roman" w:cs="Times New Roman"/>
                      <w:u w:val="none" w:color="auto"/>
                    </w:rPr>
                    <w:t>玉米淀粉</w:t>
                  </w:r>
                  <w:r>
                    <w:rPr>
                      <w:rFonts w:hint="default" w:ascii="Times New Roman" w:hAnsi="Times New Roman" w:cs="Times New Roman"/>
                      <w:u w:val="none" w:color="auto"/>
                      <w:lang w:val="en-US" w:eastAsia="zh-CN"/>
                    </w:rPr>
                    <w:t>以及水</w:t>
                  </w:r>
                </w:p>
              </w:tc>
              <w:tc>
                <w:tcPr>
                  <w:tcW w:w="693" w:type="pct"/>
                  <w:vMerge w:val="restar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干米粉生产线不在本次评价范围之内，远期另行征地建设</w:t>
                  </w:r>
                </w:p>
              </w:tc>
              <w:tc>
                <w:tcPr>
                  <w:tcW w:w="465" w:type="pct"/>
                  <w:noWrap w:val="0"/>
                  <w:vAlign w:val="center"/>
                </w:tcPr>
                <w:p>
                  <w:pPr>
                    <w:pStyle w:val="95"/>
                    <w:bidi w:val="0"/>
                    <w:rPr>
                      <w:rFonts w:ascii="Times New Roman" w:hAnsi="Times New Roman" w:cs="Times New Roman"/>
                      <w:u w:val="none" w:color="auto"/>
                    </w:rPr>
                  </w:pPr>
                  <w:r>
                    <w:rPr>
                      <w:rFonts w:ascii="Times New Roman" w:hAnsi="Times New Roman" w:cs="Times New Roman"/>
                      <w:u w:val="none" w:color="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pStyle w:val="95"/>
                    <w:bidi w:val="0"/>
                    <w:rPr>
                      <w:rFonts w:hint="default" w:ascii="Times New Roman" w:hAnsi="Times New Roman" w:cs="Times New Roman"/>
                      <w:u w:val="none" w:color="auto"/>
                      <w:lang w:eastAsia="zh-CN"/>
                    </w:rPr>
                  </w:pPr>
                </w:p>
              </w:tc>
              <w:tc>
                <w:tcPr>
                  <w:tcW w:w="1683" w:type="pct"/>
                  <w:noWrap w:val="0"/>
                  <w:vAlign w:val="center"/>
                </w:tcPr>
                <w:p>
                  <w:pPr>
                    <w:pStyle w:val="95"/>
                    <w:bidi w:val="0"/>
                    <w:rPr>
                      <w:rFonts w:ascii="Times New Roman" w:hAnsi="Times New Roman" w:cs="Times New Roman"/>
                      <w:u w:val="none" w:color="auto"/>
                    </w:rPr>
                  </w:pPr>
                  <w:r>
                    <w:rPr>
                      <w:rFonts w:hint="default" w:ascii="Times New Roman" w:hAnsi="Times New Roman" w:cs="Times New Roman"/>
                      <w:u w:val="none" w:color="auto"/>
                      <w:lang w:val="en-US" w:eastAsia="zh-CN"/>
                    </w:rPr>
                    <w:t>干米粉生产</w:t>
                  </w:r>
                  <w:r>
                    <w:rPr>
                      <w:rFonts w:hint="default" w:ascii="Times New Roman" w:hAnsi="Times New Roman" w:cs="Times New Roman"/>
                      <w:u w:val="none" w:color="auto"/>
                      <w:lang w:eastAsia="zh-CN"/>
                    </w:rPr>
                    <w:t>工艺如下：</w:t>
                  </w:r>
                  <w:r>
                    <w:rPr>
                      <w:rFonts w:hint="default" w:ascii="Times New Roman" w:hAnsi="Times New Roman" w:cs="Times New Roman"/>
                      <w:u w:val="none" w:color="auto"/>
                      <w:lang w:val="en-US" w:eastAsia="zh-CN"/>
                    </w:rPr>
                    <w:t>洗米</w:t>
                  </w:r>
                  <w:r>
                    <w:rPr>
                      <w:rFonts w:hint="default" w:ascii="Times New Roman" w:hAnsi="Times New Roman" w:cs="Times New Roman"/>
                      <w:u w:val="none" w:color="auto"/>
                      <w:lang w:eastAsia="zh-CN"/>
                    </w:rPr>
                    <w:t>→</w:t>
                  </w:r>
                  <w:r>
                    <w:rPr>
                      <w:rFonts w:ascii="Times New Roman" w:hAnsi="Times New Roman" w:cs="Times New Roman"/>
                      <w:u w:val="none" w:color="auto"/>
                    </w:rPr>
                    <w:t>磨浆</w:t>
                  </w:r>
                  <w:r>
                    <w:rPr>
                      <w:rFonts w:hint="default" w:ascii="Times New Roman" w:hAnsi="Times New Roman" w:cs="Times New Roman"/>
                      <w:u w:val="none" w:color="auto"/>
                      <w:lang w:eastAsia="zh-CN"/>
                    </w:rPr>
                    <w:t>→</w:t>
                  </w:r>
                  <w:r>
                    <w:rPr>
                      <w:rFonts w:hint="default" w:ascii="Times New Roman" w:hAnsi="Times New Roman" w:cs="Times New Roman"/>
                      <w:u w:val="none" w:color="auto"/>
                    </w:rPr>
                    <w:t>调和</w:t>
                  </w:r>
                  <w:r>
                    <w:rPr>
                      <w:rFonts w:hint="default" w:ascii="Times New Roman" w:hAnsi="Times New Roman" w:cs="Times New Roman"/>
                      <w:u w:val="none" w:color="auto"/>
                      <w:lang w:eastAsia="zh-CN"/>
                    </w:rPr>
                    <w:t>→自熟挤丝→</w:t>
                  </w:r>
                  <w:r>
                    <w:rPr>
                      <w:rFonts w:hint="default" w:ascii="Times New Roman" w:hAnsi="Times New Roman" w:cs="Times New Roman"/>
                      <w:u w:val="none" w:color="auto"/>
                      <w:lang w:val="en-US"/>
                    </w:rPr>
                    <w:t>老化</w:t>
                  </w:r>
                  <w:r>
                    <w:rPr>
                      <w:rFonts w:hint="default" w:ascii="Times New Roman" w:hAnsi="Times New Roman" w:cs="Times New Roman"/>
                      <w:u w:val="none" w:color="auto"/>
                      <w:lang w:eastAsia="zh-CN"/>
                    </w:rPr>
                    <w:t>→烘干→</w:t>
                  </w:r>
                  <w:r>
                    <w:rPr>
                      <w:rFonts w:hint="default" w:ascii="Times New Roman" w:hAnsi="Times New Roman" w:cs="Times New Roman"/>
                      <w:u w:val="none" w:color="auto"/>
                    </w:rPr>
                    <w:t>包装</w:t>
                  </w:r>
                </w:p>
              </w:tc>
              <w:tc>
                <w:tcPr>
                  <w:tcW w:w="1738" w:type="pct"/>
                  <w:noWrap w:val="0"/>
                  <w:vAlign w:val="center"/>
                </w:tcPr>
                <w:p>
                  <w:pPr>
                    <w:pStyle w:val="95"/>
                    <w:bidi w:val="0"/>
                    <w:rPr>
                      <w:rFonts w:ascii="Times New Roman" w:hAnsi="Times New Roman" w:cs="Times New Roman"/>
                      <w:u w:val="none" w:color="auto"/>
                    </w:rPr>
                  </w:pPr>
                  <w:r>
                    <w:rPr>
                      <w:rFonts w:hint="default" w:ascii="Times New Roman" w:hAnsi="Times New Roman" w:cs="Times New Roman"/>
                      <w:u w:val="none" w:color="auto"/>
                      <w:lang w:val="en-US" w:eastAsia="zh-CN"/>
                    </w:rPr>
                    <w:t>/</w:t>
                  </w:r>
                </w:p>
              </w:tc>
              <w:tc>
                <w:tcPr>
                  <w:tcW w:w="693" w:type="pct"/>
                  <w:vMerge w:val="continue"/>
                  <w:noWrap w:val="0"/>
                  <w:vAlign w:val="center"/>
                </w:tcPr>
                <w:p>
                  <w:pPr>
                    <w:pStyle w:val="95"/>
                    <w:bidi w:val="0"/>
                    <w:rPr>
                      <w:rFonts w:hint="default" w:ascii="Times New Roman" w:hAnsi="Times New Roman" w:cs="Times New Roman"/>
                      <w:u w:val="none" w:color="auto"/>
                      <w:lang w:eastAsia="zh-CN"/>
                    </w:rPr>
                  </w:pPr>
                </w:p>
              </w:tc>
              <w:tc>
                <w:tcPr>
                  <w:tcW w:w="465" w:type="pct"/>
                  <w:noWrap w:val="0"/>
                  <w:vAlign w:val="center"/>
                </w:tcPr>
                <w:p>
                  <w:pPr>
                    <w:pStyle w:val="95"/>
                    <w:bidi w:val="0"/>
                    <w:rPr>
                      <w:rFonts w:ascii="Times New Roman" w:hAnsi="Times New Roman" w:cs="Times New Roman"/>
                      <w:u w:val="none" w:color="auto"/>
                    </w:rPr>
                  </w:pPr>
                  <w:r>
                    <w:rPr>
                      <w:rFonts w:ascii="Times New Roman" w:hAnsi="Times New Roman" w:cs="Times New Roman"/>
                      <w:u w:val="none" w:color="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vMerge w:val="continue"/>
                  <w:noWrap w:val="0"/>
                  <w:vAlign w:val="center"/>
                </w:tcPr>
                <w:p>
                  <w:pPr>
                    <w:pStyle w:val="95"/>
                    <w:bidi w:val="0"/>
                    <w:rPr>
                      <w:rFonts w:hint="default" w:ascii="Times New Roman" w:hAnsi="Times New Roman" w:cs="Times New Roman"/>
                      <w:u w:val="none" w:color="auto"/>
                      <w:lang w:eastAsia="zh-CN"/>
                    </w:rPr>
                  </w:pPr>
                </w:p>
              </w:tc>
              <w:tc>
                <w:tcPr>
                  <w:tcW w:w="168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湿米粉生产</w:t>
                  </w:r>
                  <w:r>
                    <w:rPr>
                      <w:rFonts w:hint="default" w:ascii="Times New Roman" w:hAnsi="Times New Roman" w:cs="Times New Roman"/>
                      <w:u w:val="none" w:color="auto"/>
                      <w:lang w:eastAsia="zh-CN"/>
                    </w:rPr>
                    <w:t>工艺如下：</w:t>
                  </w:r>
                  <w:r>
                    <w:rPr>
                      <w:rFonts w:hint="default" w:ascii="Times New Roman" w:hAnsi="Times New Roman" w:cs="Times New Roman"/>
                      <w:u w:val="none" w:color="auto"/>
                      <w:lang w:val="en-US" w:eastAsia="zh-CN"/>
                    </w:rPr>
                    <w:t>洗米</w:t>
                  </w:r>
                  <w:r>
                    <w:rPr>
                      <w:rFonts w:hint="default" w:ascii="Times New Roman" w:hAnsi="Times New Roman" w:cs="Times New Roman"/>
                      <w:u w:val="none" w:color="auto"/>
                      <w:lang w:eastAsia="zh-CN"/>
                    </w:rPr>
                    <w:t>→</w:t>
                  </w:r>
                  <w:r>
                    <w:rPr>
                      <w:rFonts w:ascii="Times New Roman" w:hAnsi="Times New Roman" w:cs="Times New Roman"/>
                      <w:u w:val="none" w:color="auto"/>
                    </w:rPr>
                    <w:t>磨浆</w:t>
                  </w:r>
                  <w:r>
                    <w:rPr>
                      <w:rFonts w:hint="default" w:ascii="Times New Roman" w:hAnsi="Times New Roman" w:cs="Times New Roman"/>
                      <w:u w:val="none" w:color="auto"/>
                      <w:lang w:eastAsia="zh-CN"/>
                    </w:rPr>
                    <w:t>→</w:t>
                  </w:r>
                  <w:r>
                    <w:rPr>
                      <w:rFonts w:hint="default" w:ascii="Times New Roman" w:hAnsi="Times New Roman" w:cs="Times New Roman"/>
                      <w:u w:val="none" w:color="auto"/>
                    </w:rPr>
                    <w:t>调和</w:t>
                  </w:r>
                  <w:r>
                    <w:rPr>
                      <w:rFonts w:hint="default" w:ascii="Times New Roman" w:hAnsi="Times New Roman" w:cs="Times New Roman"/>
                      <w:u w:val="none" w:color="auto"/>
                      <w:lang w:eastAsia="zh-CN"/>
                    </w:rPr>
                    <w:t>→自熟挤丝→</w:t>
                  </w:r>
                  <w:r>
                    <w:rPr>
                      <w:rFonts w:hint="default" w:ascii="Times New Roman" w:hAnsi="Times New Roman" w:cs="Times New Roman"/>
                      <w:u w:val="none" w:color="auto"/>
                      <w:lang w:val="en-US" w:eastAsia="zh-CN"/>
                    </w:rPr>
                    <w:t>蒸煮</w:t>
                  </w:r>
                  <w:r>
                    <w:rPr>
                      <w:rFonts w:hint="default" w:ascii="Times New Roman" w:hAnsi="Times New Roman" w:cs="Times New Roman"/>
                      <w:u w:val="none" w:color="auto"/>
                      <w:lang w:eastAsia="zh-CN"/>
                    </w:rPr>
                    <w:t>→自动喷淋清洗→</w:t>
                  </w:r>
                  <w:r>
                    <w:rPr>
                      <w:rFonts w:hint="default" w:ascii="Times New Roman" w:hAnsi="Times New Roman" w:cs="Times New Roman"/>
                      <w:u w:val="none" w:color="auto"/>
                    </w:rPr>
                    <w:t>包装</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消毒</w:t>
                  </w:r>
                  <w:r>
                    <w:rPr>
                      <w:rFonts w:hint="default" w:ascii="Times New Roman" w:hAnsi="Times New Roman" w:cs="Times New Roman"/>
                      <w:u w:val="none" w:color="auto"/>
                      <w:lang w:eastAsia="zh-CN"/>
                    </w:rPr>
                    <w:t>）</w:t>
                  </w:r>
                </w:p>
              </w:tc>
              <w:tc>
                <w:tcPr>
                  <w:tcW w:w="1738"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湿米粉生产</w:t>
                  </w:r>
                  <w:r>
                    <w:rPr>
                      <w:rFonts w:hint="default" w:ascii="Times New Roman" w:hAnsi="Times New Roman" w:cs="Times New Roman"/>
                      <w:u w:val="none" w:color="auto"/>
                      <w:lang w:eastAsia="zh-CN"/>
                    </w:rPr>
                    <w:t>工艺如下：</w:t>
                  </w:r>
                  <w:r>
                    <w:rPr>
                      <w:rFonts w:hint="default" w:ascii="Times New Roman" w:hAnsi="Times New Roman" w:cs="Times New Roman"/>
                      <w:u w:val="none" w:color="auto"/>
                      <w:lang w:val="en-US" w:eastAsia="zh-CN"/>
                    </w:rPr>
                    <w:t>洗米</w:t>
                  </w:r>
                  <w:r>
                    <w:rPr>
                      <w:rFonts w:hint="default" w:ascii="Times New Roman" w:hAnsi="Times New Roman" w:cs="Times New Roman"/>
                      <w:u w:val="none" w:color="auto"/>
                      <w:lang w:eastAsia="zh-CN"/>
                    </w:rPr>
                    <w:t>→</w:t>
                  </w:r>
                  <w:r>
                    <w:rPr>
                      <w:rFonts w:ascii="Times New Roman" w:hAnsi="Times New Roman" w:cs="Times New Roman"/>
                      <w:u w:val="none" w:color="auto"/>
                    </w:rPr>
                    <w:t>磨浆</w:t>
                  </w:r>
                  <w:r>
                    <w:rPr>
                      <w:rFonts w:hint="default" w:ascii="Times New Roman" w:hAnsi="Times New Roman" w:cs="Times New Roman"/>
                      <w:u w:val="none" w:color="auto"/>
                      <w:lang w:eastAsia="zh-CN"/>
                    </w:rPr>
                    <w:t>→</w:t>
                  </w:r>
                  <w:r>
                    <w:rPr>
                      <w:rFonts w:hint="default" w:ascii="Times New Roman" w:hAnsi="Times New Roman" w:cs="Times New Roman"/>
                      <w:u w:val="none" w:color="auto"/>
                    </w:rPr>
                    <w:t>调和</w:t>
                  </w:r>
                  <w:r>
                    <w:rPr>
                      <w:rFonts w:hint="default" w:ascii="Times New Roman" w:hAnsi="Times New Roman" w:cs="Times New Roman"/>
                      <w:u w:val="none" w:color="auto"/>
                      <w:lang w:eastAsia="zh-CN"/>
                    </w:rPr>
                    <w:t>→自熟挤丝→</w:t>
                  </w:r>
                  <w:r>
                    <w:rPr>
                      <w:rFonts w:hint="default" w:ascii="Times New Roman" w:hAnsi="Times New Roman" w:cs="Times New Roman"/>
                      <w:u w:val="none" w:color="auto"/>
                      <w:lang w:val="en-US" w:eastAsia="zh-CN"/>
                    </w:rPr>
                    <w:t>蒸煮</w:t>
                  </w:r>
                  <w:r>
                    <w:rPr>
                      <w:rFonts w:hint="default" w:ascii="Times New Roman" w:hAnsi="Times New Roman" w:cs="Times New Roman"/>
                      <w:u w:val="none" w:color="auto"/>
                      <w:lang w:eastAsia="zh-CN"/>
                    </w:rPr>
                    <w:t>→自动喷淋清洗→</w:t>
                  </w:r>
                  <w:r>
                    <w:rPr>
                      <w:rFonts w:hint="default" w:ascii="Times New Roman" w:hAnsi="Times New Roman" w:cs="Times New Roman"/>
                      <w:u w:val="none" w:color="auto"/>
                    </w:rPr>
                    <w:t>包装</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消毒</w:t>
                  </w:r>
                  <w:r>
                    <w:rPr>
                      <w:rFonts w:hint="default" w:ascii="Times New Roman" w:hAnsi="Times New Roman" w:cs="Times New Roman"/>
                      <w:u w:val="none" w:color="auto"/>
                      <w:lang w:eastAsia="zh-CN"/>
                    </w:rPr>
                    <w:t>）</w:t>
                  </w:r>
                </w:p>
              </w:tc>
              <w:tc>
                <w:tcPr>
                  <w:tcW w:w="69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不变</w:t>
                  </w:r>
                </w:p>
              </w:tc>
              <w:tc>
                <w:tcPr>
                  <w:tcW w:w="465" w:type="pct"/>
                  <w:noWrap w:val="0"/>
                  <w:vAlign w:val="center"/>
                </w:tcPr>
                <w:p>
                  <w:pPr>
                    <w:pStyle w:val="95"/>
                    <w:bidi w:val="0"/>
                    <w:rPr>
                      <w:rFonts w:ascii="Times New Roman" w:hAnsi="Times New Roman" w:cs="Times New Roman"/>
                      <w:u w:val="none" w:color="auto"/>
                    </w:rPr>
                  </w:pPr>
                  <w:r>
                    <w:rPr>
                      <w:rFonts w:ascii="Times New Roman" w:hAnsi="Times New Roman" w:cs="Times New Roman"/>
                      <w:u w:val="none" w:color="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pStyle w:val="95"/>
                    <w:bidi w:val="0"/>
                    <w:rPr>
                      <w:rFonts w:hint="default" w:ascii="Times New Roman" w:hAnsi="Times New Roman" w:cs="Times New Roman"/>
                      <w:u w:val="none" w:color="auto"/>
                      <w:lang w:eastAsia="zh-CN"/>
                    </w:rPr>
                  </w:pPr>
                </w:p>
              </w:tc>
              <w:tc>
                <w:tcPr>
                  <w:tcW w:w="168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电、水</w:t>
                  </w:r>
                </w:p>
              </w:tc>
              <w:tc>
                <w:tcPr>
                  <w:tcW w:w="1738" w:type="pct"/>
                  <w:noWrap w:val="0"/>
                  <w:vAlign w:val="center"/>
                </w:tcPr>
                <w:p>
                  <w:pPr>
                    <w:pStyle w:val="95"/>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eastAsia="zh-CN"/>
                    </w:rPr>
                    <w:t>电、水、</w:t>
                  </w:r>
                  <w:r>
                    <w:rPr>
                      <w:rFonts w:hint="default" w:ascii="Times New Roman" w:hAnsi="Times New Roman" w:cs="Times New Roman"/>
                      <w:u w:val="none" w:color="auto"/>
                      <w:lang w:val="en-US" w:eastAsia="zh-CN"/>
                    </w:rPr>
                    <w:t>生物质颗粒</w:t>
                  </w:r>
                </w:p>
              </w:tc>
              <w:tc>
                <w:tcPr>
                  <w:tcW w:w="69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新增能源种类</w:t>
                  </w:r>
                </w:p>
              </w:tc>
              <w:tc>
                <w:tcPr>
                  <w:tcW w:w="465"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restart"/>
                  <w:noWrap w:val="0"/>
                  <w:vAlign w:val="center"/>
                </w:tcPr>
                <w:p>
                  <w:pPr>
                    <w:pStyle w:val="95"/>
                    <w:bidi w:val="0"/>
                    <w:rPr>
                      <w:rFonts w:hint="default" w:ascii="Times New Roman" w:hAnsi="Times New Roman" w:cs="Times New Roman"/>
                      <w:u w:val="none" w:color="auto"/>
                      <w:lang w:eastAsia="zh-CN"/>
                    </w:rPr>
                  </w:pPr>
                  <w:r>
                    <w:rPr>
                      <w:rFonts w:ascii="Times New Roman" w:hAnsi="Times New Roman" w:cs="Times New Roman"/>
                      <w:u w:val="none" w:color="auto"/>
                    </w:rPr>
                    <w:t>环保措施</w:t>
                  </w:r>
                </w:p>
              </w:tc>
              <w:tc>
                <w:tcPr>
                  <w:tcW w:w="1683" w:type="pct"/>
                  <w:noWrap w:val="0"/>
                  <w:vAlign w:val="center"/>
                </w:tcPr>
                <w:p>
                  <w:pPr>
                    <w:pStyle w:val="70"/>
                    <w:bidi w:val="0"/>
                    <w:ind w:firstLine="0" w:firstLineChars="0"/>
                    <w:rPr>
                      <w:rFonts w:hint="default" w:ascii="Times New Roman" w:hAnsi="Times New Roman" w:cs="Times New Roman"/>
                      <w:u w:val="none" w:color="auto"/>
                      <w:lang w:eastAsia="zh-CN"/>
                    </w:rPr>
                  </w:pPr>
                  <w:r>
                    <w:rPr>
                      <w:rFonts w:hint="default" w:ascii="Times New Roman" w:hAnsi="Times New Roman" w:cs="Times New Roman"/>
                      <w:u w:val="none" w:color="auto"/>
                      <w:lang w:val="en-US"/>
                    </w:rPr>
                    <w:t>生活污水</w:t>
                  </w:r>
                  <w:r>
                    <w:rPr>
                      <w:rFonts w:hint="default" w:ascii="Times New Roman" w:hAnsi="Times New Roman" w:cs="Times New Roman"/>
                      <w:u w:val="none" w:color="auto"/>
                      <w:lang w:val="en-US" w:eastAsia="zh-CN"/>
                    </w:rPr>
                    <w:t>由</w:t>
                  </w:r>
                  <w:r>
                    <w:rPr>
                      <w:rFonts w:hint="default" w:ascii="Times New Roman" w:hAnsi="Times New Roman" w:cs="Times New Roman"/>
                      <w:u w:val="none" w:color="auto"/>
                      <w:lang w:val="en-US"/>
                    </w:rPr>
                    <w:t>化粪池收集后</w:t>
                  </w:r>
                  <w:r>
                    <w:rPr>
                      <w:rFonts w:hint="default" w:ascii="Times New Roman" w:hAnsi="Times New Roman" w:cs="Times New Roman"/>
                      <w:u w:val="none" w:color="auto"/>
                      <w:lang w:val="en-US" w:eastAsia="zh-CN"/>
                    </w:rPr>
                    <w:t>外运作为农肥</w:t>
                  </w:r>
                  <w:r>
                    <w:rPr>
                      <w:rFonts w:hint="default" w:ascii="Times New Roman" w:hAnsi="Times New Roman" w:cs="Times New Roman"/>
                      <w:u w:val="none" w:color="auto"/>
                      <w:lang w:val="en-US"/>
                    </w:rPr>
                    <w:t>。生产废水经厂区自建</w:t>
                  </w:r>
                  <w:r>
                    <w:rPr>
                      <w:rFonts w:hint="default" w:ascii="Times New Roman" w:hAnsi="Times New Roman" w:cs="Times New Roman"/>
                      <w:u w:val="none" w:color="auto"/>
                      <w:lang w:val="en-US" w:eastAsia="zh-CN"/>
                    </w:rPr>
                    <w:t>地埋式</w:t>
                  </w:r>
                  <w:r>
                    <w:rPr>
                      <w:rFonts w:hint="default" w:ascii="Times New Roman" w:hAnsi="Times New Roman" w:cs="Times New Roman"/>
                      <w:u w:val="none" w:color="auto"/>
                      <w:lang w:val="en-US"/>
                    </w:rPr>
                    <w:t>污水处理站处理后达到</w:t>
                  </w:r>
                  <w:r>
                    <w:rPr>
                      <w:rFonts w:hint="default" w:ascii="Times New Roman" w:hAnsi="Times New Roman" w:cs="Times New Roman"/>
                      <w:u w:val="none" w:color="auto"/>
                      <w:lang w:eastAsia="zh-CN"/>
                    </w:rPr>
                    <w:t>《农田灌溉水质标准》（GB5084-20</w:t>
                  </w:r>
                  <w:r>
                    <w:rPr>
                      <w:rFonts w:hint="default" w:ascii="Times New Roman" w:hAnsi="Times New Roman" w:cs="Times New Roman"/>
                      <w:u w:val="none" w:color="auto"/>
                      <w:lang w:val="en-US" w:eastAsia="zh-CN"/>
                    </w:rPr>
                    <w:t>21</w:t>
                  </w:r>
                  <w:r>
                    <w:rPr>
                      <w:rFonts w:hint="default" w:ascii="Times New Roman" w:hAnsi="Times New Roman" w:cs="Times New Roman"/>
                      <w:u w:val="none" w:color="auto"/>
                      <w:lang w:eastAsia="zh-CN"/>
                    </w:rPr>
                    <w:t>）中的</w:t>
                  </w:r>
                  <w:r>
                    <w:rPr>
                      <w:rFonts w:hint="default" w:ascii="Times New Roman" w:hAnsi="Times New Roman" w:cs="Times New Roman"/>
                      <w:u w:val="none" w:color="auto"/>
                      <w:lang w:val="en-US" w:eastAsia="zh-CN"/>
                    </w:rPr>
                    <w:t>水田</w:t>
                  </w:r>
                  <w:r>
                    <w:rPr>
                      <w:rFonts w:hint="default" w:ascii="Times New Roman" w:hAnsi="Times New Roman" w:cs="Times New Roman"/>
                      <w:u w:val="none" w:color="auto"/>
                      <w:lang w:eastAsia="zh-CN"/>
                    </w:rPr>
                    <w:t>标准后</w:t>
                  </w:r>
                  <w:r>
                    <w:rPr>
                      <w:rFonts w:hint="default" w:ascii="Times New Roman" w:hAnsi="Times New Roman" w:cs="Times New Roman"/>
                      <w:u w:val="none" w:color="auto"/>
                    </w:rPr>
                    <w:t>用作农灌</w:t>
                  </w:r>
                </w:p>
              </w:tc>
              <w:tc>
                <w:tcPr>
                  <w:tcW w:w="1738" w:type="pct"/>
                  <w:noWrap w:val="0"/>
                  <w:vAlign w:val="center"/>
                </w:tcPr>
                <w:p>
                  <w:pPr>
                    <w:pStyle w:val="70"/>
                    <w:bidi w:val="0"/>
                    <w:ind w:firstLine="0" w:firstLineChars="0"/>
                    <w:rPr>
                      <w:rFonts w:hint="default" w:ascii="Times New Roman" w:hAnsi="Times New Roman" w:cs="Times New Roman"/>
                      <w:u w:val="none" w:color="auto"/>
                    </w:rPr>
                  </w:pPr>
                  <w:r>
                    <w:rPr>
                      <w:rFonts w:hint="default" w:ascii="Times New Roman" w:hAnsi="Times New Roman" w:cs="Times New Roman"/>
                      <w:u w:val="none" w:color="auto"/>
                    </w:rPr>
                    <w:t>项目</w:t>
                  </w:r>
                  <w:r>
                    <w:rPr>
                      <w:rFonts w:hint="default" w:ascii="Times New Roman" w:hAnsi="Times New Roman" w:cs="Times New Roman"/>
                      <w:highlight w:val="none"/>
                      <w:u w:val="none" w:color="auto"/>
                    </w:rPr>
                    <w:t>生活污水与生产过程中产生的废水进入自建污水处理设施后处理达到</w:t>
                  </w:r>
                  <w:r>
                    <w:rPr>
                      <w:rFonts w:hint="default" w:ascii="Times New Roman" w:hAnsi="Times New Roman" w:cs="Times New Roman"/>
                      <w:highlight w:val="none"/>
                      <w:u w:val="none" w:color="auto"/>
                      <w:lang w:eastAsia="zh-CN"/>
                    </w:rPr>
                    <w:t>《农田灌溉水质标准》（GB5084-20</w:t>
                  </w:r>
                  <w:r>
                    <w:rPr>
                      <w:rFonts w:hint="default" w:ascii="Times New Roman" w:hAnsi="Times New Roman" w:cs="Times New Roman"/>
                      <w:highlight w:val="none"/>
                      <w:u w:val="none" w:color="auto"/>
                      <w:lang w:val="en-US" w:eastAsia="zh-CN"/>
                    </w:rPr>
                    <w:t>21</w:t>
                  </w:r>
                  <w:r>
                    <w:rPr>
                      <w:rFonts w:hint="default" w:ascii="Times New Roman" w:hAnsi="Times New Roman" w:cs="Times New Roman"/>
                      <w:highlight w:val="none"/>
                      <w:u w:val="none" w:color="auto"/>
                      <w:lang w:eastAsia="zh-CN"/>
                    </w:rPr>
                    <w:t>）中的</w:t>
                  </w:r>
                  <w:r>
                    <w:rPr>
                      <w:rFonts w:hint="default" w:ascii="Times New Roman" w:hAnsi="Times New Roman" w:cs="Times New Roman"/>
                      <w:highlight w:val="none"/>
                      <w:u w:val="none" w:color="auto"/>
                      <w:lang w:val="en-US" w:eastAsia="zh-CN"/>
                    </w:rPr>
                    <w:t>水田</w:t>
                  </w:r>
                  <w:r>
                    <w:rPr>
                      <w:rFonts w:hint="default" w:ascii="Times New Roman" w:hAnsi="Times New Roman" w:cs="Times New Roman"/>
                      <w:highlight w:val="none"/>
                      <w:u w:val="none" w:color="auto"/>
                      <w:lang w:eastAsia="zh-CN"/>
                    </w:rPr>
                    <w:t>标准后</w:t>
                  </w:r>
                  <w:r>
                    <w:rPr>
                      <w:rFonts w:hint="default" w:ascii="Times New Roman" w:hAnsi="Times New Roman" w:cs="Times New Roman"/>
                      <w:highlight w:val="none"/>
                      <w:u w:val="none" w:color="auto"/>
                    </w:rPr>
                    <w:t>用作农灌</w:t>
                  </w:r>
                </w:p>
              </w:tc>
              <w:tc>
                <w:tcPr>
                  <w:tcW w:w="69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rPr>
                    <w:t>生活污水</w:t>
                  </w:r>
                  <w:r>
                    <w:rPr>
                      <w:rFonts w:hint="default" w:ascii="Times New Roman" w:hAnsi="Times New Roman" w:cs="Times New Roman"/>
                      <w:u w:val="none" w:color="auto"/>
                      <w:lang w:val="en-US" w:eastAsia="zh-CN"/>
                    </w:rPr>
                    <w:t>处置方式发生变化</w:t>
                  </w:r>
                </w:p>
              </w:tc>
              <w:tc>
                <w:tcPr>
                  <w:tcW w:w="465"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pStyle w:val="95"/>
                    <w:bidi w:val="0"/>
                    <w:rPr>
                      <w:rFonts w:hint="default" w:ascii="Times New Roman" w:hAnsi="Times New Roman" w:cs="Times New Roman"/>
                      <w:u w:val="none" w:color="auto"/>
                      <w:lang w:eastAsia="zh-CN"/>
                    </w:rPr>
                  </w:pPr>
                </w:p>
              </w:tc>
              <w:tc>
                <w:tcPr>
                  <w:tcW w:w="1683" w:type="pct"/>
                  <w:noWrap w:val="0"/>
                  <w:vAlign w:val="center"/>
                </w:tcPr>
                <w:p>
                  <w:pPr>
                    <w:pStyle w:val="95"/>
                    <w:bidi w:val="0"/>
                    <w:jc w:val="left"/>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rPr>
                    <w:t>生产粉尘</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车间通风</w:t>
                  </w:r>
                  <w:r>
                    <w:rPr>
                      <w:rFonts w:hint="default" w:ascii="Times New Roman" w:hAnsi="Times New Roman" w:cs="Times New Roman"/>
                      <w:u w:val="none" w:color="auto"/>
                      <w:lang w:eastAsia="zh-CN"/>
                    </w:rPr>
                    <w:t>；</w:t>
                  </w:r>
                </w:p>
                <w:p>
                  <w:pPr>
                    <w:pStyle w:val="95"/>
                    <w:bidi w:val="0"/>
                    <w:jc w:val="left"/>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rPr>
                    <w:t>污水处理站恶臭</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喷洒除臭剂</w:t>
                  </w:r>
                  <w:r>
                    <w:rPr>
                      <w:rFonts w:hint="default" w:ascii="Times New Roman" w:hAnsi="Times New Roman" w:cs="Times New Roman"/>
                      <w:u w:val="none" w:color="auto"/>
                      <w:lang w:val="en-US" w:eastAsia="zh-CN"/>
                    </w:rPr>
                    <w:t>、加强绿化；</w:t>
                  </w:r>
                </w:p>
                <w:p>
                  <w:pPr>
                    <w:pStyle w:val="95"/>
                    <w:bidi w:val="0"/>
                    <w:jc w:val="left"/>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发酵异味：车间通风</w:t>
                  </w:r>
                </w:p>
              </w:tc>
              <w:tc>
                <w:tcPr>
                  <w:tcW w:w="1738" w:type="pct"/>
                  <w:noWrap w:val="0"/>
                  <w:vAlign w:val="center"/>
                </w:tcPr>
                <w:p>
                  <w:pPr>
                    <w:pStyle w:val="95"/>
                    <w:bidi w:val="0"/>
                    <w:jc w:val="left"/>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蒸汽发生器废气</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湿式除尘+20m排气筒</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DA001</w:t>
                  </w:r>
                  <w:r>
                    <w:rPr>
                      <w:rFonts w:hint="default" w:ascii="Times New Roman" w:hAnsi="Times New Roman" w:cs="Times New Roman"/>
                      <w:u w:val="none" w:color="auto"/>
                      <w:lang w:eastAsia="zh-CN"/>
                    </w:rPr>
                    <w:t>）排放；</w:t>
                  </w:r>
                </w:p>
                <w:p>
                  <w:pPr>
                    <w:pStyle w:val="95"/>
                    <w:bidi w:val="0"/>
                    <w:jc w:val="left"/>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rPr>
                    <w:t>生产粉尘</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车间通风</w:t>
                  </w:r>
                  <w:r>
                    <w:rPr>
                      <w:rFonts w:hint="default" w:ascii="Times New Roman" w:hAnsi="Times New Roman" w:cs="Times New Roman"/>
                      <w:u w:val="none" w:color="auto"/>
                      <w:lang w:eastAsia="zh-CN"/>
                    </w:rPr>
                    <w:t>；</w:t>
                  </w:r>
                </w:p>
                <w:p>
                  <w:pPr>
                    <w:pStyle w:val="95"/>
                    <w:bidi w:val="0"/>
                    <w:jc w:val="left"/>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rPr>
                    <w:t>污水处理站恶臭</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喷洒除臭剂</w:t>
                  </w:r>
                  <w:r>
                    <w:rPr>
                      <w:rFonts w:hint="default" w:ascii="Times New Roman" w:hAnsi="Times New Roman" w:cs="Times New Roman"/>
                      <w:u w:val="none" w:color="auto"/>
                      <w:lang w:val="en-US" w:eastAsia="zh-CN"/>
                    </w:rPr>
                    <w:t>、加强绿化；</w:t>
                  </w:r>
                </w:p>
                <w:p>
                  <w:pPr>
                    <w:pStyle w:val="95"/>
                    <w:bidi w:val="0"/>
                    <w:jc w:val="left"/>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发酵异味：车间通风</w:t>
                  </w:r>
                </w:p>
              </w:tc>
              <w:tc>
                <w:tcPr>
                  <w:tcW w:w="693" w:type="pct"/>
                  <w:noWrap w:val="0"/>
                  <w:vAlign w:val="center"/>
                </w:tcPr>
                <w:p>
                  <w:pPr>
                    <w:pStyle w:val="95"/>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新增二氧化硫、氮氧化物等污染物，新增一根废气排放口</w:t>
                  </w:r>
                </w:p>
              </w:tc>
              <w:tc>
                <w:tcPr>
                  <w:tcW w:w="465"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pStyle w:val="95"/>
                    <w:bidi w:val="0"/>
                    <w:rPr>
                      <w:rFonts w:hint="default" w:ascii="Times New Roman" w:hAnsi="Times New Roman" w:cs="Times New Roman"/>
                      <w:u w:val="none" w:color="auto"/>
                      <w:lang w:eastAsia="zh-CN"/>
                    </w:rPr>
                  </w:pPr>
                </w:p>
              </w:tc>
              <w:tc>
                <w:tcPr>
                  <w:tcW w:w="1683" w:type="pct"/>
                  <w:noWrap w:val="0"/>
                  <w:vAlign w:val="center"/>
                </w:tcPr>
                <w:p>
                  <w:pPr>
                    <w:pStyle w:val="95"/>
                    <w:bidi w:val="0"/>
                    <w:rPr>
                      <w:rFonts w:ascii="Times New Roman" w:hAnsi="Times New Roman" w:cs="Times New Roman"/>
                      <w:u w:val="none" w:color="auto"/>
                    </w:rPr>
                  </w:pPr>
                  <w:r>
                    <w:rPr>
                      <w:rFonts w:hint="default" w:ascii="Times New Roman" w:hAnsi="Times New Roman" w:cs="Times New Roman"/>
                      <w:u w:val="none" w:color="auto"/>
                      <w:lang w:val="en-US" w:eastAsia="zh-CN"/>
                    </w:rPr>
                    <w:t>选购低噪声设备，</w:t>
                  </w:r>
                  <w:r>
                    <w:rPr>
                      <w:rFonts w:hint="default" w:ascii="Times New Roman" w:hAnsi="Times New Roman" w:cs="Times New Roman"/>
                      <w:u w:val="none" w:color="auto"/>
                      <w:lang w:val="en-US"/>
                    </w:rPr>
                    <w:t>基础减震、厂房隔声</w:t>
                  </w:r>
                </w:p>
              </w:tc>
              <w:tc>
                <w:tcPr>
                  <w:tcW w:w="1738" w:type="pct"/>
                  <w:noWrap w:val="0"/>
                  <w:vAlign w:val="center"/>
                </w:tcPr>
                <w:p>
                  <w:pPr>
                    <w:pStyle w:val="95"/>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选购低噪声设备，</w:t>
                  </w:r>
                  <w:r>
                    <w:rPr>
                      <w:rFonts w:hint="default" w:ascii="Times New Roman" w:hAnsi="Times New Roman" w:cs="Times New Roman"/>
                      <w:u w:val="none" w:color="auto"/>
                      <w:lang w:val="en-US"/>
                    </w:rPr>
                    <w:t>基础减震、厂房隔声</w:t>
                  </w:r>
                </w:p>
              </w:tc>
              <w:tc>
                <w:tcPr>
                  <w:tcW w:w="693"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不变</w:t>
                  </w:r>
                </w:p>
              </w:tc>
              <w:tc>
                <w:tcPr>
                  <w:tcW w:w="465"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pStyle w:val="95"/>
                    <w:bidi w:val="0"/>
                    <w:rPr>
                      <w:rFonts w:hint="default" w:ascii="Times New Roman" w:hAnsi="Times New Roman" w:cs="Times New Roman"/>
                      <w:u w:val="none" w:color="auto"/>
                      <w:lang w:eastAsia="zh-CN"/>
                    </w:rPr>
                  </w:pPr>
                </w:p>
              </w:tc>
              <w:tc>
                <w:tcPr>
                  <w:tcW w:w="1683" w:type="pct"/>
                  <w:noWrap w:val="0"/>
                  <w:vAlign w:val="center"/>
                </w:tcPr>
                <w:p>
                  <w:pPr>
                    <w:pStyle w:val="95"/>
                    <w:bidi w:val="0"/>
                    <w:rPr>
                      <w:rFonts w:ascii="Times New Roman" w:hAnsi="Times New Roman" w:cs="Times New Roman"/>
                      <w:u w:val="none" w:color="auto"/>
                    </w:rPr>
                  </w:pPr>
                  <w:r>
                    <w:rPr>
                      <w:rFonts w:hint="default" w:ascii="Times New Roman" w:hAnsi="Times New Roman" w:cs="Times New Roman"/>
                      <w:u w:val="none" w:color="auto"/>
                      <w:lang w:val="en-US"/>
                    </w:rPr>
                    <w:t>生活垃圾</w:t>
                  </w:r>
                  <w:r>
                    <w:rPr>
                      <w:rFonts w:hint="default" w:ascii="Times New Roman" w:hAnsi="Times New Roman" w:cs="Times New Roman"/>
                      <w:u w:val="none" w:color="auto"/>
                      <w:lang w:val="en-US" w:eastAsia="zh-CN"/>
                    </w:rPr>
                    <w:t>及砂石</w:t>
                  </w:r>
                  <w:r>
                    <w:rPr>
                      <w:rFonts w:hint="default" w:ascii="Times New Roman" w:hAnsi="Times New Roman" w:cs="Times New Roman"/>
                      <w:u w:val="none" w:color="auto"/>
                      <w:lang w:val="en-US"/>
                    </w:rPr>
                    <w:t>收集后由环卫部门统一清运处理</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废包装物收集后外售至废品回收站</w:t>
                  </w:r>
                  <w:r>
                    <w:rPr>
                      <w:rFonts w:hint="default" w:ascii="Times New Roman" w:hAnsi="Times New Roman" w:cs="Times New Roman"/>
                      <w:u w:val="none" w:color="auto"/>
                      <w:lang w:val="en-US" w:eastAsia="zh-CN"/>
                    </w:rPr>
                    <w:t>；生产性废料</w:t>
                  </w:r>
                  <w:r>
                    <w:rPr>
                      <w:rFonts w:hint="default" w:ascii="Times New Roman" w:hAnsi="Times New Roman" w:cs="Times New Roman"/>
                      <w:u w:val="none" w:color="auto"/>
                      <w:lang w:val="en-US"/>
                    </w:rPr>
                    <w:t>收集后当天及时出售给养殖户作为饲料使用</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污泥经污泥干化池脱水后的污泥采取密闭封装、运输至垃圾填埋场填埋处理</w:t>
                  </w:r>
                  <w:r>
                    <w:rPr>
                      <w:rFonts w:hint="default" w:ascii="Times New Roman" w:hAnsi="Times New Roman" w:cs="Times New Roman"/>
                      <w:u w:val="none" w:color="auto"/>
                      <w:lang w:val="en-US" w:eastAsia="zh-CN"/>
                    </w:rPr>
                    <w:t>；过期原辅料交由相应餐厨垃圾处理单位</w:t>
                  </w:r>
                </w:p>
              </w:tc>
              <w:tc>
                <w:tcPr>
                  <w:tcW w:w="1738" w:type="pct"/>
                  <w:noWrap w:val="0"/>
                  <w:vAlign w:val="center"/>
                </w:tcPr>
                <w:p>
                  <w:pPr>
                    <w:pStyle w:val="95"/>
                    <w:bidi w:val="0"/>
                    <w:rPr>
                      <w:rFonts w:hint="default" w:ascii="Times New Roman" w:hAnsi="Times New Roman" w:cs="Times New Roman"/>
                      <w:u w:val="none" w:color="auto"/>
                    </w:rPr>
                  </w:pPr>
                  <w:r>
                    <w:rPr>
                      <w:rFonts w:hint="eastAsia"/>
                      <w:sz w:val="21"/>
                      <w:szCs w:val="21"/>
                      <w:u w:val="none"/>
                      <w:lang w:val="en-US"/>
                    </w:rPr>
                    <w:t>生活垃圾</w:t>
                  </w:r>
                  <w:r>
                    <w:rPr>
                      <w:rFonts w:hint="eastAsia"/>
                      <w:sz w:val="21"/>
                      <w:szCs w:val="21"/>
                      <w:u w:val="none"/>
                      <w:lang w:val="en-US" w:eastAsia="zh-CN"/>
                    </w:rPr>
                    <w:t>及砂石</w:t>
                  </w:r>
                  <w:r>
                    <w:rPr>
                      <w:rFonts w:hint="eastAsia"/>
                      <w:sz w:val="21"/>
                      <w:szCs w:val="21"/>
                      <w:u w:val="none"/>
                      <w:lang w:val="en-US"/>
                    </w:rPr>
                    <w:t>收集后由环卫部门统一清运处理</w:t>
                  </w:r>
                  <w:r>
                    <w:rPr>
                      <w:rFonts w:hint="eastAsia"/>
                      <w:sz w:val="21"/>
                      <w:szCs w:val="21"/>
                      <w:u w:val="none"/>
                      <w:lang w:val="en-US" w:eastAsia="zh-CN"/>
                    </w:rPr>
                    <w:t>；</w:t>
                  </w:r>
                  <w:r>
                    <w:rPr>
                      <w:rFonts w:hint="eastAsia"/>
                      <w:sz w:val="21"/>
                      <w:szCs w:val="21"/>
                      <w:u w:val="none"/>
                      <w:lang w:val="en-US"/>
                    </w:rPr>
                    <w:t>废包装物收集后外售至废品回收站</w:t>
                  </w:r>
                  <w:r>
                    <w:rPr>
                      <w:rFonts w:hint="eastAsia"/>
                      <w:sz w:val="21"/>
                      <w:szCs w:val="21"/>
                      <w:u w:val="none"/>
                      <w:lang w:val="en-US" w:eastAsia="zh-CN"/>
                    </w:rPr>
                    <w:t>；过期原辅料同生产性废料</w:t>
                  </w:r>
                  <w:r>
                    <w:rPr>
                      <w:rFonts w:hint="eastAsia"/>
                      <w:sz w:val="21"/>
                      <w:szCs w:val="21"/>
                      <w:u w:val="none"/>
                      <w:lang w:val="en-US"/>
                    </w:rPr>
                    <w:t>收集后当天及时出售给养殖户作为饲料使用</w:t>
                  </w:r>
                  <w:r>
                    <w:rPr>
                      <w:rFonts w:hint="eastAsia"/>
                      <w:sz w:val="21"/>
                      <w:szCs w:val="21"/>
                      <w:u w:val="none"/>
                      <w:lang w:val="en-US" w:eastAsia="zh-CN"/>
                    </w:rPr>
                    <w:t>；</w:t>
                  </w:r>
                  <w:r>
                    <w:rPr>
                      <w:rFonts w:hint="eastAsia"/>
                      <w:sz w:val="21"/>
                      <w:szCs w:val="21"/>
                      <w:u w:val="none"/>
                      <w:lang w:val="en-US"/>
                    </w:rPr>
                    <w:t>污泥经污泥干化池脱水后的污泥采取密闭封装</w:t>
                  </w:r>
                  <w:r>
                    <w:rPr>
                      <w:rFonts w:hint="eastAsia"/>
                      <w:sz w:val="21"/>
                      <w:szCs w:val="21"/>
                      <w:u w:val="none"/>
                      <w:lang w:val="en-US" w:eastAsia="zh-CN"/>
                    </w:rPr>
                    <w:t>，交</w:t>
                  </w:r>
                  <w:r>
                    <w:rPr>
                      <w:rFonts w:hint="eastAsia"/>
                      <w:sz w:val="21"/>
                      <w:szCs w:val="21"/>
                      <w:u w:val="none"/>
                      <w:lang w:val="en-US"/>
                    </w:rPr>
                    <w:t>由环卫部门统一清运</w:t>
                  </w:r>
                  <w:r>
                    <w:rPr>
                      <w:rFonts w:hint="eastAsia"/>
                      <w:sz w:val="21"/>
                      <w:szCs w:val="21"/>
                      <w:u w:val="none"/>
                      <w:lang w:val="en-US" w:eastAsia="zh-CN"/>
                    </w:rPr>
                    <w:t>至吉首垃圾焚烧厂焚烧</w:t>
                  </w:r>
                  <w:r>
                    <w:rPr>
                      <w:rFonts w:hint="eastAsia"/>
                      <w:sz w:val="21"/>
                      <w:szCs w:val="21"/>
                      <w:u w:val="none"/>
                      <w:lang w:val="en-US"/>
                    </w:rPr>
                    <w:t>处理</w:t>
                  </w:r>
                  <w:r>
                    <w:rPr>
                      <w:rFonts w:hint="eastAsia"/>
                      <w:sz w:val="21"/>
                      <w:szCs w:val="21"/>
                      <w:u w:val="none"/>
                      <w:lang w:val="en-US" w:eastAsia="zh-CN"/>
                    </w:rPr>
                    <w:t>；检验室固废</w:t>
                  </w:r>
                  <w:r>
                    <w:rPr>
                      <w:rFonts w:hint="eastAsia"/>
                      <w:sz w:val="21"/>
                      <w:szCs w:val="21"/>
                      <w:u w:val="none"/>
                      <w:lang w:eastAsia="zh-CN"/>
                    </w:rPr>
                    <w:t>属于一般固废，</w:t>
                  </w:r>
                  <w:r>
                    <w:rPr>
                      <w:rFonts w:hint="eastAsia"/>
                      <w:sz w:val="21"/>
                      <w:szCs w:val="21"/>
                      <w:u w:val="none"/>
                      <w:lang w:val="en-US" w:eastAsia="zh-CN"/>
                    </w:rPr>
                    <w:t>其中培养基经高温灭活后可按一般固废处置，</w:t>
                  </w:r>
                  <w:r>
                    <w:rPr>
                      <w:rFonts w:hint="eastAsia"/>
                      <w:sz w:val="21"/>
                      <w:szCs w:val="21"/>
                      <w:u w:val="none"/>
                      <w:lang w:eastAsia="zh-CN"/>
                    </w:rPr>
                    <w:t>交由环卫部门清运；</w:t>
                  </w:r>
                  <w:r>
                    <w:rPr>
                      <w:rFonts w:hint="eastAsia"/>
                      <w:sz w:val="21"/>
                      <w:szCs w:val="21"/>
                      <w:u w:val="none"/>
                      <w:lang w:val="en-US" w:eastAsia="zh-CN"/>
                    </w:rPr>
                    <w:t>除尘灰同锅炉灰渣</w:t>
                  </w:r>
                  <w:r>
                    <w:rPr>
                      <w:sz w:val="21"/>
                      <w:szCs w:val="21"/>
                      <w:u w:val="none"/>
                    </w:rPr>
                    <w:t>交由附近村庄农户用作果园、苗圃、蔬菜地或绿化树木的肥料</w:t>
                  </w:r>
                  <w:r>
                    <w:rPr>
                      <w:rFonts w:hint="eastAsia"/>
                      <w:sz w:val="21"/>
                      <w:szCs w:val="21"/>
                      <w:u w:val="none"/>
                      <w:lang w:eastAsia="zh-CN"/>
                    </w:rPr>
                    <w:t>；过滤器（</w:t>
                  </w:r>
                  <w:r>
                    <w:rPr>
                      <w:rFonts w:hint="eastAsia"/>
                      <w:sz w:val="21"/>
                      <w:szCs w:val="21"/>
                      <w:u w:val="none"/>
                      <w:lang w:val="en-US" w:eastAsia="zh-CN"/>
                    </w:rPr>
                    <w:t>含活性炭</w:t>
                  </w:r>
                  <w:r>
                    <w:rPr>
                      <w:rFonts w:hint="eastAsia"/>
                      <w:sz w:val="21"/>
                      <w:szCs w:val="21"/>
                      <w:u w:val="none"/>
                      <w:lang w:eastAsia="zh-CN"/>
                    </w:rPr>
                    <w:t>）、反渗透膜经处理后可以重复使用，</w:t>
                  </w:r>
                  <w:r>
                    <w:rPr>
                      <w:rFonts w:hint="eastAsia"/>
                      <w:sz w:val="21"/>
                      <w:szCs w:val="21"/>
                      <w:u w:val="none"/>
                      <w:lang w:val="en-US" w:eastAsia="zh-CN"/>
                    </w:rPr>
                    <w:t>与废树脂一同</w:t>
                  </w:r>
                  <w:r>
                    <w:rPr>
                      <w:rFonts w:hint="eastAsia"/>
                      <w:sz w:val="21"/>
                      <w:szCs w:val="21"/>
                      <w:u w:val="none"/>
                      <w:lang w:eastAsia="zh-CN"/>
                    </w:rPr>
                    <w:t>由设备服务公司回收；</w:t>
                  </w:r>
                  <w:r>
                    <w:rPr>
                      <w:rFonts w:hint="eastAsia"/>
                      <w:sz w:val="21"/>
                      <w:szCs w:val="21"/>
                      <w:u w:val="none"/>
                      <w:lang w:val="en-US" w:eastAsia="zh-CN"/>
                    </w:rPr>
                    <w:t>废紫外灯管以及检验室废液属于危险废物，定期交由资质单位处置</w:t>
                  </w:r>
                </w:p>
              </w:tc>
              <w:tc>
                <w:tcPr>
                  <w:tcW w:w="693" w:type="pct"/>
                  <w:noWrap w:val="0"/>
                  <w:vAlign w:val="center"/>
                </w:tcPr>
                <w:p>
                  <w:pPr>
                    <w:pStyle w:val="95"/>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eastAsia="zh-CN"/>
                    </w:rPr>
                    <w:t>新增</w:t>
                  </w:r>
                  <w:r>
                    <w:rPr>
                      <w:rFonts w:hint="default" w:ascii="Times New Roman" w:hAnsi="Times New Roman" w:cs="Times New Roman"/>
                      <w:u w:val="none" w:color="auto"/>
                      <w:lang w:val="en-US" w:eastAsia="zh-CN"/>
                    </w:rPr>
                    <w:t>除尘灰及</w:t>
                  </w:r>
                  <w:r>
                    <w:rPr>
                      <w:rFonts w:hint="default" w:ascii="Times New Roman" w:hAnsi="Times New Roman" w:cs="Times New Roman"/>
                      <w:u w:val="none" w:color="auto"/>
                      <w:lang w:eastAsia="zh-CN"/>
                    </w:rPr>
                    <w:t>锅炉灰渣交由附近村庄农户用作肥料；</w:t>
                  </w:r>
                  <w:r>
                    <w:rPr>
                      <w:rFonts w:hint="default" w:ascii="Times New Roman" w:hAnsi="Times New Roman" w:cs="Times New Roman"/>
                      <w:u w:val="none" w:color="auto"/>
                      <w:lang w:val="en-US" w:eastAsia="zh-CN"/>
                    </w:rPr>
                    <w:t>检验室固废</w:t>
                  </w:r>
                  <w:r>
                    <w:rPr>
                      <w:rFonts w:hint="default" w:ascii="Times New Roman" w:hAnsi="Times New Roman" w:cs="Times New Roman"/>
                      <w:u w:val="none" w:color="auto"/>
                      <w:lang w:eastAsia="zh-CN"/>
                    </w:rPr>
                    <w:t>交由环卫部门清运；</w:t>
                  </w:r>
                  <w:r>
                    <w:rPr>
                      <w:rFonts w:hint="default" w:ascii="Times New Roman" w:hAnsi="Times New Roman" w:cs="Times New Roman"/>
                      <w:u w:val="none" w:color="auto"/>
                      <w:lang w:val="en-US" w:eastAsia="zh-CN"/>
                    </w:rPr>
                    <w:t>废紫外灯管</w:t>
                  </w:r>
                  <w:r>
                    <w:rPr>
                      <w:rFonts w:hint="eastAsia" w:cs="Times New Roman"/>
                      <w:u w:val="none" w:color="auto"/>
                      <w:lang w:val="en-US" w:eastAsia="zh-CN"/>
                    </w:rPr>
                    <w:t>以及检验室废液</w:t>
                  </w:r>
                  <w:r>
                    <w:rPr>
                      <w:rFonts w:hint="default" w:ascii="Times New Roman" w:hAnsi="Times New Roman" w:cs="Times New Roman"/>
                      <w:u w:val="none" w:color="auto"/>
                      <w:lang w:eastAsia="zh-CN"/>
                    </w:rPr>
                    <w:t>属于</w:t>
                  </w:r>
                  <w:r>
                    <w:rPr>
                      <w:rFonts w:hint="default" w:ascii="Times New Roman" w:hAnsi="Times New Roman" w:cs="Times New Roman"/>
                      <w:u w:val="none" w:color="auto"/>
                      <w:lang w:val="en-US" w:eastAsia="zh-CN"/>
                    </w:rPr>
                    <w:t>危险废物</w:t>
                  </w:r>
                  <w:r>
                    <w:rPr>
                      <w:rFonts w:hint="default" w:ascii="Times New Roman" w:hAnsi="Times New Roman" w:cs="Times New Roman"/>
                      <w:u w:val="none" w:color="auto"/>
                      <w:lang w:eastAsia="zh-CN"/>
                    </w:rPr>
                    <w:t>，交由</w:t>
                  </w:r>
                  <w:r>
                    <w:rPr>
                      <w:rFonts w:hint="default" w:ascii="Times New Roman" w:hAnsi="Times New Roman" w:cs="Times New Roman"/>
                      <w:u w:val="none" w:color="auto"/>
                      <w:lang w:val="en-US" w:eastAsia="zh-CN"/>
                    </w:rPr>
                    <w:t>有资质的单位处置</w:t>
                  </w:r>
                  <w:r>
                    <w:rPr>
                      <w:rFonts w:hint="eastAsia" w:ascii="Times New Roman" w:hAnsi="Times New Roman" w:cs="Times New Roman"/>
                      <w:u w:val="none" w:color="auto"/>
                      <w:lang w:val="en-US" w:eastAsia="zh-CN"/>
                    </w:rPr>
                    <w:t>；</w:t>
                  </w:r>
                  <w:r>
                    <w:rPr>
                      <w:rFonts w:hint="eastAsia"/>
                      <w:sz w:val="21"/>
                      <w:szCs w:val="21"/>
                      <w:u w:val="none" w:color="auto"/>
                      <w:lang w:eastAsia="zh-CN"/>
                    </w:rPr>
                    <w:t>过滤器（</w:t>
                  </w:r>
                  <w:r>
                    <w:rPr>
                      <w:rFonts w:hint="eastAsia"/>
                      <w:sz w:val="21"/>
                      <w:szCs w:val="21"/>
                      <w:u w:val="none" w:color="auto"/>
                      <w:lang w:val="en-US" w:eastAsia="zh-CN"/>
                    </w:rPr>
                    <w:t>含活性炭</w:t>
                  </w:r>
                  <w:r>
                    <w:rPr>
                      <w:rFonts w:hint="eastAsia"/>
                      <w:sz w:val="21"/>
                      <w:szCs w:val="21"/>
                      <w:u w:val="none" w:color="auto"/>
                      <w:lang w:eastAsia="zh-CN"/>
                    </w:rPr>
                    <w:t>）、反渗透膜经处理后可以重复使用，</w:t>
                  </w:r>
                  <w:r>
                    <w:rPr>
                      <w:rFonts w:hint="eastAsia"/>
                      <w:sz w:val="21"/>
                      <w:szCs w:val="21"/>
                      <w:u w:val="none" w:color="auto"/>
                      <w:lang w:val="en-US" w:eastAsia="zh-CN"/>
                    </w:rPr>
                    <w:t>与废树脂一同</w:t>
                  </w:r>
                  <w:r>
                    <w:rPr>
                      <w:rFonts w:hint="eastAsia"/>
                      <w:sz w:val="21"/>
                      <w:szCs w:val="21"/>
                      <w:u w:val="none" w:color="auto"/>
                      <w:lang w:eastAsia="zh-CN"/>
                    </w:rPr>
                    <w:t>由设备服务公司回收</w:t>
                  </w:r>
                </w:p>
              </w:tc>
              <w:tc>
                <w:tcPr>
                  <w:tcW w:w="465" w:type="pct"/>
                  <w:noWrap w:val="0"/>
                  <w:vAlign w:val="center"/>
                </w:tcPr>
                <w:p>
                  <w:pPr>
                    <w:pStyle w:val="95"/>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否</w:t>
                  </w:r>
                </w:p>
              </w:tc>
            </w:tr>
          </w:tbl>
          <w:p>
            <w:pPr>
              <w:pStyle w:val="71"/>
              <w:bidi w:val="0"/>
              <w:rPr>
                <w:rFonts w:hint="default" w:ascii="Times New Roman" w:hAnsi="Times New Roman" w:cs="Times New Roman"/>
                <w:u w:val="none" w:color="auto"/>
              </w:rPr>
            </w:pPr>
            <w:r>
              <w:rPr>
                <w:rFonts w:hint="default" w:ascii="Times New Roman" w:hAnsi="Times New Roman" w:cs="Times New Roman"/>
                <w:u w:val="none" w:color="auto"/>
              </w:rPr>
              <w:t>表2</w:t>
            </w:r>
            <w:r>
              <w:rPr>
                <w:rFonts w:hint="default" w:ascii="Times New Roman" w:hAnsi="Times New Roman" w:cs="Times New Roman"/>
                <w:u w:val="none" w:color="auto"/>
                <w:lang w:val="en-US" w:eastAsia="zh-CN"/>
              </w:rPr>
              <w:t>.</w:t>
            </w:r>
            <w:r>
              <w:rPr>
                <w:rFonts w:hint="eastAsia" w:ascii="Times New Roman" w:hAnsi="Times New Roman" w:cs="Times New Roman"/>
                <w:u w:val="none" w:color="auto"/>
                <w:lang w:val="en-US" w:eastAsia="zh-CN"/>
              </w:rPr>
              <w:t>3-2</w:t>
            </w:r>
            <w:r>
              <w:rPr>
                <w:rFonts w:hint="default" w:ascii="Times New Roman" w:hAnsi="Times New Roman" w:cs="Times New Roman"/>
                <w:u w:val="none" w:color="auto"/>
                <w:lang w:val="en-US" w:eastAsia="zh-CN"/>
              </w:rPr>
              <w:t>：项目</w:t>
            </w:r>
            <w:r>
              <w:rPr>
                <w:rFonts w:hint="default" w:ascii="Times New Roman" w:hAnsi="Times New Roman" w:cs="Times New Roman"/>
                <w:b/>
                <w:bCs/>
                <w:u w:val="none" w:color="auto"/>
                <w:lang w:val="en-US" w:eastAsia="zh-CN"/>
              </w:rPr>
              <w:t>本次变更建设内容</w:t>
            </w:r>
            <w:r>
              <w:rPr>
                <w:rFonts w:hint="default" w:ascii="Times New Roman" w:hAnsi="Times New Roman" w:cs="Times New Roman"/>
                <w:u w:val="none" w:color="auto"/>
                <w:lang w:val="en-US" w:eastAsia="zh-CN"/>
              </w:rPr>
              <w:t>与《污染影响类建设项目重大变动清单》</w:t>
            </w:r>
            <w:r>
              <w:rPr>
                <w:rFonts w:hint="default" w:ascii="Times New Roman" w:hAnsi="Times New Roman" w:cs="Times New Roman"/>
                <w:u w:val="none" w:color="auto"/>
              </w:rPr>
              <w:t>对照表</w:t>
            </w:r>
          </w:p>
          <w:tbl>
            <w:tblPr>
              <w:tblStyle w:val="28"/>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3427"/>
              <w:gridCol w:w="2665"/>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02" w:type="pct"/>
                  <w:gridSpan w:val="2"/>
                  <w:tcBorders>
                    <w:tl2br w:val="nil"/>
                    <w:tr2bl w:val="nil"/>
                  </w:tcBorders>
                  <w:vAlign w:val="center"/>
                </w:tcPr>
                <w:p>
                  <w:pPr>
                    <w:pStyle w:val="39"/>
                    <w:rPr>
                      <w:rFonts w:hint="default" w:ascii="Times New Roman" w:hAnsi="Times New Roman" w:cs="Times New Roman"/>
                      <w:b/>
                      <w:bCs/>
                      <w:sz w:val="21"/>
                      <w:szCs w:val="21"/>
                      <w:highlight w:val="none"/>
                      <w:u w:val="none" w:color="auto"/>
                      <w:lang w:val="en-US" w:eastAsia="zh-CN"/>
                    </w:rPr>
                  </w:pPr>
                  <w:r>
                    <w:rPr>
                      <w:rFonts w:hint="default" w:ascii="Times New Roman" w:hAnsi="Times New Roman" w:cs="Times New Roman"/>
                      <w:b/>
                      <w:bCs/>
                      <w:sz w:val="21"/>
                      <w:szCs w:val="21"/>
                      <w:highlight w:val="none"/>
                      <w:u w:val="none" w:color="auto"/>
                      <w:lang w:val="en-US" w:eastAsia="zh-CN"/>
                    </w:rPr>
                    <w:t>《污染影响类建设项目重大变动清单》</w:t>
                  </w:r>
                </w:p>
              </w:tc>
              <w:tc>
                <w:tcPr>
                  <w:tcW w:w="1598" w:type="pct"/>
                  <w:tcBorders>
                    <w:tl2br w:val="nil"/>
                    <w:tr2bl w:val="nil"/>
                  </w:tcBorders>
                  <w:vAlign w:val="center"/>
                </w:tcPr>
                <w:p>
                  <w:pPr>
                    <w:pStyle w:val="39"/>
                    <w:rPr>
                      <w:rFonts w:hint="default" w:ascii="Times New Roman" w:hAnsi="Times New Roman" w:eastAsia="宋体" w:cs="Times New Roman"/>
                      <w:b/>
                      <w:bCs/>
                      <w:u w:val="none" w:color="auto"/>
                      <w:lang w:val="en-US" w:eastAsia="zh-CN"/>
                    </w:rPr>
                  </w:pPr>
                  <w:r>
                    <w:rPr>
                      <w:rFonts w:hint="default" w:ascii="Times New Roman" w:hAnsi="Times New Roman" w:cs="Times New Roman"/>
                      <w:b/>
                      <w:bCs/>
                      <w:u w:val="none" w:color="auto"/>
                      <w:lang w:val="en-US" w:eastAsia="zh-CN"/>
                    </w:rPr>
                    <w:t>本次变更建设内容</w:t>
                  </w:r>
                </w:p>
              </w:tc>
              <w:tc>
                <w:tcPr>
                  <w:tcW w:w="698" w:type="pct"/>
                  <w:tcBorders>
                    <w:tl2br w:val="nil"/>
                    <w:tr2bl w:val="nil"/>
                  </w:tcBorders>
                  <w:vAlign w:val="center"/>
                </w:tcPr>
                <w:p>
                  <w:pPr>
                    <w:pStyle w:val="39"/>
                    <w:rPr>
                      <w:rFonts w:hint="default" w:ascii="Times New Roman" w:hAnsi="Times New Roman" w:eastAsia="宋体" w:cs="Times New Roman"/>
                      <w:b/>
                      <w:bCs/>
                      <w:u w:val="none" w:color="auto"/>
                      <w:lang w:eastAsia="zh-CN"/>
                    </w:rPr>
                  </w:pPr>
                  <w:r>
                    <w:rPr>
                      <w:rFonts w:hint="default" w:ascii="Times New Roman" w:hAnsi="Times New Roman" w:cs="Times New Roman"/>
                      <w:b/>
                      <w:bCs/>
                      <w:u w:val="non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00" w:type="pct"/>
                  <w:gridSpan w:val="4"/>
                  <w:tcBorders>
                    <w:tl2br w:val="nil"/>
                    <w:tr2bl w:val="nil"/>
                  </w:tcBorders>
                  <w:vAlign w:val="center"/>
                </w:tcPr>
                <w:p>
                  <w:pPr>
                    <w:pStyle w:val="39"/>
                    <w:rPr>
                      <w:rFonts w:hint="default" w:ascii="Times New Roman" w:hAnsi="Times New Roman" w:cs="Times New Roman"/>
                      <w:highlight w:val="yellow"/>
                      <w:u w:val="none" w:color="auto"/>
                      <w:lang w:val="en-US" w:eastAsia="zh-CN"/>
                    </w:rPr>
                  </w:pPr>
                  <w:r>
                    <w:rPr>
                      <w:rFonts w:hint="default" w:ascii="Times New Roman" w:hAnsi="Times New Roman" w:cs="Times New Roman"/>
                      <w:b/>
                      <w:bCs/>
                      <w:highlight w:val="none"/>
                      <w:u w:val="none" w:color="auto"/>
                      <w:lang w:val="en-US" w:eastAsia="zh-CN"/>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7" w:type="pct"/>
                  <w:tcBorders>
                    <w:tl2br w:val="nil"/>
                    <w:tr2bl w:val="nil"/>
                  </w:tcBorders>
                  <w:vAlign w:val="center"/>
                </w:tcPr>
                <w:p>
                  <w:pPr>
                    <w:pStyle w:val="39"/>
                    <w:rPr>
                      <w:rFonts w:hint="default" w:ascii="Times New Roman" w:hAnsi="Times New Roman" w:eastAsia="宋体" w:cs="Times New Roman"/>
                      <w:highlight w:val="none"/>
                      <w:u w:val="none" w:color="auto"/>
                      <w:lang w:val="en-US" w:eastAsia="zh-CN"/>
                    </w:rPr>
                  </w:pPr>
                  <w:r>
                    <w:rPr>
                      <w:rFonts w:hint="default" w:ascii="Times New Roman" w:hAnsi="Times New Roman" w:eastAsia="宋体" w:cs="Times New Roman"/>
                      <w:highlight w:val="none"/>
                      <w:u w:val="none" w:color="auto"/>
                      <w:lang w:val="en-US" w:eastAsia="zh-CN"/>
                    </w:rPr>
                    <w:t>1</w:t>
                  </w:r>
                </w:p>
              </w:tc>
              <w:tc>
                <w:tcPr>
                  <w:tcW w:w="2055" w:type="pct"/>
                  <w:tcBorders>
                    <w:tl2br w:val="nil"/>
                    <w:tr2bl w:val="nil"/>
                  </w:tcBorders>
                  <w:vAlign w:val="center"/>
                </w:tcPr>
                <w:p>
                  <w:pPr>
                    <w:pStyle w:val="39"/>
                    <w:rPr>
                      <w:rFonts w:hint="default" w:ascii="Times New Roman" w:hAnsi="Times New Roman" w:eastAsia="宋体" w:cs="Times New Roman"/>
                      <w:highlight w:val="none"/>
                      <w:u w:val="none" w:color="auto"/>
                      <w:lang w:val="en-US" w:eastAsia="zh-CN"/>
                    </w:rPr>
                  </w:pPr>
                  <w:r>
                    <w:rPr>
                      <w:rFonts w:hint="default" w:ascii="Times New Roman" w:hAnsi="Times New Roman" w:eastAsia="宋体" w:cs="Times New Roman"/>
                      <w:highlight w:val="none"/>
                      <w:u w:val="none" w:color="auto"/>
                      <w:lang w:val="en-US" w:eastAsia="zh-CN"/>
                    </w:rPr>
                    <w:t>建设项目开发、使用功能发生变化的</w:t>
                  </w:r>
                </w:p>
              </w:tc>
              <w:tc>
                <w:tcPr>
                  <w:tcW w:w="1598" w:type="pct"/>
                  <w:tcBorders>
                    <w:tl2br w:val="nil"/>
                    <w:tr2bl w:val="nil"/>
                  </w:tcBorders>
                  <w:vAlign w:val="center"/>
                </w:tcPr>
                <w:p>
                  <w:pPr>
                    <w:pStyle w:val="39"/>
                    <w:rPr>
                      <w:rFonts w:hint="default" w:ascii="Times New Roman" w:hAnsi="Times New Roman" w:eastAsia="宋体" w:cs="Times New Roman"/>
                      <w:highlight w:val="none"/>
                      <w:u w:val="none" w:color="auto"/>
                      <w:lang w:val="en-US" w:eastAsia="zh-CN"/>
                    </w:rPr>
                  </w:pPr>
                  <w:r>
                    <w:rPr>
                      <w:rFonts w:hint="default" w:ascii="Times New Roman" w:hAnsi="Times New Roman" w:eastAsia="宋体" w:cs="Times New Roman"/>
                      <w:highlight w:val="none"/>
                      <w:u w:val="none" w:color="auto"/>
                      <w:lang w:val="en-US" w:eastAsia="zh-CN"/>
                    </w:rPr>
                    <w:t>项目仍为米、面制品制造，产品为</w:t>
                  </w:r>
                  <w:r>
                    <w:rPr>
                      <w:rFonts w:hint="default" w:ascii="Times New Roman" w:hAnsi="Times New Roman" w:cs="Times New Roman"/>
                      <w:highlight w:val="none"/>
                      <w:u w:val="none" w:color="auto"/>
                      <w:lang w:val="en-US" w:eastAsia="zh-CN"/>
                    </w:rPr>
                    <w:t>湿米粉</w:t>
                  </w:r>
                </w:p>
              </w:tc>
              <w:tc>
                <w:tcPr>
                  <w:tcW w:w="698" w:type="pct"/>
                  <w:tcBorders>
                    <w:tl2br w:val="nil"/>
                    <w:tr2bl w:val="nil"/>
                  </w:tcBorders>
                  <w:vAlign w:val="center"/>
                </w:tcPr>
                <w:p>
                  <w:pPr>
                    <w:pStyle w:val="39"/>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00" w:type="pct"/>
                  <w:gridSpan w:val="4"/>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b/>
                      <w:bCs/>
                      <w:u w:val="none" w:color="auto"/>
                      <w:lang w:val="en-US" w:eastAsia="zh-CN"/>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w:t>
                  </w:r>
                </w:p>
              </w:tc>
              <w:tc>
                <w:tcPr>
                  <w:tcW w:w="2055"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生产、处置或储存能力增大30%及以上的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湿米粉</w:t>
                  </w:r>
                  <w:r>
                    <w:rPr>
                      <w:rFonts w:hint="default" w:ascii="Times New Roman" w:hAnsi="Times New Roman" w:cs="Times New Roman"/>
                      <w:u w:val="none" w:color="auto"/>
                    </w:rPr>
                    <w:t>生产、处置或储存能力</w:t>
                  </w:r>
                  <w:r>
                    <w:rPr>
                      <w:rFonts w:hint="eastAsia" w:cs="Times New Roman"/>
                      <w:u w:val="none" w:color="auto"/>
                      <w:lang w:val="en-US" w:eastAsia="zh-CN"/>
                    </w:rPr>
                    <w:t>减少至一半</w:t>
                  </w:r>
                  <w:r>
                    <w:rPr>
                      <w:rFonts w:hint="default" w:ascii="Times New Roman" w:hAnsi="Times New Roman" w:cs="Times New Roman"/>
                      <w:u w:val="none" w:color="auto"/>
                      <w:lang w:val="en-US" w:eastAsia="zh-CN"/>
                    </w:rPr>
                    <w:t>，未</w:t>
                  </w:r>
                  <w:r>
                    <w:rPr>
                      <w:rFonts w:hint="default" w:ascii="Times New Roman" w:hAnsi="Times New Roman" w:cs="Times New Roman"/>
                      <w:u w:val="none" w:color="auto"/>
                    </w:rPr>
                    <w:t>增大</w:t>
                  </w:r>
                  <w:r>
                    <w:rPr>
                      <w:rFonts w:hint="default" w:ascii="Times New Roman" w:hAnsi="Times New Roman" w:cs="Times New Roman"/>
                      <w:u w:val="none" w:color="auto"/>
                      <w:lang w:eastAsia="zh-CN"/>
                    </w:rPr>
                    <w:t>，</w:t>
                  </w:r>
                  <w:r>
                    <w:rPr>
                      <w:rFonts w:hint="eastAsia" w:cs="Times New Roman"/>
                      <w:u w:val="none" w:color="auto"/>
                      <w:lang w:val="en-US" w:eastAsia="zh-CN"/>
                    </w:rPr>
                    <w:t>二期湿米粉生产线与</w:t>
                  </w:r>
                  <w:r>
                    <w:rPr>
                      <w:rFonts w:hint="default" w:ascii="Times New Roman" w:hAnsi="Times New Roman" w:cs="Times New Roman"/>
                      <w:u w:val="none" w:color="auto"/>
                      <w:lang w:val="en-US" w:eastAsia="zh-CN"/>
                    </w:rPr>
                    <w:t>干米粉生产线远期再另行征地建设，不在本次环评评价的范围中</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2</w:t>
                  </w:r>
                </w:p>
              </w:tc>
              <w:tc>
                <w:tcPr>
                  <w:tcW w:w="2055" w:type="pct"/>
                  <w:tcBorders>
                    <w:tl2br w:val="nil"/>
                    <w:tr2bl w:val="nil"/>
                  </w:tcBorders>
                  <w:vAlign w:val="center"/>
                </w:tcPr>
                <w:p>
                  <w:pPr>
                    <w:pStyle w:val="39"/>
                    <w:bidi w:val="0"/>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生产、处置或储存能力增大，导致废水第一类污染物排放量增加的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项目</w:t>
                  </w:r>
                  <w:r>
                    <w:rPr>
                      <w:rFonts w:hint="eastAsia" w:ascii="Times New Roman" w:hAnsi="Times New Roman" w:cs="Times New Roman"/>
                      <w:u w:val="none" w:color="auto"/>
                      <w:lang w:val="en-US" w:eastAsia="zh-CN"/>
                    </w:rPr>
                    <w:t>生活废水同</w:t>
                  </w:r>
                  <w:r>
                    <w:rPr>
                      <w:rFonts w:hint="default" w:ascii="Times New Roman" w:hAnsi="Times New Roman" w:eastAsia="宋体" w:cs="Times New Roman"/>
                      <w:u w:val="none" w:color="auto"/>
                      <w:lang w:val="en-US" w:eastAsia="zh-CN"/>
                    </w:rPr>
                    <w:t>生产废水</w:t>
                  </w:r>
                  <w:r>
                    <w:rPr>
                      <w:rFonts w:hint="default" w:ascii="Times New Roman" w:hAnsi="Times New Roman" w:cs="Times New Roman"/>
                      <w:u w:val="none" w:color="auto"/>
                      <w:lang w:val="en-US" w:eastAsia="zh-CN"/>
                    </w:rPr>
                    <w:t>经自建污水处理设施处理后</w:t>
                  </w:r>
                  <w:r>
                    <w:rPr>
                      <w:rFonts w:hint="default" w:ascii="Times New Roman" w:hAnsi="Times New Roman" w:cs="Times New Roman"/>
                      <w:u w:val="none" w:color="auto"/>
                    </w:rPr>
                    <w:t>用于</w:t>
                  </w:r>
                  <w:r>
                    <w:rPr>
                      <w:rFonts w:hint="eastAsia" w:ascii="Times New Roman" w:hAnsi="Times New Roman" w:cs="Times New Roman"/>
                      <w:u w:val="none" w:color="auto"/>
                      <w:lang w:val="en-US" w:eastAsia="zh-CN"/>
                    </w:rPr>
                    <w:t>农田、</w:t>
                  </w:r>
                  <w:r>
                    <w:rPr>
                      <w:rFonts w:hint="default" w:ascii="Times New Roman" w:hAnsi="Times New Roman" w:cs="Times New Roman"/>
                      <w:u w:val="none" w:color="auto"/>
                      <w:lang w:eastAsia="zh-CN"/>
                    </w:rPr>
                    <w:t>旱地</w:t>
                  </w:r>
                  <w:r>
                    <w:rPr>
                      <w:rFonts w:hint="eastAsia" w:ascii="Times New Roman" w:hAnsi="Times New Roman" w:cs="Times New Roman"/>
                      <w:u w:val="none" w:color="auto"/>
                      <w:lang w:val="en-US" w:eastAsia="zh-CN"/>
                    </w:rPr>
                    <w:t>的灌溉</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3</w:t>
                  </w:r>
                </w:p>
              </w:tc>
              <w:tc>
                <w:tcPr>
                  <w:tcW w:w="2055" w:type="pct"/>
                  <w:tcBorders>
                    <w:tl2br w:val="nil"/>
                    <w:tr2bl w:val="nil"/>
                  </w:tcBorders>
                  <w:vAlign w:val="center"/>
                </w:tcPr>
                <w:p>
                  <w:pPr>
                    <w:pStyle w:val="39"/>
                    <w:bidi w:val="0"/>
                    <w:rPr>
                      <w:rFonts w:hint="default" w:ascii="Times New Roman" w:hAnsi="Times New Roman" w:cs="Times New Roman"/>
                      <w:u w:val="none" w:color="auto"/>
                    </w:rPr>
                  </w:pPr>
                  <w:r>
                    <w:rPr>
                      <w:rFonts w:hint="default" w:ascii="Times New Roman" w:hAnsi="Times New Roman" w:cs="Times New Roman"/>
                      <w:u w:val="none" w:color="auto"/>
                    </w:rPr>
                    <w:t>位于环境质量不达标区的建设项目生产、处置或储存能力增大，导致相应污染物排放量增加的（细颗粒物不达标区，相应污染物为二氧化硫、氮氧化物、可吸入颗粒物、挥发性有机物</w:t>
                  </w:r>
                  <w:r>
                    <w:rPr>
                      <w:rFonts w:hint="default" w:ascii="Times New Roman" w:hAnsi="Times New Roman" w:cs="Times New Roman"/>
                      <w:u w:val="none" w:color="auto"/>
                      <w:lang w:eastAsia="zh-CN"/>
                    </w:rPr>
                    <w:t>；</w:t>
                  </w:r>
                  <w:r>
                    <w:rPr>
                      <w:rFonts w:hint="default" w:ascii="Times New Roman" w:hAnsi="Times New Roman" w:cs="Times New Roman"/>
                      <w:u w:val="none" w:color="auto"/>
                    </w:rPr>
                    <w:t>臭氧不达标区，相应污染物为氮氧化物、挥发性有机物</w:t>
                  </w:r>
                  <w:r>
                    <w:rPr>
                      <w:rFonts w:hint="default" w:ascii="Times New Roman" w:hAnsi="Times New Roman" w:cs="Times New Roman"/>
                      <w:u w:val="none" w:color="auto"/>
                      <w:lang w:eastAsia="zh-CN"/>
                    </w:rPr>
                    <w:t>；</w:t>
                  </w:r>
                  <w:r>
                    <w:rPr>
                      <w:rFonts w:hint="default" w:ascii="Times New Roman" w:hAnsi="Times New Roman" w:cs="Times New Roman"/>
                      <w:u w:val="none" w:color="auto"/>
                    </w:rPr>
                    <w:t>其他大气、水污染物因子不达标区，相应污染物为超标污染因子)</w:t>
                  </w:r>
                  <w:r>
                    <w:rPr>
                      <w:rFonts w:hint="default" w:ascii="Times New Roman" w:hAnsi="Times New Roman" w:cs="Times New Roman"/>
                      <w:u w:val="none" w:color="auto"/>
                      <w:lang w:eastAsia="zh-CN"/>
                    </w:rPr>
                    <w:t>；</w:t>
                  </w:r>
                  <w:r>
                    <w:rPr>
                      <w:rFonts w:hint="default" w:ascii="Times New Roman" w:hAnsi="Times New Roman" w:cs="Times New Roman"/>
                      <w:u w:val="none" w:color="auto"/>
                    </w:rPr>
                    <w:t>位于达标区的建设项目生产、处置或储存能力增大，导致污染物排放量增加10%及以上的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本项目所在地位于</w:t>
                  </w:r>
                  <w:r>
                    <w:rPr>
                      <w:rFonts w:hint="default" w:ascii="Times New Roman" w:hAnsi="Times New Roman" w:cs="Times New Roman"/>
                      <w:u w:val="none" w:color="auto"/>
                      <w:lang w:val="en-US" w:eastAsia="zh-CN"/>
                    </w:rPr>
                    <w:t>泸溪县武溪镇红土溪村</w:t>
                  </w:r>
                  <w:r>
                    <w:rPr>
                      <w:rFonts w:hint="default" w:ascii="Times New Roman" w:hAnsi="Times New Roman" w:eastAsia="宋体" w:cs="Times New Roman"/>
                      <w:u w:val="none" w:color="auto"/>
                      <w:lang w:val="en-US" w:eastAsia="zh-CN"/>
                    </w:rPr>
                    <w:t>，位于大气环境空气达标区</w:t>
                  </w:r>
                  <w:r>
                    <w:rPr>
                      <w:rFonts w:hint="default" w:ascii="Times New Roman" w:hAnsi="Times New Roman" w:cs="Times New Roman"/>
                      <w:u w:val="none" w:color="auto"/>
                      <w:lang w:val="en-US" w:eastAsia="zh-CN"/>
                    </w:rPr>
                    <w:t>。米粉</w:t>
                  </w:r>
                  <w:r>
                    <w:rPr>
                      <w:rFonts w:hint="default" w:ascii="Times New Roman" w:hAnsi="Times New Roman" w:cs="Times New Roman"/>
                      <w:u w:val="none" w:color="auto"/>
                    </w:rPr>
                    <w:t>生产、处置或储存能力</w:t>
                  </w:r>
                  <w:r>
                    <w:rPr>
                      <w:rFonts w:hint="eastAsia" w:cs="Times New Roman"/>
                      <w:u w:val="none" w:color="auto"/>
                      <w:lang w:val="en-US" w:eastAsia="zh-CN"/>
                    </w:rPr>
                    <w:t>减少至一半</w:t>
                  </w:r>
                  <w:r>
                    <w:rPr>
                      <w:rFonts w:hint="default" w:ascii="Times New Roman" w:hAnsi="Times New Roman" w:cs="Times New Roman"/>
                      <w:u w:val="none" w:color="auto"/>
                      <w:lang w:val="en-US" w:eastAsia="zh-CN"/>
                    </w:rPr>
                    <w:t>，未</w:t>
                  </w:r>
                  <w:r>
                    <w:rPr>
                      <w:rFonts w:hint="default" w:ascii="Times New Roman" w:hAnsi="Times New Roman" w:cs="Times New Roman"/>
                      <w:u w:val="none" w:color="auto"/>
                    </w:rPr>
                    <w:t>增大</w:t>
                  </w:r>
                  <w:r>
                    <w:rPr>
                      <w:rFonts w:hint="default" w:ascii="Times New Roman" w:hAnsi="Times New Roman" w:cs="Times New Roman"/>
                      <w:u w:val="none" w:color="auto"/>
                      <w:lang w:eastAsia="zh-CN"/>
                    </w:rPr>
                    <w:t>，</w:t>
                  </w:r>
                  <w:r>
                    <w:rPr>
                      <w:rFonts w:hint="eastAsia" w:cs="Times New Roman"/>
                      <w:u w:val="none" w:color="auto"/>
                      <w:lang w:val="en-US" w:eastAsia="zh-CN"/>
                    </w:rPr>
                    <w:t>二期湿米粉生产线与</w:t>
                  </w:r>
                  <w:r>
                    <w:rPr>
                      <w:rFonts w:hint="default" w:ascii="Times New Roman" w:hAnsi="Times New Roman" w:cs="Times New Roman"/>
                      <w:u w:val="none" w:color="auto"/>
                      <w:lang w:val="en-US" w:eastAsia="zh-CN"/>
                    </w:rPr>
                    <w:t>干米粉生产线远期再另行征地建设，不在本次环评评价的范围中</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00" w:type="pct"/>
                  <w:gridSpan w:val="4"/>
                  <w:tcBorders>
                    <w:tl2br w:val="nil"/>
                    <w:tr2bl w:val="nil"/>
                  </w:tcBorders>
                  <w:vAlign w:val="center"/>
                </w:tcPr>
                <w:p>
                  <w:pPr>
                    <w:pStyle w:val="39"/>
                    <w:jc w:val="center"/>
                    <w:rPr>
                      <w:rFonts w:hint="default" w:ascii="Times New Roman" w:hAnsi="Times New Roman" w:eastAsia="宋体" w:cs="Times New Roman"/>
                      <w:u w:val="none" w:color="auto"/>
                      <w:lang w:val="en-US" w:eastAsia="zh-CN"/>
                    </w:rPr>
                  </w:pPr>
                  <w:r>
                    <w:rPr>
                      <w:rFonts w:hint="default" w:ascii="Times New Roman" w:hAnsi="Times New Roman" w:eastAsia="宋体" w:cs="Times New Roman"/>
                      <w:b/>
                      <w:bCs/>
                      <w:u w:val="none" w:color="auto"/>
                      <w:lang w:val="en-US" w:eastAsia="zh-CN"/>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w:t>
                  </w:r>
                </w:p>
              </w:tc>
              <w:tc>
                <w:tcPr>
                  <w:tcW w:w="2055" w:type="pct"/>
                  <w:tcBorders>
                    <w:tl2br w:val="nil"/>
                    <w:tr2bl w:val="nil"/>
                  </w:tcBorders>
                  <w:vAlign w:val="center"/>
                </w:tcPr>
                <w:p>
                  <w:pPr>
                    <w:pStyle w:val="39"/>
                    <w:bidi w:val="0"/>
                    <w:rPr>
                      <w:rFonts w:hint="default" w:ascii="Times New Roman" w:hAnsi="Times New Roman" w:cs="Times New Roman"/>
                      <w:u w:val="none" w:color="auto"/>
                    </w:rPr>
                  </w:pPr>
                  <w:r>
                    <w:rPr>
                      <w:rFonts w:hint="default" w:ascii="Times New Roman" w:hAnsi="Times New Roman" w:cs="Times New Roman"/>
                      <w:u w:val="none" w:color="auto"/>
                    </w:rPr>
                    <w:t>重新选址</w:t>
                  </w:r>
                  <w:r>
                    <w:rPr>
                      <w:rFonts w:hint="default" w:ascii="Times New Roman" w:hAnsi="Times New Roman" w:cs="Times New Roman"/>
                      <w:u w:val="none" w:color="auto"/>
                      <w:lang w:eastAsia="zh-CN"/>
                    </w:rPr>
                    <w:t>；</w:t>
                  </w:r>
                  <w:r>
                    <w:rPr>
                      <w:rFonts w:hint="default" w:ascii="Times New Roman" w:hAnsi="Times New Roman" w:cs="Times New Roman"/>
                      <w:u w:val="none" w:color="auto"/>
                    </w:rPr>
                    <w:t>在原厂址附近调整（包括总平面布置变化）导致环境防护距离范围变化且新增敏感点的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项目所在地仍处于</w:t>
                  </w:r>
                  <w:r>
                    <w:rPr>
                      <w:rFonts w:hint="default" w:ascii="Times New Roman" w:hAnsi="Times New Roman" w:cs="Times New Roman"/>
                      <w:u w:val="none" w:color="auto"/>
                      <w:lang w:val="en-US" w:eastAsia="zh-CN"/>
                    </w:rPr>
                    <w:t>泸溪县武溪镇红土溪村</w:t>
                  </w:r>
                  <w:r>
                    <w:rPr>
                      <w:rFonts w:hint="default" w:ascii="Times New Roman" w:hAnsi="Times New Roman" w:eastAsia="宋体" w:cs="Times New Roman"/>
                      <w:u w:val="none" w:color="auto"/>
                      <w:lang w:val="en-US" w:eastAsia="zh-CN"/>
                    </w:rPr>
                    <w:t>，项目总平面布置</w:t>
                  </w:r>
                  <w:r>
                    <w:rPr>
                      <w:rFonts w:hint="default" w:ascii="Times New Roman" w:hAnsi="Times New Roman" w:cs="Times New Roman"/>
                      <w:u w:val="none" w:color="auto"/>
                      <w:lang w:val="en-US" w:eastAsia="zh-CN"/>
                    </w:rPr>
                    <w:t>未</w:t>
                  </w:r>
                  <w:r>
                    <w:rPr>
                      <w:rFonts w:hint="default" w:ascii="Times New Roman" w:hAnsi="Times New Roman" w:eastAsia="宋体" w:cs="Times New Roman"/>
                      <w:u w:val="none" w:color="auto"/>
                      <w:lang w:val="en-US" w:eastAsia="zh-CN"/>
                    </w:rPr>
                    <w:t>发生</w:t>
                  </w:r>
                  <w:r>
                    <w:rPr>
                      <w:rFonts w:hint="default" w:ascii="Times New Roman" w:hAnsi="Times New Roman" w:cs="Times New Roman"/>
                      <w:u w:val="none" w:color="auto"/>
                      <w:lang w:val="en-US" w:eastAsia="zh-CN"/>
                    </w:rPr>
                    <w:t>大的</w:t>
                  </w:r>
                  <w:r>
                    <w:rPr>
                      <w:rFonts w:hint="default" w:ascii="Times New Roman" w:hAnsi="Times New Roman" w:eastAsia="宋体" w:cs="Times New Roman"/>
                      <w:u w:val="none" w:color="auto"/>
                      <w:lang w:val="en-US" w:eastAsia="zh-CN"/>
                    </w:rPr>
                    <w:t>调整</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00" w:type="pct"/>
                  <w:gridSpan w:val="4"/>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b/>
                      <w:bCs/>
                      <w:u w:val="none" w:color="auto"/>
                      <w:lang w:val="en-US" w:eastAsia="zh-CN"/>
                    </w:rPr>
                    <w:t>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w:t>
                  </w:r>
                </w:p>
              </w:tc>
              <w:tc>
                <w:tcPr>
                  <w:tcW w:w="2055" w:type="pct"/>
                  <w:tcBorders>
                    <w:tl2br w:val="nil"/>
                    <w:tr2bl w:val="nil"/>
                  </w:tcBorders>
                  <w:vAlign w:val="center"/>
                </w:tcPr>
                <w:p>
                  <w:pPr>
                    <w:pStyle w:val="39"/>
                    <w:bidi w:val="0"/>
                    <w:rPr>
                      <w:rFonts w:hint="default" w:ascii="Times New Roman" w:hAnsi="Times New Roman" w:eastAsia="宋体" w:cs="Times New Roman"/>
                      <w:u w:val="none" w:color="auto"/>
                      <w:lang w:eastAsia="zh-CN"/>
                    </w:rPr>
                  </w:pPr>
                  <w:r>
                    <w:rPr>
                      <w:rFonts w:hint="default" w:ascii="Times New Roman" w:hAnsi="Times New Roman" w:cs="Times New Roman"/>
                      <w:u w:val="none" w:color="auto"/>
                    </w:rPr>
                    <w:t>新增产品品种或生产工艺（含主要生产装置、设备及配套设施)、主要原辅材料、燃料变化，导致以下情形之一</w:t>
                  </w:r>
                  <w:r>
                    <w:rPr>
                      <w:rFonts w:hint="default" w:ascii="Times New Roman" w:hAnsi="Times New Roman" w:cs="Times New Roman"/>
                      <w:u w:val="none" w:color="auto"/>
                      <w:lang w:eastAsia="zh-CN"/>
                    </w:rPr>
                    <w:t>：</w:t>
                  </w:r>
                </w:p>
                <w:p>
                  <w:pPr>
                    <w:pStyle w:val="39"/>
                    <w:numPr>
                      <w:ilvl w:val="0"/>
                      <w:numId w:val="0"/>
                    </w:numPr>
                    <w:bidi w:val="0"/>
                    <w:jc w:val="both"/>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eastAsia="zh-CN"/>
                    </w:rPr>
                    <w:t>）</w:t>
                  </w:r>
                  <w:r>
                    <w:rPr>
                      <w:rFonts w:hint="default" w:ascii="Times New Roman" w:hAnsi="Times New Roman" w:cs="Times New Roman"/>
                      <w:u w:val="none" w:color="auto"/>
                    </w:rPr>
                    <w:t>新增排放污染物种类的</w:t>
                  </w:r>
                  <w:r>
                    <w:rPr>
                      <w:rFonts w:hint="default" w:ascii="Times New Roman" w:hAnsi="Times New Roman" w:cs="Times New Roman"/>
                      <w:u w:val="none" w:color="auto"/>
                      <w:lang w:eastAsia="zh-CN"/>
                    </w:rPr>
                    <w:t>（</w:t>
                  </w:r>
                  <w:r>
                    <w:rPr>
                      <w:rFonts w:hint="default" w:ascii="Times New Roman" w:hAnsi="Times New Roman" w:cs="Times New Roman"/>
                      <w:u w:val="none" w:color="auto"/>
                    </w:rPr>
                    <w:t>毒性、挥发性降低的除外</w:t>
                  </w:r>
                  <w:r>
                    <w:rPr>
                      <w:rFonts w:hint="default" w:ascii="Times New Roman" w:hAnsi="Times New Roman" w:cs="Times New Roman"/>
                      <w:u w:val="none" w:color="auto"/>
                      <w:lang w:eastAsia="zh-CN"/>
                    </w:rPr>
                    <w:t>）；</w:t>
                  </w:r>
                </w:p>
                <w:p>
                  <w:pPr>
                    <w:pStyle w:val="39"/>
                    <w:numPr>
                      <w:ilvl w:val="0"/>
                      <w:numId w:val="0"/>
                    </w:numPr>
                    <w:bidi w:val="0"/>
                    <w:jc w:val="both"/>
                    <w:rPr>
                      <w:rFonts w:hint="default" w:ascii="Times New Roman" w:hAnsi="Times New Roman" w:cs="Times New Roman"/>
                      <w:u w:val="none" w:color="auto"/>
                    </w:rPr>
                  </w:pP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lang w:eastAsia="zh-CN"/>
                    </w:rPr>
                    <w:t>）</w:t>
                  </w:r>
                  <w:r>
                    <w:rPr>
                      <w:rFonts w:hint="default" w:ascii="Times New Roman" w:hAnsi="Times New Roman" w:cs="Times New Roman"/>
                      <w:u w:val="none" w:color="auto"/>
                    </w:rPr>
                    <w:t>位于环境质量不达标区的建设项目相应污染物排放量增加的</w:t>
                  </w:r>
                  <w:r>
                    <w:rPr>
                      <w:rFonts w:hint="default" w:ascii="Times New Roman" w:hAnsi="Times New Roman" w:cs="Times New Roman"/>
                      <w:u w:val="none" w:color="auto"/>
                      <w:lang w:eastAsia="zh-CN"/>
                    </w:rPr>
                    <w:t>；</w:t>
                  </w:r>
                </w:p>
                <w:p>
                  <w:pPr>
                    <w:pStyle w:val="39"/>
                    <w:numPr>
                      <w:ilvl w:val="0"/>
                      <w:numId w:val="0"/>
                    </w:numPr>
                    <w:bidi w:val="0"/>
                    <w:jc w:val="both"/>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3</w:t>
                  </w:r>
                  <w:r>
                    <w:rPr>
                      <w:rFonts w:hint="default" w:ascii="Times New Roman" w:hAnsi="Times New Roman" w:cs="Times New Roman"/>
                      <w:u w:val="none" w:color="auto"/>
                      <w:lang w:eastAsia="zh-CN"/>
                    </w:rPr>
                    <w:t>）</w:t>
                  </w:r>
                  <w:r>
                    <w:rPr>
                      <w:rFonts w:hint="default" w:ascii="Times New Roman" w:hAnsi="Times New Roman" w:cs="Times New Roman"/>
                      <w:u w:val="none" w:color="auto"/>
                    </w:rPr>
                    <w:t>废水第一类污染物排放量增加的</w:t>
                  </w:r>
                  <w:r>
                    <w:rPr>
                      <w:rFonts w:hint="default" w:ascii="Times New Roman" w:hAnsi="Times New Roman" w:cs="Times New Roman"/>
                      <w:u w:val="none" w:color="auto"/>
                      <w:lang w:eastAsia="zh-CN"/>
                    </w:rPr>
                    <w:t>；</w:t>
                  </w:r>
                </w:p>
                <w:p>
                  <w:pPr>
                    <w:pStyle w:val="39"/>
                    <w:numPr>
                      <w:ilvl w:val="0"/>
                      <w:numId w:val="0"/>
                    </w:numPr>
                    <w:bidi w:val="0"/>
                    <w:jc w:val="both"/>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lang w:eastAsia="zh-CN"/>
                    </w:rPr>
                    <w:t>）</w:t>
                  </w:r>
                  <w:r>
                    <w:rPr>
                      <w:rFonts w:hint="default" w:ascii="Times New Roman" w:hAnsi="Times New Roman" w:cs="Times New Roman"/>
                      <w:u w:val="none" w:color="auto"/>
                    </w:rPr>
                    <w:t>其他污染物排放量增加10%及以上的</w:t>
                  </w:r>
                  <w:r>
                    <w:rPr>
                      <w:rFonts w:hint="default" w:ascii="Times New Roman" w:hAnsi="Times New Roman" w:cs="Times New Roman"/>
                      <w:u w:val="none" w:color="auto"/>
                      <w:lang w:val="en-US" w:eastAsia="zh-CN"/>
                    </w:rPr>
                    <w:t>.</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项目产品、生产工艺、原辅材料未发生变化，原环评中采用电锅炉提供蒸汽，本次变更锅炉燃料</w:t>
                  </w:r>
                  <w:r>
                    <w:rPr>
                      <w:rFonts w:hint="default" w:ascii="Times New Roman" w:hAnsi="Times New Roman" w:cs="Times New Roman"/>
                      <w:u w:val="none" w:color="auto"/>
                      <w:lang w:val="en-US" w:eastAsia="zh-CN"/>
                    </w:rPr>
                    <w:t>改为生物质颗粒，新增</w:t>
                  </w:r>
                  <w:r>
                    <w:rPr>
                      <w:rFonts w:hint="default" w:ascii="Times New Roman" w:hAnsi="Times New Roman" w:cs="Times New Roman"/>
                      <w:u w:val="none" w:color="auto"/>
                    </w:rPr>
                    <w:t>排放污染物种类</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2</w:t>
                  </w:r>
                </w:p>
              </w:tc>
              <w:tc>
                <w:tcPr>
                  <w:tcW w:w="2055"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物料运输、装卸、贮存方式变化，导致大气污染物无组织排放量增加10%及以上的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物料运输、装卸、贮存方式未发生变化，导致大气污染物无组织排放量增加10%及以上</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00" w:type="pct"/>
                  <w:gridSpan w:val="4"/>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b/>
                      <w:bCs/>
                      <w:u w:val="none" w:color="auto"/>
                      <w:lang w:val="en-US" w:eastAsia="zh-CN"/>
                    </w:rPr>
                    <w:t>环境保护措施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w:t>
                  </w:r>
                </w:p>
              </w:tc>
              <w:tc>
                <w:tcPr>
                  <w:tcW w:w="2055" w:type="pct"/>
                  <w:tcBorders>
                    <w:tl2br w:val="nil"/>
                    <w:tr2bl w:val="nil"/>
                  </w:tcBorders>
                  <w:vAlign w:val="center"/>
                </w:tcPr>
                <w:p>
                  <w:pPr>
                    <w:pStyle w:val="39"/>
                    <w:bidi w:val="0"/>
                    <w:rPr>
                      <w:rFonts w:hint="default" w:ascii="Times New Roman" w:hAnsi="Times New Roman" w:cs="Times New Roman"/>
                      <w:u w:val="none" w:color="auto"/>
                    </w:rPr>
                  </w:pPr>
                  <w:r>
                    <w:rPr>
                      <w:rFonts w:hint="default" w:ascii="Times New Roman" w:hAnsi="Times New Roman" w:cs="Times New Roman"/>
                      <w:u w:val="none" w:color="auto"/>
                    </w:rPr>
                    <w:t>废气、废水污染防治措施变化，导致第6条中所列情形之一</w:t>
                  </w:r>
                  <w:r>
                    <w:rPr>
                      <w:rFonts w:hint="default" w:ascii="Times New Roman" w:hAnsi="Times New Roman" w:cs="Times New Roman"/>
                      <w:u w:val="none" w:color="auto"/>
                      <w:lang w:eastAsia="zh-CN"/>
                    </w:rPr>
                    <w:t>（</w:t>
                  </w:r>
                  <w:r>
                    <w:rPr>
                      <w:rFonts w:hint="default" w:ascii="Times New Roman" w:hAnsi="Times New Roman" w:cs="Times New Roman"/>
                      <w:u w:val="none" w:color="auto"/>
                    </w:rPr>
                    <w:t>废气无组织排放改为有组织排放、污染防治措施强化或改进的除外</w:t>
                  </w:r>
                  <w:r>
                    <w:rPr>
                      <w:rFonts w:hint="default" w:ascii="Times New Roman" w:hAnsi="Times New Roman" w:cs="Times New Roman"/>
                      <w:u w:val="none" w:color="auto"/>
                      <w:lang w:eastAsia="zh-CN"/>
                    </w:rPr>
                    <w:t>）</w:t>
                  </w:r>
                  <w:r>
                    <w:rPr>
                      <w:rFonts w:hint="default" w:ascii="Times New Roman" w:hAnsi="Times New Roman" w:cs="Times New Roman"/>
                      <w:u w:val="none" w:color="auto"/>
                    </w:rPr>
                    <w:t>或大气污染物无组织排放量增加10%及以上的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项目</w:t>
                  </w:r>
                  <w:r>
                    <w:rPr>
                      <w:rFonts w:hint="default" w:ascii="Times New Roman" w:hAnsi="Times New Roman" w:cs="Times New Roman"/>
                      <w:u w:val="none" w:color="auto"/>
                    </w:rPr>
                    <w:t>废水污染防治措施</w:t>
                  </w:r>
                  <w:r>
                    <w:rPr>
                      <w:rFonts w:hint="default" w:ascii="Times New Roman" w:hAnsi="Times New Roman" w:cs="Times New Roman"/>
                      <w:u w:val="none" w:color="auto"/>
                      <w:lang w:val="en-US" w:eastAsia="zh-CN"/>
                    </w:rPr>
                    <w:t>未</w:t>
                  </w:r>
                  <w:r>
                    <w:rPr>
                      <w:rFonts w:hint="default" w:ascii="Times New Roman" w:hAnsi="Times New Roman" w:cs="Times New Roman"/>
                      <w:u w:val="none" w:color="auto"/>
                    </w:rPr>
                    <w:t>变化</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原环评中</w:t>
                  </w:r>
                  <w:r>
                    <w:rPr>
                      <w:rFonts w:hint="default" w:ascii="Times New Roman" w:hAnsi="Times New Roman" w:cs="Times New Roman"/>
                      <w:u w:val="none" w:color="auto"/>
                    </w:rPr>
                    <w:t>废气</w:t>
                  </w:r>
                  <w:r>
                    <w:rPr>
                      <w:rFonts w:hint="default" w:ascii="Times New Roman" w:hAnsi="Times New Roman" w:cs="Times New Roman"/>
                      <w:u w:val="none" w:color="auto"/>
                      <w:lang w:val="en-US" w:eastAsia="zh-CN"/>
                    </w:rPr>
                    <w:t>无集中排放口，仅为无组织排放，本次变更</w:t>
                  </w:r>
                  <w:r>
                    <w:rPr>
                      <w:rFonts w:hint="eastAsia" w:cs="Times New Roman"/>
                      <w:u w:val="none" w:color="auto"/>
                      <w:lang w:val="en-US" w:eastAsia="zh-CN"/>
                    </w:rPr>
                    <w:t>由于将电锅炉改为生物质锅炉，将</w:t>
                  </w:r>
                  <w:r>
                    <w:rPr>
                      <w:rFonts w:hint="default" w:ascii="Times New Roman" w:hAnsi="Times New Roman" w:cs="Times New Roman"/>
                      <w:u w:val="none" w:color="auto"/>
                      <w:lang w:val="en-US" w:eastAsia="zh-CN"/>
                    </w:rPr>
                    <w:t>新增一根锅炉废气排气筒</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2</w:t>
                  </w:r>
                </w:p>
              </w:tc>
              <w:tc>
                <w:tcPr>
                  <w:tcW w:w="2055" w:type="pct"/>
                  <w:tcBorders>
                    <w:tl2br w:val="nil"/>
                    <w:tr2bl w:val="nil"/>
                  </w:tcBorders>
                  <w:vAlign w:val="center"/>
                </w:tcPr>
                <w:p>
                  <w:pPr>
                    <w:pStyle w:val="39"/>
                    <w:bidi w:val="0"/>
                    <w:rPr>
                      <w:rFonts w:hint="default" w:ascii="Times New Roman" w:hAnsi="Times New Roman" w:cs="Times New Roman"/>
                      <w:u w:val="none" w:color="auto"/>
                    </w:rPr>
                  </w:pPr>
                  <w:r>
                    <w:rPr>
                      <w:rFonts w:hint="default" w:ascii="Times New Roman" w:hAnsi="Times New Roman" w:cs="Times New Roman"/>
                      <w:u w:val="none" w:color="auto"/>
                    </w:rPr>
                    <w:t>新增废水直接排放口</w:t>
                  </w:r>
                  <w:r>
                    <w:rPr>
                      <w:rFonts w:hint="default" w:ascii="Times New Roman" w:hAnsi="Times New Roman" w:cs="Times New Roman"/>
                      <w:u w:val="none" w:color="auto"/>
                      <w:lang w:eastAsia="zh-CN"/>
                    </w:rPr>
                    <w:t>；</w:t>
                  </w:r>
                  <w:r>
                    <w:rPr>
                      <w:rFonts w:hint="default" w:ascii="Times New Roman" w:hAnsi="Times New Roman" w:cs="Times New Roman"/>
                      <w:u w:val="none" w:color="auto"/>
                    </w:rPr>
                    <w:t>废水由间接排放改为直接排放</w:t>
                  </w:r>
                  <w:r>
                    <w:rPr>
                      <w:rFonts w:hint="default" w:ascii="Times New Roman" w:hAnsi="Times New Roman" w:cs="Times New Roman"/>
                      <w:u w:val="none" w:color="auto"/>
                      <w:lang w:eastAsia="zh-CN"/>
                    </w:rPr>
                    <w:t>；</w:t>
                  </w:r>
                  <w:r>
                    <w:rPr>
                      <w:rFonts w:hint="default" w:ascii="Times New Roman" w:hAnsi="Times New Roman" w:cs="Times New Roman"/>
                      <w:u w:val="none" w:color="auto"/>
                    </w:rPr>
                    <w:t>废水直接排放口位置变化，导致不利环境影响加重的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项目生活废水同生产废水</w:t>
                  </w:r>
                  <w:r>
                    <w:rPr>
                      <w:rFonts w:hint="default" w:ascii="Times New Roman" w:hAnsi="Times New Roman" w:cs="Times New Roman"/>
                      <w:u w:val="none" w:color="auto"/>
                      <w:lang w:val="en-US" w:eastAsia="zh-CN"/>
                    </w:rPr>
                    <w:t>经自建污水处理设施处理后</w:t>
                  </w:r>
                  <w:r>
                    <w:rPr>
                      <w:rFonts w:hint="default" w:ascii="Times New Roman" w:hAnsi="Times New Roman" w:cs="Times New Roman"/>
                      <w:u w:val="none" w:color="auto"/>
                    </w:rPr>
                    <w:t>用于</w:t>
                  </w:r>
                  <w:r>
                    <w:rPr>
                      <w:rFonts w:hint="eastAsia" w:ascii="Times New Roman" w:hAnsi="Times New Roman" w:cs="Times New Roman"/>
                      <w:u w:val="none" w:color="auto"/>
                      <w:lang w:val="en-US" w:eastAsia="zh-CN"/>
                    </w:rPr>
                    <w:t>农田、</w:t>
                  </w:r>
                  <w:r>
                    <w:rPr>
                      <w:rFonts w:hint="default" w:ascii="Times New Roman" w:hAnsi="Times New Roman" w:cs="Times New Roman"/>
                      <w:u w:val="none" w:color="auto"/>
                      <w:lang w:eastAsia="zh-CN"/>
                    </w:rPr>
                    <w:t>旱地</w:t>
                  </w:r>
                  <w:r>
                    <w:rPr>
                      <w:rFonts w:hint="eastAsia" w:ascii="Times New Roman" w:hAnsi="Times New Roman" w:cs="Times New Roman"/>
                      <w:u w:val="none" w:color="auto"/>
                      <w:lang w:val="en-US" w:eastAsia="zh-CN"/>
                    </w:rPr>
                    <w:t>的灌溉</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3</w:t>
                  </w:r>
                </w:p>
              </w:tc>
              <w:tc>
                <w:tcPr>
                  <w:tcW w:w="2055" w:type="pct"/>
                  <w:tcBorders>
                    <w:tl2br w:val="nil"/>
                    <w:tr2bl w:val="nil"/>
                  </w:tcBorders>
                  <w:vAlign w:val="center"/>
                </w:tcPr>
                <w:p>
                  <w:pPr>
                    <w:pStyle w:val="39"/>
                    <w:bidi w:val="0"/>
                    <w:rPr>
                      <w:rFonts w:hint="default" w:ascii="Times New Roman" w:hAnsi="Times New Roman" w:cs="Times New Roman"/>
                      <w:u w:val="none" w:color="auto"/>
                    </w:rPr>
                  </w:pPr>
                  <w:r>
                    <w:rPr>
                      <w:rFonts w:hint="default" w:ascii="Times New Roman" w:hAnsi="Times New Roman" w:cs="Times New Roman"/>
                      <w:u w:val="none" w:color="auto"/>
                    </w:rPr>
                    <w:t>新增废气主要排放口</w:t>
                  </w:r>
                  <w:r>
                    <w:rPr>
                      <w:rFonts w:hint="default" w:ascii="Times New Roman" w:hAnsi="Times New Roman" w:cs="Times New Roman"/>
                      <w:u w:val="none" w:color="auto"/>
                      <w:lang w:eastAsia="zh-CN"/>
                    </w:rPr>
                    <w:t>（</w:t>
                  </w:r>
                  <w:r>
                    <w:rPr>
                      <w:rFonts w:hint="default" w:ascii="Times New Roman" w:hAnsi="Times New Roman" w:cs="Times New Roman"/>
                      <w:u w:val="none" w:color="auto"/>
                    </w:rPr>
                    <w:t>废气无组织排放改为有组织排放的除外</w:t>
                  </w:r>
                  <w:r>
                    <w:rPr>
                      <w:rFonts w:hint="default" w:ascii="Times New Roman" w:hAnsi="Times New Roman" w:cs="Times New Roman"/>
                      <w:u w:val="none" w:color="auto"/>
                      <w:lang w:eastAsia="zh-CN"/>
                    </w:rPr>
                    <w:t>）；</w:t>
                  </w:r>
                  <w:r>
                    <w:rPr>
                      <w:rFonts w:hint="default" w:ascii="Times New Roman" w:hAnsi="Times New Roman" w:cs="Times New Roman"/>
                      <w:u w:val="none" w:color="auto"/>
                    </w:rPr>
                    <w:t>主要排放口排气筒高度降低10%及以上的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eastAsia" w:cs="Times New Roman"/>
                      <w:u w:val="none" w:color="auto"/>
                      <w:lang w:val="en-US" w:eastAsia="zh-CN"/>
                    </w:rPr>
                    <w:t>由于将电锅炉改为生物质锅炉，将</w:t>
                  </w:r>
                  <w:r>
                    <w:rPr>
                      <w:rFonts w:hint="default" w:ascii="Times New Roman" w:hAnsi="Times New Roman" w:eastAsia="宋体" w:cs="Times New Roman"/>
                      <w:u w:val="none" w:color="auto"/>
                      <w:lang w:val="en-US" w:eastAsia="zh-CN"/>
                    </w:rPr>
                    <w:t>新增废气排放口</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4</w:t>
                  </w:r>
                </w:p>
              </w:tc>
              <w:tc>
                <w:tcPr>
                  <w:tcW w:w="2055" w:type="pct"/>
                  <w:tcBorders>
                    <w:tl2br w:val="nil"/>
                    <w:tr2bl w:val="nil"/>
                  </w:tcBorders>
                  <w:vAlign w:val="center"/>
                </w:tcPr>
                <w:p>
                  <w:pPr>
                    <w:pStyle w:val="39"/>
                    <w:bidi w:val="0"/>
                    <w:rPr>
                      <w:rFonts w:hint="default" w:ascii="Times New Roman" w:hAnsi="Times New Roman" w:cs="Times New Roman"/>
                      <w:u w:val="none" w:color="auto"/>
                    </w:rPr>
                  </w:pPr>
                  <w:r>
                    <w:rPr>
                      <w:rFonts w:hint="default" w:ascii="Times New Roman" w:hAnsi="Times New Roman" w:cs="Times New Roman"/>
                      <w:u w:val="none" w:color="auto"/>
                    </w:rPr>
                    <w:t>噪声、土壤或地下水污染防治措施变化，导致不利环境影响加重的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厂区将通过加强绿化、厂房隔声等措施降低噪声对周边居民的影响，目前厂区地面均已硬化；</w:t>
                  </w:r>
                  <w:r>
                    <w:rPr>
                      <w:rFonts w:hint="default" w:ascii="Times New Roman" w:hAnsi="Times New Roman" w:cs="Times New Roman"/>
                      <w:u w:val="none" w:color="auto"/>
                    </w:rPr>
                    <w:t>噪声、土壤或地下水污染防治措施</w:t>
                  </w:r>
                  <w:r>
                    <w:rPr>
                      <w:rFonts w:hint="default" w:ascii="Times New Roman" w:hAnsi="Times New Roman" w:cs="Times New Roman"/>
                      <w:u w:val="none" w:color="auto"/>
                      <w:lang w:val="en-US" w:eastAsia="zh-CN"/>
                    </w:rPr>
                    <w:t>未</w:t>
                  </w:r>
                  <w:r>
                    <w:rPr>
                      <w:rFonts w:hint="default" w:ascii="Times New Roman" w:hAnsi="Times New Roman" w:cs="Times New Roman"/>
                      <w:u w:val="none" w:color="auto"/>
                    </w:rPr>
                    <w:t>变化</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5</w:t>
                  </w:r>
                </w:p>
              </w:tc>
              <w:tc>
                <w:tcPr>
                  <w:tcW w:w="2055" w:type="pct"/>
                  <w:tcBorders>
                    <w:tl2br w:val="nil"/>
                    <w:tr2bl w:val="nil"/>
                  </w:tcBorders>
                  <w:vAlign w:val="center"/>
                </w:tcPr>
                <w:p>
                  <w:pPr>
                    <w:pStyle w:val="39"/>
                    <w:bidi w:val="0"/>
                    <w:rPr>
                      <w:rFonts w:hint="default" w:ascii="Times New Roman" w:hAnsi="Times New Roman" w:cs="Times New Roman"/>
                      <w:u w:val="none" w:color="auto"/>
                    </w:rPr>
                  </w:pPr>
                  <w:r>
                    <w:rPr>
                      <w:rFonts w:hint="default" w:ascii="Times New Roman" w:hAnsi="Times New Roman" w:cs="Times New Roman"/>
                      <w:highlight w:val="none"/>
                      <w:u w:val="none" w:color="auto"/>
                    </w:rPr>
                    <w:t>固体废物利用处置方式由委托外单位利用处置改为自行利用处置的</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rPr>
                    <w:t>自行利用处置设施单独开展环境影响评价的除外</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rPr>
                    <w:t>固体废物自行处置方式变化，导致不利环境影响加重的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eastAsia"/>
                      <w:sz w:val="21"/>
                      <w:szCs w:val="21"/>
                      <w:u w:val="none"/>
                      <w:lang w:val="en-US"/>
                    </w:rPr>
                    <w:t>生活垃圾</w:t>
                  </w:r>
                  <w:r>
                    <w:rPr>
                      <w:rFonts w:hint="eastAsia"/>
                      <w:sz w:val="21"/>
                      <w:szCs w:val="21"/>
                      <w:u w:val="none"/>
                      <w:lang w:val="en-US" w:eastAsia="zh-CN"/>
                    </w:rPr>
                    <w:t>及砂石</w:t>
                  </w:r>
                  <w:r>
                    <w:rPr>
                      <w:rFonts w:hint="eastAsia"/>
                      <w:sz w:val="21"/>
                      <w:szCs w:val="21"/>
                      <w:u w:val="none"/>
                      <w:lang w:val="en-US"/>
                    </w:rPr>
                    <w:t>收集后由环卫部门统一清运处理</w:t>
                  </w:r>
                  <w:r>
                    <w:rPr>
                      <w:rFonts w:hint="eastAsia"/>
                      <w:sz w:val="21"/>
                      <w:szCs w:val="21"/>
                      <w:u w:val="none"/>
                      <w:lang w:val="en-US" w:eastAsia="zh-CN"/>
                    </w:rPr>
                    <w:t>；</w:t>
                  </w:r>
                  <w:r>
                    <w:rPr>
                      <w:rFonts w:hint="eastAsia"/>
                      <w:sz w:val="21"/>
                      <w:szCs w:val="21"/>
                      <w:u w:val="none"/>
                      <w:lang w:val="en-US"/>
                    </w:rPr>
                    <w:t>废包装物收集后外售至废品回收站</w:t>
                  </w:r>
                  <w:r>
                    <w:rPr>
                      <w:rFonts w:hint="eastAsia"/>
                      <w:sz w:val="21"/>
                      <w:szCs w:val="21"/>
                      <w:u w:val="none"/>
                      <w:lang w:val="en-US" w:eastAsia="zh-CN"/>
                    </w:rPr>
                    <w:t>；过期原辅料同生产性废料</w:t>
                  </w:r>
                  <w:r>
                    <w:rPr>
                      <w:rFonts w:hint="eastAsia"/>
                      <w:sz w:val="21"/>
                      <w:szCs w:val="21"/>
                      <w:u w:val="none"/>
                      <w:lang w:val="en-US"/>
                    </w:rPr>
                    <w:t>收集后当天及时出售给养殖户作为饲料使用</w:t>
                  </w:r>
                  <w:r>
                    <w:rPr>
                      <w:rFonts w:hint="eastAsia"/>
                      <w:sz w:val="21"/>
                      <w:szCs w:val="21"/>
                      <w:u w:val="none"/>
                      <w:lang w:val="en-US" w:eastAsia="zh-CN"/>
                    </w:rPr>
                    <w:t>；</w:t>
                  </w:r>
                  <w:r>
                    <w:rPr>
                      <w:rFonts w:hint="eastAsia"/>
                      <w:sz w:val="21"/>
                      <w:szCs w:val="21"/>
                      <w:u w:val="none"/>
                      <w:lang w:val="en-US"/>
                    </w:rPr>
                    <w:t>污泥经污泥干化池脱水后的污泥采取密闭封装</w:t>
                  </w:r>
                  <w:r>
                    <w:rPr>
                      <w:rFonts w:hint="eastAsia"/>
                      <w:sz w:val="21"/>
                      <w:szCs w:val="21"/>
                      <w:u w:val="none"/>
                      <w:lang w:val="en-US" w:eastAsia="zh-CN"/>
                    </w:rPr>
                    <w:t>，交</w:t>
                  </w:r>
                  <w:r>
                    <w:rPr>
                      <w:rFonts w:hint="eastAsia"/>
                      <w:sz w:val="21"/>
                      <w:szCs w:val="21"/>
                      <w:u w:val="none"/>
                      <w:lang w:val="en-US"/>
                    </w:rPr>
                    <w:t>由环卫部门统一清运</w:t>
                  </w:r>
                  <w:r>
                    <w:rPr>
                      <w:rFonts w:hint="eastAsia"/>
                      <w:sz w:val="21"/>
                      <w:szCs w:val="21"/>
                      <w:u w:val="none"/>
                      <w:lang w:val="en-US" w:eastAsia="zh-CN"/>
                    </w:rPr>
                    <w:t>至吉首垃圾焚烧厂焚烧</w:t>
                  </w:r>
                  <w:r>
                    <w:rPr>
                      <w:rFonts w:hint="eastAsia"/>
                      <w:sz w:val="21"/>
                      <w:szCs w:val="21"/>
                      <w:u w:val="none"/>
                      <w:lang w:val="en-US"/>
                    </w:rPr>
                    <w:t>处理</w:t>
                  </w:r>
                  <w:r>
                    <w:rPr>
                      <w:rFonts w:hint="eastAsia"/>
                      <w:sz w:val="21"/>
                      <w:szCs w:val="21"/>
                      <w:u w:val="none"/>
                      <w:lang w:val="en-US" w:eastAsia="zh-CN"/>
                    </w:rPr>
                    <w:t>；检验室固废</w:t>
                  </w:r>
                  <w:r>
                    <w:rPr>
                      <w:rFonts w:hint="eastAsia"/>
                      <w:sz w:val="21"/>
                      <w:szCs w:val="21"/>
                      <w:u w:val="none"/>
                      <w:lang w:eastAsia="zh-CN"/>
                    </w:rPr>
                    <w:t>属于一般固废，</w:t>
                  </w:r>
                  <w:r>
                    <w:rPr>
                      <w:rFonts w:hint="eastAsia"/>
                      <w:sz w:val="21"/>
                      <w:szCs w:val="21"/>
                      <w:u w:val="none"/>
                      <w:lang w:val="en-US" w:eastAsia="zh-CN"/>
                    </w:rPr>
                    <w:t>其中培养基经高温灭活后可按一般固废处置，</w:t>
                  </w:r>
                  <w:r>
                    <w:rPr>
                      <w:rFonts w:hint="eastAsia"/>
                      <w:sz w:val="21"/>
                      <w:szCs w:val="21"/>
                      <w:u w:val="none"/>
                      <w:lang w:eastAsia="zh-CN"/>
                    </w:rPr>
                    <w:t>交由环卫部门清运；</w:t>
                  </w:r>
                  <w:r>
                    <w:rPr>
                      <w:rFonts w:hint="eastAsia"/>
                      <w:sz w:val="21"/>
                      <w:szCs w:val="21"/>
                      <w:u w:val="none"/>
                      <w:lang w:val="en-US" w:eastAsia="zh-CN"/>
                    </w:rPr>
                    <w:t>除尘灰同锅炉灰渣</w:t>
                  </w:r>
                  <w:r>
                    <w:rPr>
                      <w:sz w:val="21"/>
                      <w:szCs w:val="21"/>
                      <w:u w:val="none"/>
                    </w:rPr>
                    <w:t>交由附近村庄农户用作果园、苗圃、蔬菜地或绿化树木的肥料</w:t>
                  </w:r>
                  <w:r>
                    <w:rPr>
                      <w:rFonts w:hint="eastAsia"/>
                      <w:sz w:val="21"/>
                      <w:szCs w:val="21"/>
                      <w:u w:val="none"/>
                      <w:lang w:eastAsia="zh-CN"/>
                    </w:rPr>
                    <w:t>；过滤器（</w:t>
                  </w:r>
                  <w:r>
                    <w:rPr>
                      <w:rFonts w:hint="eastAsia"/>
                      <w:sz w:val="21"/>
                      <w:szCs w:val="21"/>
                      <w:u w:val="none"/>
                      <w:lang w:val="en-US" w:eastAsia="zh-CN"/>
                    </w:rPr>
                    <w:t>含活性炭</w:t>
                  </w:r>
                  <w:r>
                    <w:rPr>
                      <w:rFonts w:hint="eastAsia"/>
                      <w:sz w:val="21"/>
                      <w:szCs w:val="21"/>
                      <w:u w:val="none"/>
                      <w:lang w:eastAsia="zh-CN"/>
                    </w:rPr>
                    <w:t>）、反渗透膜经处理后可以重复使用，</w:t>
                  </w:r>
                  <w:r>
                    <w:rPr>
                      <w:rFonts w:hint="eastAsia"/>
                      <w:sz w:val="21"/>
                      <w:szCs w:val="21"/>
                      <w:u w:val="none"/>
                      <w:lang w:val="en-US" w:eastAsia="zh-CN"/>
                    </w:rPr>
                    <w:t>与废树脂一同</w:t>
                  </w:r>
                  <w:r>
                    <w:rPr>
                      <w:rFonts w:hint="eastAsia"/>
                      <w:sz w:val="21"/>
                      <w:szCs w:val="21"/>
                      <w:u w:val="none"/>
                      <w:lang w:eastAsia="zh-CN"/>
                    </w:rPr>
                    <w:t>由设备服务公司回收；</w:t>
                  </w:r>
                  <w:r>
                    <w:rPr>
                      <w:rFonts w:hint="eastAsia"/>
                      <w:sz w:val="21"/>
                      <w:szCs w:val="21"/>
                      <w:u w:val="none"/>
                      <w:lang w:val="en-US" w:eastAsia="zh-CN"/>
                    </w:rPr>
                    <w:t>废紫外灯管以及检验室废液属于危险废物，定期交由资质单位处置</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647" w:type="pct"/>
                  <w:tcBorders>
                    <w:tl2br w:val="nil"/>
                    <w:tr2bl w:val="nil"/>
                  </w:tcBorders>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6</w:t>
                  </w:r>
                </w:p>
              </w:tc>
              <w:tc>
                <w:tcPr>
                  <w:tcW w:w="2055" w:type="pct"/>
                  <w:tcBorders>
                    <w:tl2br w:val="nil"/>
                    <w:tr2bl w:val="nil"/>
                  </w:tcBorders>
                  <w:vAlign w:val="center"/>
                </w:tcPr>
                <w:p>
                  <w:pPr>
                    <w:pStyle w:val="39"/>
                    <w:bidi w:val="0"/>
                    <w:rPr>
                      <w:rFonts w:hint="default" w:ascii="Times New Roman" w:hAnsi="Times New Roman" w:cs="Times New Roman"/>
                      <w:u w:val="none" w:color="auto"/>
                    </w:rPr>
                  </w:pPr>
                  <w:r>
                    <w:rPr>
                      <w:rFonts w:hint="default" w:ascii="Times New Roman" w:hAnsi="Times New Roman" w:cs="Times New Roman"/>
                      <w:u w:val="none" w:color="auto"/>
                    </w:rPr>
                    <w:t>事故废水暂存能力或拦截设施变化，导致环境风险防范能力弱化或降低的</w:t>
                  </w:r>
                </w:p>
              </w:tc>
              <w:tc>
                <w:tcPr>
                  <w:tcW w:w="15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highlight w:val="none"/>
                      <w:u w:val="none" w:color="auto"/>
                      <w:lang w:val="en-US" w:eastAsia="zh-CN"/>
                    </w:rPr>
                    <w:t>设置</w:t>
                  </w:r>
                  <w:r>
                    <w:rPr>
                      <w:rFonts w:hint="default" w:ascii="Times New Roman" w:hAnsi="Times New Roman" w:cs="Times New Roman"/>
                      <w:highlight w:val="none"/>
                      <w:u w:val="none" w:color="auto"/>
                      <w:lang w:val="en-US" w:eastAsia="zh-CN"/>
                    </w:rPr>
                    <w:t>清水池</w:t>
                  </w:r>
                  <w:r>
                    <w:rPr>
                      <w:rFonts w:hint="eastAsia" w:cs="Times New Roman"/>
                      <w:highlight w:val="none"/>
                      <w:u w:val="none" w:color="auto"/>
                      <w:lang w:val="en-US" w:eastAsia="zh-CN"/>
                    </w:rPr>
                    <w:t>200</w:t>
                  </w:r>
                  <w:r>
                    <w:rPr>
                      <w:rFonts w:hint="default" w:ascii="Times New Roman" w:hAnsi="Times New Roman" w:cs="Times New Roman"/>
                      <w:highlight w:val="none"/>
                      <w:u w:val="none" w:color="auto"/>
                      <w:lang w:val="en-US" w:eastAsia="zh-CN"/>
                    </w:rPr>
                    <w:t>m</w:t>
                  </w:r>
                  <w:r>
                    <w:rPr>
                      <w:rFonts w:hint="default" w:ascii="Times New Roman" w:hAnsi="Times New Roman" w:cs="Times New Roman"/>
                      <w:highlight w:val="none"/>
                      <w:u w:val="none" w:color="auto"/>
                      <w:vertAlign w:val="superscript"/>
                      <w:lang w:val="en-US" w:eastAsia="zh-CN"/>
                    </w:rPr>
                    <w:t>3</w:t>
                  </w:r>
                  <w:r>
                    <w:rPr>
                      <w:rFonts w:hint="default" w:ascii="Times New Roman" w:hAnsi="Times New Roman" w:eastAsia="宋体" w:cs="Times New Roman"/>
                      <w:highlight w:val="none"/>
                      <w:u w:val="none" w:color="auto"/>
                      <w:lang w:val="en-US" w:eastAsia="zh-CN"/>
                    </w:rPr>
                    <w:t>，能够满足风险防范的需求</w:t>
                  </w:r>
                </w:p>
              </w:tc>
              <w:tc>
                <w:tcPr>
                  <w:tcW w:w="698" w:type="pc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highlight w:val="none"/>
                      <w:u w:val="none" w:color="auto"/>
                      <w:lang w:val="en-US" w:eastAsia="zh-CN"/>
                    </w:rPr>
                    <w:t>不涉及</w:t>
                  </w:r>
                </w:p>
              </w:tc>
            </w:tr>
          </w:tbl>
          <w:p>
            <w:pPr>
              <w:keepNext w:val="0"/>
              <w:keepLines w:val="0"/>
              <w:wordWrap/>
              <w:overflowPunct/>
              <w:topLinePunct w:val="0"/>
              <w:autoSpaceDE/>
              <w:autoSpaceDN/>
              <w:jc w:val="left"/>
              <w:rPr>
                <w:rFonts w:ascii="Times New Roman" w:hAnsi="Times New Roman" w:cs="Times New Roman"/>
                <w:u w:val="none" w:color="auto"/>
              </w:rPr>
            </w:pPr>
            <w:r>
              <w:rPr>
                <w:rFonts w:hint="default" w:ascii="Times New Roman" w:hAnsi="Times New Roman" w:cs="Times New Roman"/>
                <w:u w:val="none" w:color="auto"/>
                <w:lang w:val="en-US" w:eastAsia="zh-CN"/>
              </w:rPr>
              <w:t>根据项目实际建设与《关于印发污染影响类建设项目重大变动项目（试行）的通知》（环办环评函〔2020〕688号）的对比情况，本次变更与原环评规划有所调整，</w:t>
            </w:r>
            <w:r>
              <w:rPr>
                <w:rFonts w:hint="default" w:ascii="Times New Roman" w:hAnsi="Times New Roman" w:eastAsia="宋体" w:cs="Times New Roman"/>
                <w:u w:val="none" w:color="auto"/>
                <w:lang w:val="en-US" w:eastAsia="zh-CN"/>
              </w:rPr>
              <w:t>变更锅炉燃料</w:t>
            </w:r>
            <w:r>
              <w:rPr>
                <w:rFonts w:hint="default" w:ascii="Times New Roman" w:hAnsi="Times New Roman" w:cs="Times New Roman"/>
                <w:u w:val="none" w:color="auto"/>
                <w:lang w:val="en-US" w:eastAsia="zh-CN"/>
              </w:rPr>
              <w:t>改为生物质颗粒，新增</w:t>
            </w:r>
            <w:r>
              <w:rPr>
                <w:rFonts w:hint="default" w:ascii="Times New Roman" w:hAnsi="Times New Roman" w:cs="Times New Roman"/>
                <w:u w:val="none" w:color="auto"/>
              </w:rPr>
              <w:t>排放污染物种类</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新增一根锅炉废气排气筒，</w:t>
            </w:r>
            <w:r>
              <w:rPr>
                <w:rFonts w:hint="default" w:ascii="Times New Roman" w:hAnsi="Times New Roman" w:cs="Times New Roman"/>
                <w:u w:val="none" w:color="auto"/>
              </w:rPr>
              <w:t>项目变动属于重大变动，需重新报批环评</w:t>
            </w:r>
            <w:r>
              <w:rPr>
                <w:rFonts w:hint="default" w:ascii="Times New Roman" w:hAnsi="Times New Roman" w:cs="Times New Roman"/>
                <w:u w:val="none" w:color="auto"/>
                <w:lang w:val="en-US" w:eastAsia="zh-CN"/>
              </w:rPr>
              <w:t>。</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 项目变更后概况</w:t>
            </w:r>
          </w:p>
          <w:p>
            <w:pPr>
              <w:keepNext w:val="0"/>
              <w:keepLines w:val="0"/>
              <w:widowControl/>
              <w:suppressLineNumbers w:val="0"/>
              <w:jc w:val="left"/>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项目名称：</w:t>
            </w:r>
            <w:r>
              <w:rPr>
                <w:rFonts w:hint="default" w:ascii="Times New Roman" w:hAnsi="Times New Roman" w:cs="Times New Roman"/>
                <w:u w:val="none" w:color="auto"/>
                <w:lang w:eastAsia="zh-CN"/>
              </w:rPr>
              <w:t>泸溪特色米粉加工项目</w:t>
            </w:r>
          </w:p>
          <w:p>
            <w:pPr>
              <w:keepNext w:val="0"/>
              <w:keepLines w:val="0"/>
              <w:widowControl/>
              <w:suppressLineNumbers w:val="0"/>
              <w:jc w:val="left"/>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建设单位：泸溪县白沙镇天然饮料厂</w:t>
            </w:r>
          </w:p>
          <w:p>
            <w:pPr>
              <w:keepNext w:val="0"/>
              <w:keepLines w:val="0"/>
              <w:widowControl/>
              <w:suppressLineNumbers w:val="0"/>
              <w:jc w:val="left"/>
              <w:rPr>
                <w:rFonts w:ascii="Times New Roman" w:hAnsi="Times New Roman" w:cs="Times New Roman"/>
                <w:u w:val="none" w:color="auto"/>
              </w:rPr>
            </w:pPr>
            <w:r>
              <w:rPr>
                <w:rFonts w:hint="default" w:ascii="Times New Roman" w:hAnsi="Times New Roman" w:cs="Times New Roman"/>
                <w:u w:val="none" w:color="auto"/>
                <w:lang w:val="en-US" w:eastAsia="zh-CN"/>
              </w:rPr>
              <w:t>建设性质：新建（变更）</w:t>
            </w:r>
          </w:p>
          <w:p>
            <w:pPr>
              <w:keepNext w:val="0"/>
              <w:keepLines w:val="0"/>
              <w:widowControl/>
              <w:suppressLineNumbers w:val="0"/>
              <w:jc w:val="left"/>
              <w:rPr>
                <w:rFonts w:ascii="Times New Roman" w:hAnsi="Times New Roman" w:cs="Times New Roman"/>
                <w:u w:val="none" w:color="auto"/>
              </w:rPr>
            </w:pPr>
            <w:r>
              <w:rPr>
                <w:rFonts w:hint="default" w:ascii="Times New Roman" w:hAnsi="Times New Roman" w:cs="Times New Roman"/>
                <w:u w:val="none" w:color="auto"/>
                <w:lang w:val="en-US" w:eastAsia="zh-CN"/>
              </w:rPr>
              <w:t>项目投资：</w:t>
            </w:r>
            <w:r>
              <w:rPr>
                <w:rFonts w:hint="eastAsia" w:cs="Times New Roman"/>
                <w:u w:val="none" w:color="auto"/>
                <w:lang w:val="en-US" w:eastAsia="zh-CN"/>
              </w:rPr>
              <w:t>580</w:t>
            </w:r>
            <w:r>
              <w:rPr>
                <w:rFonts w:hint="default" w:ascii="Times New Roman" w:hAnsi="Times New Roman" w:cs="Times New Roman"/>
                <w:u w:val="none" w:color="auto"/>
                <w:lang w:val="en-US" w:eastAsia="zh-CN"/>
              </w:rPr>
              <w:t>万元</w:t>
            </w:r>
          </w:p>
          <w:p>
            <w:pPr>
              <w:wordWrap/>
              <w:overflowPunct w:val="0"/>
              <w:topLinePunct w:val="0"/>
              <w:autoSpaceDE w:val="0"/>
              <w:autoSpaceDN w:val="0"/>
              <w:ind w:firstLine="480"/>
              <w:rPr>
                <w:rFonts w:ascii="Times New Roman" w:hAnsi="Times New Roman" w:cs="Times New Roman"/>
                <w:u w:val="none" w:color="auto"/>
                <w:lang w:val="en-US"/>
              </w:rPr>
            </w:pPr>
            <w:r>
              <w:rPr>
                <w:rFonts w:ascii="Times New Roman" w:hAnsi="Times New Roman" w:cs="Times New Roman"/>
                <w:u w:val="none" w:color="auto"/>
              </w:rPr>
              <w:t>本次变更是在原厂区范围内进行变更，本次变更</w:t>
            </w:r>
            <w:r>
              <w:rPr>
                <w:rFonts w:hint="default" w:ascii="Times New Roman" w:hAnsi="Times New Roman" w:cs="Times New Roman"/>
                <w:u w:val="none" w:color="auto"/>
                <w:lang w:eastAsia="zh-CN"/>
              </w:rPr>
              <w:t>将原环评中</w:t>
            </w:r>
            <w:r>
              <w:rPr>
                <w:rFonts w:hint="default" w:ascii="Times New Roman" w:hAnsi="Times New Roman" w:cs="Times New Roman"/>
                <w:u w:val="none" w:color="auto"/>
                <w:lang w:val="en-US" w:eastAsia="zh-CN"/>
              </w:rPr>
              <w:t>2台1.0t/h电蒸汽发生器变更为1台0.7t/h的生物质蒸汽发生器，原混凝土结构生产车间变更为钢架式生产车间</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考虑到市场需求以及场地的限制，湿米粉生产线分为两期建设，一期、二期规模均为1800t/a，二期湿米粉生产线与干米粉生产线均不在本次评价范围之内，远期另行征地建设</w:t>
            </w:r>
            <w:r>
              <w:rPr>
                <w:rFonts w:hint="eastAsia" w:cs="Times New Roman"/>
                <w:u w:val="none" w:color="auto"/>
                <w:lang w:val="en-US" w:eastAsia="zh-CN"/>
              </w:rPr>
              <w:t>，本次环评的主体、辅助、</w:t>
            </w:r>
            <w:r>
              <w:rPr>
                <w:rFonts w:hint="default" w:ascii="Times New Roman" w:hAnsi="Times New Roman" w:cs="Times New Roman"/>
                <w:u w:val="none" w:color="auto"/>
                <w:lang w:val="en-US" w:eastAsia="zh-CN"/>
              </w:rPr>
              <w:t>储运</w:t>
            </w:r>
            <w:r>
              <w:rPr>
                <w:rFonts w:hint="eastAsia" w:cs="Times New Roman"/>
                <w:u w:val="none" w:color="auto"/>
                <w:lang w:val="en-US" w:eastAsia="zh-CN"/>
              </w:rPr>
              <w:t>、公用、环保等工程均按照1800t/a的规模去配套建设</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eastAsia="zh-CN"/>
              </w:rPr>
              <w:t>变更</w:t>
            </w:r>
            <w:r>
              <w:rPr>
                <w:rFonts w:ascii="Times New Roman" w:hAnsi="Times New Roman" w:cs="Times New Roman"/>
                <w:u w:val="none" w:color="auto"/>
              </w:rPr>
              <w:t>后年工作天数不变，</w:t>
            </w:r>
            <w:r>
              <w:rPr>
                <w:rFonts w:hint="default" w:ascii="Times New Roman" w:hAnsi="Times New Roman" w:cs="Times New Roman"/>
                <w:u w:val="none" w:color="auto"/>
                <w:lang w:val="en-US" w:eastAsia="zh-CN"/>
              </w:rPr>
              <w:t>项目性质、湿米粉产品规模、地点、生产工艺未发生变化。项目主要工程内容详见表2.4-1，具体布局详见附图5：变更后项目总平面布置图。</w:t>
            </w:r>
          </w:p>
          <w:p>
            <w:pPr>
              <w:pStyle w:val="43"/>
              <w:bidi w:val="0"/>
              <w:rPr>
                <w:rFonts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lang w:val="en-US"/>
              </w:rPr>
              <w:t xml:space="preserve">-1   </w:t>
            </w:r>
            <w:r>
              <w:rPr>
                <w:rFonts w:hint="default" w:ascii="Times New Roman" w:hAnsi="Times New Roman" w:cs="Times New Roman"/>
                <w:u w:val="none" w:color="auto"/>
              </w:rPr>
              <w:t>建设内容及规模</w:t>
            </w:r>
          </w:p>
          <w:tbl>
            <w:tblPr>
              <w:tblStyle w:val="28"/>
              <w:tblW w:w="497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07"/>
              <w:gridCol w:w="1496"/>
              <w:gridCol w:w="3769"/>
              <w:gridCol w:w="1329"/>
              <w:gridCol w:w="12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97" w:type="pct"/>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项目类型</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建筑内容及规模</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构筑物</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eastAsia="zh-CN"/>
                    </w:rPr>
                    <w:t>占地</w:t>
                  </w:r>
                  <w:r>
                    <w:rPr>
                      <w:rFonts w:hint="default" w:ascii="Times New Roman" w:hAnsi="Times New Roman" w:eastAsia="宋体" w:cs="Times New Roman"/>
                      <w:b/>
                      <w:bCs/>
                      <w:u w:val="none" w:color="auto"/>
                      <w:lang w:val="en-US"/>
                    </w:rPr>
                    <w:t>面积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97" w:type="pct"/>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拆除工程</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拆除原泸溪县白沙天然饮料厂构筑物，旧水厂内无设施设备，无生产行为，生产车间荒废已久，车间内部均地面硬化</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主体工程</w:t>
                  </w: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湿米粉生产线</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rPr>
                    <w:t>设置于</w:t>
                  </w:r>
                  <w:r>
                    <w:rPr>
                      <w:rFonts w:hint="default" w:ascii="Times New Roman" w:hAnsi="Times New Roman" w:eastAsia="宋体" w:cs="Times New Roman"/>
                      <w:u w:val="none" w:color="auto"/>
                      <w:lang w:val="en-US" w:eastAsia="zh-CN"/>
                    </w:rPr>
                    <w:t>钢架</w:t>
                  </w:r>
                  <w:r>
                    <w:rPr>
                      <w:rFonts w:hint="default" w:ascii="Times New Roman" w:hAnsi="Times New Roman" w:eastAsia="宋体" w:cs="Times New Roman"/>
                      <w:u w:val="none" w:color="auto"/>
                      <w:lang w:val="en-US"/>
                    </w:rPr>
                    <w:t>厂房</w:t>
                  </w:r>
                  <w:r>
                    <w:rPr>
                      <w:rFonts w:hint="default" w:ascii="Times New Roman" w:hAnsi="Times New Roman" w:eastAsia="宋体" w:cs="Times New Roman"/>
                      <w:u w:val="none" w:color="auto"/>
                      <w:lang w:val="en-US" w:eastAsia="zh-CN"/>
                    </w:rPr>
                    <w:t>中</w:t>
                  </w:r>
                  <w:r>
                    <w:rPr>
                      <w:rFonts w:hint="default" w:ascii="Times New Roman" w:hAnsi="Times New Roman" w:eastAsia="宋体" w:cs="Times New Roman"/>
                      <w:u w:val="none" w:color="auto"/>
                      <w:lang w:val="en-US"/>
                    </w:rPr>
                    <w:t>，</w:t>
                  </w:r>
                  <w:r>
                    <w:rPr>
                      <w:rFonts w:hint="default" w:ascii="Times New Roman" w:hAnsi="Times New Roman" w:eastAsia="宋体" w:cs="Times New Roman"/>
                      <w:u w:val="none" w:color="auto"/>
                      <w:lang w:val="en-US" w:eastAsia="zh-CN"/>
                    </w:rPr>
                    <w:t>混凝土构筑物</w:t>
                  </w:r>
                  <w:r>
                    <w:rPr>
                      <w:rFonts w:hint="default" w:ascii="Times New Roman" w:hAnsi="Times New Roman" w:eastAsia="宋体" w:cs="Times New Roman"/>
                      <w:u w:val="none" w:color="auto"/>
                      <w:lang w:val="en-US"/>
                    </w:rPr>
                    <w:t>，根据生产工序分为泡米</w:t>
                  </w:r>
                  <w:r>
                    <w:rPr>
                      <w:rFonts w:hint="default" w:ascii="Times New Roman" w:hAnsi="Times New Roman" w:eastAsia="宋体" w:cs="Times New Roman"/>
                      <w:u w:val="none" w:color="auto"/>
                      <w:lang w:val="en-US" w:eastAsia="zh-CN"/>
                    </w:rPr>
                    <w:t>区、</w:t>
                  </w:r>
                  <w:r>
                    <w:rPr>
                      <w:rFonts w:hint="default" w:ascii="Times New Roman" w:hAnsi="Times New Roman" w:eastAsia="宋体" w:cs="Times New Roman"/>
                      <w:u w:val="none" w:color="auto"/>
                      <w:lang w:val="en-US"/>
                    </w:rPr>
                    <w:t>磨浆</w:t>
                  </w:r>
                  <w:r>
                    <w:rPr>
                      <w:rFonts w:hint="default" w:ascii="Times New Roman" w:hAnsi="Times New Roman" w:eastAsia="宋体" w:cs="Times New Roman"/>
                      <w:u w:val="none" w:color="auto"/>
                      <w:lang w:val="en-US" w:eastAsia="zh-CN"/>
                    </w:rPr>
                    <w:t>区、</w:t>
                  </w:r>
                  <w:r>
                    <w:rPr>
                      <w:rFonts w:hint="default" w:ascii="Times New Roman" w:hAnsi="Times New Roman" w:eastAsia="宋体" w:cs="Times New Roman"/>
                      <w:u w:val="none" w:color="auto"/>
                      <w:lang w:val="en-US"/>
                    </w:rPr>
                    <w:t>存浆调浆</w:t>
                  </w:r>
                  <w:r>
                    <w:rPr>
                      <w:rFonts w:hint="default" w:ascii="Times New Roman" w:hAnsi="Times New Roman" w:eastAsia="宋体" w:cs="Times New Roman"/>
                      <w:u w:val="none" w:color="auto"/>
                      <w:lang w:val="en-US" w:eastAsia="zh-CN"/>
                    </w:rPr>
                    <w:t>区、</w:t>
                  </w:r>
                  <w:r>
                    <w:rPr>
                      <w:rFonts w:hint="default" w:ascii="Times New Roman" w:hAnsi="Times New Roman" w:eastAsia="宋体" w:cs="Times New Roman"/>
                      <w:u w:val="none" w:color="auto"/>
                      <w:lang w:val="en-US"/>
                    </w:rPr>
                    <w:t>蒸浆</w:t>
                  </w:r>
                  <w:r>
                    <w:rPr>
                      <w:rFonts w:hint="default" w:ascii="Times New Roman" w:hAnsi="Times New Roman" w:eastAsia="宋体" w:cs="Times New Roman"/>
                      <w:u w:val="none" w:color="auto"/>
                      <w:lang w:val="en-US" w:eastAsia="zh-CN"/>
                    </w:rPr>
                    <w:t>区、冷却区以及</w:t>
                  </w:r>
                  <w:r>
                    <w:rPr>
                      <w:rFonts w:hint="default" w:ascii="Times New Roman" w:hAnsi="Times New Roman" w:eastAsia="宋体" w:cs="Times New Roman"/>
                      <w:u w:val="none" w:color="auto"/>
                      <w:lang w:val="en-US"/>
                    </w:rPr>
                    <w:t>包装</w:t>
                  </w:r>
                  <w:r>
                    <w:rPr>
                      <w:rFonts w:hint="default" w:ascii="Times New Roman" w:hAnsi="Times New Roman" w:eastAsia="宋体" w:cs="Times New Roman"/>
                      <w:u w:val="none" w:color="auto"/>
                      <w:lang w:val="en-US" w:eastAsia="zh-CN"/>
                    </w:rPr>
                    <w:t>区</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1栋，钢架结构，层高约6m，建筑面积为2520</w:t>
                  </w:r>
                  <w:r>
                    <w:rPr>
                      <w:rFonts w:hint="default" w:ascii="Times New Roman" w:hAnsi="Times New Roman" w:eastAsia="宋体" w:cs="Times New Roman"/>
                      <w:u w:val="none" w:color="auto"/>
                      <w:lang w:val="en-US"/>
                    </w:rPr>
                    <w:t>m</w:t>
                  </w:r>
                  <w:r>
                    <w:rPr>
                      <w:rFonts w:hint="default" w:ascii="Times New Roman" w:hAnsi="Times New Roman" w:eastAsia="宋体" w:cs="Times New Roman"/>
                      <w:u w:val="none" w:color="auto"/>
                      <w:vertAlign w:val="superscript"/>
                      <w:lang w:val="en-US"/>
                    </w:rPr>
                    <w:t>2</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约420</w:t>
                  </w:r>
                  <w:r>
                    <w:rPr>
                      <w:rFonts w:hint="default" w:ascii="Times New Roman" w:hAnsi="Times New Roman" w:eastAsia="宋体" w:cs="Times New Roman"/>
                      <w:u w:val="none" w:color="auto"/>
                      <w:lang w:val="en-US"/>
                    </w:rPr>
                    <w:t>m</w:t>
                  </w:r>
                  <w:r>
                    <w:rPr>
                      <w:rFonts w:hint="default" w:ascii="Times New Roman" w:hAnsi="Times New Roman" w:eastAsia="宋体" w:cs="Times New Roman"/>
                      <w:u w:val="none" w:color="auto"/>
                      <w:vertAlign w:val="superscript"/>
                      <w:lang w:val="en-US"/>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辅助工程</w:t>
                  </w: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员工</w:t>
                  </w:r>
                  <w:r>
                    <w:rPr>
                      <w:rFonts w:hint="default" w:ascii="Times New Roman" w:hAnsi="Times New Roman" w:eastAsia="宋体" w:cs="Times New Roman"/>
                      <w:u w:val="none" w:color="auto"/>
                      <w:lang w:val="en-US"/>
                    </w:rPr>
                    <w:t>休息室</w:t>
                  </w:r>
                </w:p>
              </w:tc>
              <w:tc>
                <w:tcPr>
                  <w:tcW w:w="2252"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均</w:t>
                  </w:r>
                  <w:r>
                    <w:rPr>
                      <w:rFonts w:hint="default" w:ascii="Times New Roman" w:hAnsi="Times New Roman" w:eastAsia="宋体" w:cs="Times New Roman"/>
                      <w:u w:val="none" w:color="auto"/>
                      <w:lang w:val="en-US"/>
                    </w:rPr>
                    <w:t>设置于厂房东</w:t>
                  </w:r>
                  <w:r>
                    <w:rPr>
                      <w:rFonts w:hint="default" w:ascii="Times New Roman" w:hAnsi="Times New Roman" w:eastAsia="宋体" w:cs="Times New Roman"/>
                      <w:u w:val="none" w:color="auto"/>
                      <w:lang w:val="en-US" w:eastAsia="zh-CN"/>
                    </w:rPr>
                    <w:t>北</w:t>
                  </w:r>
                  <w:r>
                    <w:rPr>
                      <w:rFonts w:hint="default" w:ascii="Times New Roman" w:hAnsi="Times New Roman" w:eastAsia="宋体" w:cs="Times New Roman"/>
                      <w:u w:val="none" w:color="auto"/>
                      <w:lang w:val="en-US"/>
                    </w:rPr>
                    <w:t>角</w:t>
                  </w:r>
                  <w:r>
                    <w:rPr>
                      <w:rFonts w:hint="default" w:ascii="Times New Roman" w:hAnsi="Times New Roman" w:eastAsia="宋体" w:cs="Times New Roman"/>
                      <w:u w:val="none" w:color="auto"/>
                      <w:lang w:val="en-US" w:eastAsia="zh-CN"/>
                    </w:rPr>
                    <w:t>的辅助楼</w:t>
                  </w:r>
                </w:p>
              </w:tc>
              <w:tc>
                <w:tcPr>
                  <w:tcW w:w="794"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混凝土构筑物，1栋2层，建筑面积为180m</w:t>
                  </w:r>
                  <w:r>
                    <w:rPr>
                      <w:rFonts w:hint="default" w:ascii="Times New Roman" w:hAnsi="Times New Roman" w:eastAsia="宋体" w:cs="Times New Roman"/>
                      <w:u w:val="none" w:color="auto"/>
                      <w:vertAlign w:val="superscript"/>
                      <w:lang w:val="en-US" w:eastAsia="zh-CN"/>
                    </w:rPr>
                    <w:t>2</w:t>
                  </w:r>
                </w:p>
              </w:tc>
              <w:tc>
                <w:tcPr>
                  <w:tcW w:w="756"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60</w:t>
                  </w:r>
                  <w:r>
                    <w:rPr>
                      <w:rFonts w:hint="default" w:ascii="Times New Roman" w:hAnsi="Times New Roman" w:eastAsia="宋体" w:cs="Times New Roman"/>
                      <w:u w:val="none" w:color="auto"/>
                      <w:lang w:val="en-US"/>
                    </w:rPr>
                    <w:t>m</w:t>
                  </w:r>
                  <w:r>
                    <w:rPr>
                      <w:rFonts w:hint="default" w:ascii="Times New Roman" w:hAnsi="Times New Roman" w:eastAsia="宋体" w:cs="Times New Roman"/>
                      <w:u w:val="none" w:color="auto"/>
                      <w:vertAlign w:val="superscript"/>
                      <w:lang w:val="en-US"/>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办公室</w:t>
                  </w:r>
                </w:p>
              </w:tc>
              <w:tc>
                <w:tcPr>
                  <w:tcW w:w="2252"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9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56"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设备间</w:t>
                  </w:r>
                </w:p>
              </w:tc>
              <w:tc>
                <w:tcPr>
                  <w:tcW w:w="2252"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9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56"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配电间</w:t>
                  </w:r>
                </w:p>
              </w:tc>
              <w:tc>
                <w:tcPr>
                  <w:tcW w:w="2252"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9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56"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包材库</w:t>
                  </w:r>
                </w:p>
              </w:tc>
              <w:tc>
                <w:tcPr>
                  <w:tcW w:w="2252"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均</w:t>
                  </w:r>
                  <w:r>
                    <w:rPr>
                      <w:rFonts w:hint="default" w:ascii="Times New Roman" w:hAnsi="Times New Roman" w:eastAsia="宋体" w:cs="Times New Roman"/>
                      <w:u w:val="none" w:color="auto"/>
                      <w:lang w:val="en-US"/>
                    </w:rPr>
                    <w:t>设置于</w:t>
                  </w:r>
                  <w:r>
                    <w:rPr>
                      <w:rFonts w:hint="default" w:ascii="Times New Roman" w:hAnsi="Times New Roman" w:eastAsia="宋体" w:cs="Times New Roman"/>
                      <w:u w:val="none" w:color="auto"/>
                      <w:lang w:val="en-US" w:eastAsia="zh-CN"/>
                    </w:rPr>
                    <w:t>生产车间中</w:t>
                  </w:r>
                </w:p>
              </w:tc>
              <w:tc>
                <w:tcPr>
                  <w:tcW w:w="794"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钢架结构</w:t>
                  </w:r>
                </w:p>
              </w:tc>
              <w:tc>
                <w:tcPr>
                  <w:tcW w:w="756"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化验室、留样室、无菌室</w:t>
                  </w:r>
                </w:p>
              </w:tc>
              <w:tc>
                <w:tcPr>
                  <w:tcW w:w="2252"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9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56"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锅炉房</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设置于</w:t>
                  </w:r>
                  <w:r>
                    <w:rPr>
                      <w:rFonts w:hint="default" w:ascii="Times New Roman" w:hAnsi="Times New Roman" w:eastAsia="宋体" w:cs="Times New Roman"/>
                      <w:u w:val="none" w:color="auto"/>
                      <w:lang w:val="en-US" w:eastAsia="zh-CN"/>
                    </w:rPr>
                    <w:t>生产车间中的蒸煮间内</w:t>
                  </w:r>
                </w:p>
              </w:tc>
              <w:tc>
                <w:tcPr>
                  <w:tcW w:w="79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56"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储运工程</w:t>
                  </w: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大米仓库、淀粉暂存库</w:t>
                  </w:r>
                </w:p>
              </w:tc>
              <w:tc>
                <w:tcPr>
                  <w:tcW w:w="2252"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位于生产车间内</w:t>
                  </w:r>
                </w:p>
              </w:tc>
              <w:tc>
                <w:tcPr>
                  <w:tcW w:w="794"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钢架结构、地面硬化</w:t>
                  </w:r>
                </w:p>
              </w:tc>
              <w:tc>
                <w:tcPr>
                  <w:tcW w:w="756"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成品库</w:t>
                  </w:r>
                </w:p>
              </w:tc>
              <w:tc>
                <w:tcPr>
                  <w:tcW w:w="2252"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p>
              </w:tc>
              <w:tc>
                <w:tcPr>
                  <w:tcW w:w="79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756"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共用工程</w:t>
                  </w: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供水工程</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供水系统由市政管网直接供水</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供电工程</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设置1处配电间，并设置一台20kw的备用柴油发电机，</w:t>
                  </w:r>
                  <w:r>
                    <w:rPr>
                      <w:rFonts w:hint="default" w:ascii="Times New Roman" w:hAnsi="Times New Roman" w:eastAsia="宋体" w:cs="Times New Roman"/>
                      <w:u w:val="none" w:color="auto"/>
                      <w:lang w:val="en-US"/>
                    </w:rPr>
                    <w:t>供电系统接入市政电网</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排水工程</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生活污</w:t>
                  </w:r>
                  <w:r>
                    <w:rPr>
                      <w:rFonts w:hint="default" w:ascii="Times New Roman" w:hAnsi="Times New Roman" w:eastAsia="宋体" w:cs="Times New Roman"/>
                      <w:u w:val="none" w:color="auto"/>
                      <w:lang w:val="en-US" w:eastAsia="zh-CN"/>
                    </w:rPr>
                    <w:t>及</w:t>
                  </w:r>
                  <w:r>
                    <w:rPr>
                      <w:rFonts w:hint="default" w:ascii="Times New Roman" w:hAnsi="Times New Roman" w:eastAsia="宋体" w:cs="Times New Roman"/>
                      <w:u w:val="none" w:color="auto"/>
                      <w:lang w:val="en-US"/>
                    </w:rPr>
                    <w:t>生产废水经厂区自建</w:t>
                  </w:r>
                  <w:r>
                    <w:rPr>
                      <w:rFonts w:hint="default" w:ascii="Times New Roman" w:hAnsi="Times New Roman" w:eastAsia="宋体" w:cs="Times New Roman"/>
                      <w:u w:val="none" w:color="auto"/>
                      <w:lang w:val="en-US" w:eastAsia="zh-CN"/>
                    </w:rPr>
                    <w:t>一体化</w:t>
                  </w:r>
                  <w:r>
                    <w:rPr>
                      <w:rFonts w:hint="default" w:ascii="Times New Roman" w:hAnsi="Times New Roman" w:eastAsia="宋体" w:cs="Times New Roman"/>
                      <w:u w:val="none" w:color="auto"/>
                      <w:lang w:val="en-US"/>
                    </w:rPr>
                    <w:t>污水处理站处理后达到</w:t>
                  </w:r>
                  <w:r>
                    <w:rPr>
                      <w:rFonts w:hint="default" w:ascii="Times New Roman" w:hAnsi="Times New Roman" w:eastAsia="宋体" w:cs="Times New Roman"/>
                      <w:highlight w:val="none"/>
                      <w:u w:val="none" w:color="auto"/>
                      <w:lang w:eastAsia="zh-CN"/>
                    </w:rPr>
                    <w:t>《农田灌溉水质标准》（GB5084-20</w:t>
                  </w:r>
                  <w:r>
                    <w:rPr>
                      <w:rFonts w:hint="default" w:ascii="Times New Roman" w:hAnsi="Times New Roman" w:eastAsia="宋体" w:cs="Times New Roman"/>
                      <w:highlight w:val="none"/>
                      <w:u w:val="none" w:color="auto"/>
                      <w:lang w:val="en-US" w:eastAsia="zh-CN"/>
                    </w:rPr>
                    <w:t>21</w:t>
                  </w:r>
                  <w:r>
                    <w:rPr>
                      <w:rFonts w:hint="default" w:ascii="Times New Roman" w:hAnsi="Times New Roman" w:eastAsia="宋体" w:cs="Times New Roman"/>
                      <w:highlight w:val="none"/>
                      <w:u w:val="none" w:color="auto"/>
                      <w:lang w:eastAsia="zh-CN"/>
                    </w:rPr>
                    <w:t>）中的</w:t>
                  </w:r>
                  <w:r>
                    <w:rPr>
                      <w:rFonts w:hint="default" w:ascii="Times New Roman" w:hAnsi="Times New Roman" w:eastAsia="宋体" w:cs="Times New Roman"/>
                      <w:highlight w:val="none"/>
                      <w:u w:val="none" w:color="auto"/>
                      <w:lang w:val="en-US" w:eastAsia="zh-CN"/>
                    </w:rPr>
                    <w:t>水田</w:t>
                  </w:r>
                  <w:r>
                    <w:rPr>
                      <w:rFonts w:hint="default" w:ascii="Times New Roman" w:hAnsi="Times New Roman" w:eastAsia="宋体" w:cs="Times New Roman"/>
                      <w:highlight w:val="none"/>
                      <w:u w:val="none" w:color="auto"/>
                      <w:lang w:eastAsia="zh-CN"/>
                    </w:rPr>
                    <w:t>标准后</w:t>
                  </w:r>
                  <w:r>
                    <w:rPr>
                      <w:rFonts w:hint="default" w:ascii="Times New Roman" w:hAnsi="Times New Roman" w:eastAsia="宋体" w:cs="Times New Roman"/>
                      <w:highlight w:val="none"/>
                      <w:u w:val="none" w:color="auto"/>
                    </w:rPr>
                    <w:t>用作农灌</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环保工程</w:t>
                  </w: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废水工程</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项目废水为生活污水</w:t>
                  </w:r>
                  <w:r>
                    <w:rPr>
                      <w:rFonts w:hint="default" w:ascii="Times New Roman" w:hAnsi="Times New Roman" w:eastAsia="宋体" w:cs="Times New Roman"/>
                      <w:u w:val="none" w:color="auto"/>
                      <w:lang w:val="en-US" w:eastAsia="zh-CN"/>
                    </w:rPr>
                    <w:t>和</w:t>
                  </w:r>
                  <w:r>
                    <w:rPr>
                      <w:rFonts w:hint="default" w:ascii="Times New Roman" w:hAnsi="Times New Roman" w:eastAsia="宋体" w:cs="Times New Roman"/>
                      <w:u w:val="none" w:color="auto"/>
                      <w:lang w:val="en-US"/>
                    </w:rPr>
                    <w:t>生产废水。生活污水</w:t>
                  </w:r>
                  <w:r>
                    <w:rPr>
                      <w:rFonts w:hint="default" w:ascii="Times New Roman" w:hAnsi="Times New Roman" w:eastAsia="宋体" w:cs="Times New Roman"/>
                      <w:u w:val="none" w:color="auto"/>
                      <w:lang w:val="en-US" w:eastAsia="zh-CN"/>
                    </w:rPr>
                    <w:t>及</w:t>
                  </w:r>
                  <w:r>
                    <w:rPr>
                      <w:rFonts w:hint="default" w:ascii="Times New Roman" w:hAnsi="Times New Roman" w:eastAsia="宋体" w:cs="Times New Roman"/>
                      <w:u w:val="none" w:color="auto"/>
                      <w:lang w:val="en-US"/>
                    </w:rPr>
                    <w:t>生产废水经厂区自建</w:t>
                  </w:r>
                  <w:r>
                    <w:rPr>
                      <w:rFonts w:hint="default" w:ascii="Times New Roman" w:hAnsi="Times New Roman" w:eastAsia="宋体" w:cs="Times New Roman"/>
                      <w:u w:val="none" w:color="auto"/>
                      <w:lang w:val="en-US" w:eastAsia="zh-CN"/>
                    </w:rPr>
                    <w:t>一体化</w:t>
                  </w:r>
                  <w:r>
                    <w:rPr>
                      <w:rFonts w:hint="default" w:ascii="Times New Roman" w:hAnsi="Times New Roman" w:eastAsia="宋体" w:cs="Times New Roman"/>
                      <w:u w:val="none" w:color="auto"/>
                      <w:lang w:val="en-US"/>
                    </w:rPr>
                    <w:t>污水处理</w:t>
                  </w:r>
                  <w:r>
                    <w:rPr>
                      <w:rFonts w:hint="default" w:ascii="Times New Roman" w:hAnsi="Times New Roman" w:eastAsia="宋体" w:cs="Times New Roman"/>
                      <w:u w:val="none" w:color="auto"/>
                      <w:lang w:val="en-US" w:eastAsia="zh-CN"/>
                    </w:rPr>
                    <w:t>设施</w:t>
                  </w:r>
                  <w:r>
                    <w:rPr>
                      <w:rFonts w:hint="default" w:ascii="Times New Roman" w:hAnsi="Times New Roman" w:eastAsia="宋体" w:cs="Times New Roman"/>
                      <w:u w:val="none" w:color="auto"/>
                      <w:lang w:val="en-US"/>
                    </w:rPr>
                    <w:t>处理后达到</w:t>
                  </w:r>
                  <w:r>
                    <w:rPr>
                      <w:rFonts w:hint="default" w:ascii="Times New Roman" w:hAnsi="Times New Roman" w:eastAsia="宋体" w:cs="Times New Roman"/>
                      <w:highlight w:val="none"/>
                      <w:u w:val="none" w:color="auto"/>
                      <w:lang w:eastAsia="zh-CN"/>
                    </w:rPr>
                    <w:t>《农田灌溉水质标准》（GB5084-20</w:t>
                  </w:r>
                  <w:r>
                    <w:rPr>
                      <w:rFonts w:hint="default" w:ascii="Times New Roman" w:hAnsi="Times New Roman" w:eastAsia="宋体" w:cs="Times New Roman"/>
                      <w:highlight w:val="none"/>
                      <w:u w:val="none" w:color="auto"/>
                      <w:lang w:val="en-US" w:eastAsia="zh-CN"/>
                    </w:rPr>
                    <w:t>21</w:t>
                  </w:r>
                  <w:r>
                    <w:rPr>
                      <w:rFonts w:hint="default" w:ascii="Times New Roman" w:hAnsi="Times New Roman" w:eastAsia="宋体" w:cs="Times New Roman"/>
                      <w:highlight w:val="none"/>
                      <w:u w:val="none" w:color="auto"/>
                      <w:lang w:eastAsia="zh-CN"/>
                    </w:rPr>
                    <w:t>）中的</w:t>
                  </w:r>
                  <w:r>
                    <w:rPr>
                      <w:rFonts w:hint="default" w:ascii="Times New Roman" w:hAnsi="Times New Roman" w:eastAsia="宋体" w:cs="Times New Roman"/>
                      <w:highlight w:val="none"/>
                      <w:u w:val="none" w:color="auto"/>
                      <w:lang w:val="en-US" w:eastAsia="zh-CN"/>
                    </w:rPr>
                    <w:t>水田</w:t>
                  </w:r>
                  <w:r>
                    <w:rPr>
                      <w:rFonts w:hint="default" w:ascii="Times New Roman" w:hAnsi="Times New Roman" w:eastAsia="宋体" w:cs="Times New Roman"/>
                      <w:highlight w:val="none"/>
                      <w:u w:val="none" w:color="auto"/>
                      <w:lang w:eastAsia="zh-CN"/>
                    </w:rPr>
                    <w:t>标准后</w:t>
                  </w:r>
                  <w:r>
                    <w:rPr>
                      <w:rFonts w:hint="default" w:ascii="Times New Roman" w:hAnsi="Times New Roman" w:eastAsia="宋体" w:cs="Times New Roman"/>
                      <w:highlight w:val="none"/>
                      <w:u w:val="none" w:color="auto"/>
                    </w:rPr>
                    <w:t>用作农灌</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highlight w:val="none"/>
                      <w:u w:val="none" w:color="auto"/>
                      <w:lang w:val="en-US" w:eastAsia="zh-CN"/>
                    </w:rPr>
                  </w:pPr>
                  <w:r>
                    <w:rPr>
                      <w:rFonts w:hint="default" w:ascii="Times New Roman" w:hAnsi="Times New Roman" w:eastAsia="宋体" w:cs="Times New Roman"/>
                      <w:highlight w:val="none"/>
                      <w:u w:val="none" w:color="auto"/>
                      <w:lang w:val="en-US" w:eastAsia="zh-CN"/>
                    </w:rPr>
                    <w:t>混凝土硬化</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highlight w:val="none"/>
                      <w:u w:val="none" w:color="auto"/>
                      <w:lang w:val="en-US" w:eastAsia="zh-CN"/>
                    </w:rPr>
                  </w:pPr>
                  <w:r>
                    <w:rPr>
                      <w:rFonts w:hint="default" w:ascii="Times New Roman" w:hAnsi="Times New Roman" w:eastAsia="宋体" w:cs="Times New Roman"/>
                      <w:highlight w:val="none"/>
                      <w:u w:val="none" w:color="auto"/>
                      <w:lang w:val="en-US" w:eastAsia="zh-CN"/>
                    </w:rPr>
                    <w:t>污水处理设施规模为50t/d，农灌管道长度约为1.5km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废气工程</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rPr>
                    <w:t>项目产生的原料粉尘部分沉降部分无组织排放，</w:t>
                  </w:r>
                  <w:r>
                    <w:rPr>
                      <w:rFonts w:hint="default" w:ascii="Times New Roman" w:hAnsi="Times New Roman" w:eastAsia="宋体" w:cs="Times New Roman"/>
                      <w:u w:val="none" w:color="auto"/>
                      <w:lang w:val="en-US" w:eastAsia="zh-CN"/>
                    </w:rPr>
                    <w:t>发酵异味通过车间抽风机加强通风，</w:t>
                  </w:r>
                  <w:r>
                    <w:rPr>
                      <w:rFonts w:hint="default" w:ascii="Times New Roman" w:hAnsi="Times New Roman" w:eastAsia="宋体" w:cs="Times New Roman"/>
                      <w:u w:val="none" w:color="auto"/>
                      <w:lang w:val="en-US"/>
                    </w:rPr>
                    <w:t>污水处理站恶臭气体通过喷洒除臭剂除臭</w:t>
                  </w:r>
                  <w:r>
                    <w:rPr>
                      <w:rFonts w:hint="default" w:ascii="Times New Roman" w:hAnsi="Times New Roman" w:eastAsia="宋体" w:cs="Times New Roman"/>
                      <w:u w:val="none" w:color="auto"/>
                      <w:lang w:val="en-US" w:eastAsia="zh-CN"/>
                    </w:rPr>
                    <w:t>，发电机废气通过无组织排放；蒸汽发生器</w:t>
                  </w:r>
                  <w:r>
                    <w:rPr>
                      <w:rFonts w:hint="default" w:ascii="Times New Roman" w:hAnsi="Times New Roman" w:eastAsia="宋体" w:cs="Times New Roman"/>
                      <w:u w:val="none" w:color="auto"/>
                    </w:rPr>
                    <w:t>废气采用</w:t>
                  </w:r>
                  <w:r>
                    <w:rPr>
                      <w:rFonts w:hint="default" w:ascii="Times New Roman" w:hAnsi="Times New Roman" w:eastAsia="宋体" w:cs="Times New Roman"/>
                      <w:u w:val="none" w:color="auto"/>
                      <w:lang w:val="en-US" w:eastAsia="zh-CN"/>
                    </w:rPr>
                    <w:t>低氮燃烧+湿式除尘器+20m排气筒</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噪声处理</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选用低噪设备，采取基础降噪、减震等设施</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8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固废处理</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sz w:val="21"/>
                      <w:szCs w:val="21"/>
                      <w:u w:val="none"/>
                      <w:lang w:val="en-US"/>
                    </w:rPr>
                    <w:t>生活垃圾</w:t>
                  </w:r>
                  <w:r>
                    <w:rPr>
                      <w:rFonts w:hint="default" w:ascii="Times New Roman" w:hAnsi="Times New Roman" w:eastAsia="宋体" w:cs="Times New Roman"/>
                      <w:sz w:val="21"/>
                      <w:szCs w:val="21"/>
                      <w:u w:val="none"/>
                      <w:lang w:val="en-US" w:eastAsia="zh-CN"/>
                    </w:rPr>
                    <w:t>及砂石</w:t>
                  </w:r>
                  <w:r>
                    <w:rPr>
                      <w:rFonts w:hint="default" w:ascii="Times New Roman" w:hAnsi="Times New Roman" w:eastAsia="宋体" w:cs="Times New Roman"/>
                      <w:sz w:val="21"/>
                      <w:szCs w:val="21"/>
                      <w:u w:val="none"/>
                      <w:lang w:val="en-US"/>
                    </w:rPr>
                    <w:t>收集后由环卫部门统一清运处理</w:t>
                  </w:r>
                  <w:r>
                    <w:rPr>
                      <w:rFonts w:hint="default" w:ascii="Times New Roman" w:hAnsi="Times New Roman" w:eastAsia="宋体" w:cs="Times New Roman"/>
                      <w:sz w:val="21"/>
                      <w:szCs w:val="21"/>
                      <w:u w:val="none"/>
                      <w:lang w:val="en-US" w:eastAsia="zh-CN"/>
                    </w:rPr>
                    <w:t>；</w:t>
                  </w:r>
                  <w:r>
                    <w:rPr>
                      <w:rFonts w:hint="default" w:ascii="Times New Roman" w:hAnsi="Times New Roman" w:eastAsia="宋体" w:cs="Times New Roman"/>
                      <w:sz w:val="21"/>
                      <w:szCs w:val="21"/>
                      <w:u w:val="none"/>
                      <w:lang w:val="en-US"/>
                    </w:rPr>
                    <w:t>废包装物收集后外售至废品回收站</w:t>
                  </w:r>
                  <w:r>
                    <w:rPr>
                      <w:rFonts w:hint="default" w:ascii="Times New Roman" w:hAnsi="Times New Roman" w:eastAsia="宋体" w:cs="Times New Roman"/>
                      <w:sz w:val="21"/>
                      <w:szCs w:val="21"/>
                      <w:u w:val="none"/>
                      <w:lang w:val="en-US" w:eastAsia="zh-CN"/>
                    </w:rPr>
                    <w:t>；过期原辅料同生产性废料</w:t>
                  </w:r>
                  <w:r>
                    <w:rPr>
                      <w:rFonts w:hint="default" w:ascii="Times New Roman" w:hAnsi="Times New Roman" w:eastAsia="宋体" w:cs="Times New Roman"/>
                      <w:sz w:val="21"/>
                      <w:szCs w:val="21"/>
                      <w:u w:val="none"/>
                      <w:lang w:val="en-US"/>
                    </w:rPr>
                    <w:t>收集后当天及时出售给养殖户作为饲料使用</w:t>
                  </w:r>
                  <w:r>
                    <w:rPr>
                      <w:rFonts w:hint="default" w:ascii="Times New Roman" w:hAnsi="Times New Roman" w:eastAsia="宋体" w:cs="Times New Roman"/>
                      <w:sz w:val="21"/>
                      <w:szCs w:val="21"/>
                      <w:u w:val="none"/>
                      <w:lang w:val="en-US" w:eastAsia="zh-CN"/>
                    </w:rPr>
                    <w:t>；</w:t>
                  </w:r>
                  <w:r>
                    <w:rPr>
                      <w:rFonts w:hint="default" w:ascii="Times New Roman" w:hAnsi="Times New Roman" w:eastAsia="宋体" w:cs="Times New Roman"/>
                      <w:sz w:val="21"/>
                      <w:szCs w:val="21"/>
                      <w:u w:val="none"/>
                      <w:lang w:val="en-US"/>
                    </w:rPr>
                    <w:t>污泥经污泥干化池脱水后的污泥采取密闭封装</w:t>
                  </w:r>
                  <w:r>
                    <w:rPr>
                      <w:rFonts w:hint="default" w:ascii="Times New Roman" w:hAnsi="Times New Roman" w:eastAsia="宋体" w:cs="Times New Roman"/>
                      <w:sz w:val="21"/>
                      <w:szCs w:val="21"/>
                      <w:u w:val="none"/>
                      <w:lang w:val="en-US" w:eastAsia="zh-CN"/>
                    </w:rPr>
                    <w:t>，交</w:t>
                  </w:r>
                  <w:r>
                    <w:rPr>
                      <w:rFonts w:hint="default" w:ascii="Times New Roman" w:hAnsi="Times New Roman" w:eastAsia="宋体" w:cs="Times New Roman"/>
                      <w:sz w:val="21"/>
                      <w:szCs w:val="21"/>
                      <w:u w:val="none"/>
                      <w:lang w:val="en-US"/>
                    </w:rPr>
                    <w:t>由环卫部门统一清运</w:t>
                  </w:r>
                  <w:r>
                    <w:rPr>
                      <w:rFonts w:hint="default" w:ascii="Times New Roman" w:hAnsi="Times New Roman" w:eastAsia="宋体" w:cs="Times New Roman"/>
                      <w:sz w:val="21"/>
                      <w:szCs w:val="21"/>
                      <w:u w:val="none"/>
                      <w:lang w:val="en-US" w:eastAsia="zh-CN"/>
                    </w:rPr>
                    <w:t>至吉首垃圾焚烧厂焚烧</w:t>
                  </w:r>
                  <w:r>
                    <w:rPr>
                      <w:rFonts w:hint="default" w:ascii="Times New Roman" w:hAnsi="Times New Roman" w:eastAsia="宋体" w:cs="Times New Roman"/>
                      <w:sz w:val="21"/>
                      <w:szCs w:val="21"/>
                      <w:u w:val="none"/>
                      <w:lang w:val="en-US"/>
                    </w:rPr>
                    <w:t>处理</w:t>
                  </w:r>
                  <w:r>
                    <w:rPr>
                      <w:rFonts w:hint="default" w:ascii="Times New Roman" w:hAnsi="Times New Roman" w:eastAsia="宋体" w:cs="Times New Roman"/>
                      <w:sz w:val="21"/>
                      <w:szCs w:val="21"/>
                      <w:u w:val="none"/>
                      <w:lang w:val="en-US" w:eastAsia="zh-CN"/>
                    </w:rPr>
                    <w:t>；检验室固废</w:t>
                  </w:r>
                  <w:r>
                    <w:rPr>
                      <w:rFonts w:hint="default" w:ascii="Times New Roman" w:hAnsi="Times New Roman" w:eastAsia="宋体" w:cs="Times New Roman"/>
                      <w:sz w:val="21"/>
                      <w:szCs w:val="21"/>
                      <w:u w:val="none"/>
                      <w:lang w:eastAsia="zh-CN"/>
                    </w:rPr>
                    <w:t>属于一般固废，</w:t>
                  </w:r>
                  <w:r>
                    <w:rPr>
                      <w:rFonts w:hint="default" w:ascii="Times New Roman" w:hAnsi="Times New Roman" w:eastAsia="宋体" w:cs="Times New Roman"/>
                      <w:sz w:val="21"/>
                      <w:szCs w:val="21"/>
                      <w:u w:val="none"/>
                      <w:lang w:val="en-US" w:eastAsia="zh-CN"/>
                    </w:rPr>
                    <w:t>其中培养基经高温灭活后可按一般固废处置，</w:t>
                  </w:r>
                  <w:r>
                    <w:rPr>
                      <w:rFonts w:hint="default" w:ascii="Times New Roman" w:hAnsi="Times New Roman" w:eastAsia="宋体" w:cs="Times New Roman"/>
                      <w:sz w:val="21"/>
                      <w:szCs w:val="21"/>
                      <w:u w:val="none"/>
                      <w:lang w:eastAsia="zh-CN"/>
                    </w:rPr>
                    <w:t>交由环卫部门清运；</w:t>
                  </w:r>
                  <w:r>
                    <w:rPr>
                      <w:rFonts w:hint="default" w:ascii="Times New Roman" w:hAnsi="Times New Roman" w:eastAsia="宋体" w:cs="Times New Roman"/>
                      <w:sz w:val="21"/>
                      <w:szCs w:val="21"/>
                      <w:u w:val="none"/>
                      <w:lang w:val="en-US" w:eastAsia="zh-CN"/>
                    </w:rPr>
                    <w:t>除尘灰同锅炉灰渣</w:t>
                  </w:r>
                  <w:r>
                    <w:rPr>
                      <w:rFonts w:hint="default" w:ascii="Times New Roman" w:hAnsi="Times New Roman" w:eastAsia="宋体" w:cs="Times New Roman"/>
                      <w:sz w:val="21"/>
                      <w:szCs w:val="21"/>
                      <w:u w:val="none"/>
                    </w:rPr>
                    <w:t>交由附近村庄农户用作果园、苗圃、蔬菜地或绿化树木的肥料</w:t>
                  </w:r>
                  <w:r>
                    <w:rPr>
                      <w:rFonts w:hint="default" w:ascii="Times New Roman" w:hAnsi="Times New Roman" w:eastAsia="宋体" w:cs="Times New Roman"/>
                      <w:sz w:val="21"/>
                      <w:szCs w:val="21"/>
                      <w:u w:val="none"/>
                      <w:lang w:eastAsia="zh-CN"/>
                    </w:rPr>
                    <w:t>；过滤器（</w:t>
                  </w:r>
                  <w:r>
                    <w:rPr>
                      <w:rFonts w:hint="default" w:ascii="Times New Roman" w:hAnsi="Times New Roman" w:eastAsia="宋体" w:cs="Times New Roman"/>
                      <w:sz w:val="21"/>
                      <w:szCs w:val="21"/>
                      <w:u w:val="none"/>
                      <w:lang w:val="en-US" w:eastAsia="zh-CN"/>
                    </w:rPr>
                    <w:t>含活性炭</w:t>
                  </w:r>
                  <w:r>
                    <w:rPr>
                      <w:rFonts w:hint="default" w:ascii="Times New Roman" w:hAnsi="Times New Roman" w:eastAsia="宋体" w:cs="Times New Roman"/>
                      <w:sz w:val="21"/>
                      <w:szCs w:val="21"/>
                      <w:u w:val="none"/>
                      <w:lang w:eastAsia="zh-CN"/>
                    </w:rPr>
                    <w:t>）、反渗透膜经处理后可以重复使用，</w:t>
                  </w:r>
                  <w:r>
                    <w:rPr>
                      <w:rFonts w:hint="default" w:ascii="Times New Roman" w:hAnsi="Times New Roman" w:eastAsia="宋体" w:cs="Times New Roman"/>
                      <w:sz w:val="21"/>
                      <w:szCs w:val="21"/>
                      <w:u w:val="none"/>
                      <w:lang w:val="en-US" w:eastAsia="zh-CN"/>
                    </w:rPr>
                    <w:t>与废树脂一同</w:t>
                  </w:r>
                  <w:r>
                    <w:rPr>
                      <w:rFonts w:hint="default" w:ascii="Times New Roman" w:hAnsi="Times New Roman" w:eastAsia="宋体" w:cs="Times New Roman"/>
                      <w:sz w:val="21"/>
                      <w:szCs w:val="21"/>
                      <w:u w:val="none"/>
                      <w:lang w:eastAsia="zh-CN"/>
                    </w:rPr>
                    <w:t>由设备服务公司回收；</w:t>
                  </w:r>
                  <w:r>
                    <w:rPr>
                      <w:rFonts w:hint="default" w:ascii="Times New Roman" w:hAnsi="Times New Roman" w:eastAsia="宋体" w:cs="Times New Roman"/>
                      <w:sz w:val="21"/>
                      <w:szCs w:val="21"/>
                      <w:u w:val="none"/>
                      <w:lang w:val="en-US" w:eastAsia="zh-CN"/>
                    </w:rPr>
                    <w:t>废紫外灯管以及检验室废液属于危险废物，定期交由资质单位处置</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97" w:type="pct"/>
                  <w:gridSpan w:val="2"/>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环境风险工程</w:t>
                  </w: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color w:val="auto"/>
                      <w:u w:val="none" w:color="auto"/>
                      <w:lang w:val="en-US" w:eastAsia="zh-CN"/>
                    </w:rPr>
                    <w:t>分区防渗。危险废物暂存间、</w:t>
                  </w:r>
                  <w:r>
                    <w:rPr>
                      <w:rFonts w:hint="default" w:ascii="Times New Roman" w:hAnsi="Times New Roman" w:eastAsia="宋体" w:cs="Times New Roman"/>
                      <w:sz w:val="21"/>
                      <w:u w:val="none" w:color="auto"/>
                      <w:lang w:val="en-US" w:eastAsia="zh-CN"/>
                    </w:rPr>
                    <w:t>污水处理站及配套输送管道区域为重点防渗区；</w:t>
                  </w:r>
                  <w:r>
                    <w:rPr>
                      <w:rFonts w:hint="default" w:ascii="Times New Roman" w:hAnsi="Times New Roman" w:eastAsia="宋体" w:cs="Times New Roman"/>
                      <w:sz w:val="21"/>
                      <w:szCs w:val="21"/>
                      <w:u w:val="none" w:color="auto"/>
                      <w:lang w:val="en-US" w:eastAsia="zh-CN"/>
                    </w:rPr>
                    <w:t>生产车间、备用柴油发电机房、化粪池为一般防渗区</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97" w:type="pct"/>
                  <w:gridSpan w:val="2"/>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于蒸汽发生器的车间以及配电间配制灭火器</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97" w:type="pct"/>
                  <w:gridSpan w:val="2"/>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c>
                <w:tcPr>
                  <w:tcW w:w="225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sz w:val="21"/>
                      <w:u w:val="none" w:color="auto"/>
                      <w:lang w:val="en-US" w:eastAsia="zh-CN"/>
                    </w:rPr>
                    <w:t>污水处理站设置200m</w:t>
                  </w:r>
                  <w:r>
                    <w:rPr>
                      <w:rFonts w:hint="default" w:ascii="Times New Roman" w:hAnsi="Times New Roman" w:eastAsia="宋体" w:cs="Times New Roman"/>
                      <w:sz w:val="21"/>
                      <w:u w:val="none" w:color="auto"/>
                      <w:vertAlign w:val="superscript"/>
                      <w:lang w:val="en-US" w:eastAsia="zh-CN"/>
                    </w:rPr>
                    <w:t>3</w:t>
                  </w:r>
                  <w:r>
                    <w:rPr>
                      <w:rFonts w:hint="default" w:ascii="Times New Roman" w:hAnsi="Times New Roman" w:eastAsia="宋体" w:cs="Times New Roman"/>
                      <w:sz w:val="21"/>
                      <w:u w:val="none" w:color="auto"/>
                      <w:vertAlign w:val="baseline"/>
                      <w:lang w:val="en-US" w:eastAsia="zh-CN"/>
                    </w:rPr>
                    <w:t>的清水池，可用于应急储存废水</w:t>
                  </w:r>
                </w:p>
              </w:tc>
              <w:tc>
                <w:tcPr>
                  <w:tcW w:w="79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75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r>
          </w:tbl>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lang w:val="en-US"/>
              </w:rPr>
              <w:t>.</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val="en-US"/>
              </w:rPr>
              <w:t>项目产品方案</w:t>
            </w:r>
          </w:p>
          <w:p>
            <w:pPr>
              <w:ind w:firstLine="480"/>
              <w:rPr>
                <w:rFonts w:ascii="Times New Roman" w:hAnsi="Times New Roman" w:cs="Times New Roman"/>
                <w:u w:val="none" w:color="auto"/>
              </w:rPr>
            </w:pPr>
            <w:r>
              <w:rPr>
                <w:rFonts w:hint="eastAsia" w:cs="Times New Roman"/>
                <w:u w:val="none" w:color="auto"/>
                <w:lang w:val="en-US" w:eastAsia="zh-CN"/>
              </w:rPr>
              <w:t>考</w:t>
            </w:r>
            <w:r>
              <w:rPr>
                <w:rFonts w:hint="default" w:ascii="Times New Roman" w:hAnsi="Times New Roman" w:cs="Times New Roman"/>
                <w:u w:val="none" w:color="auto"/>
                <w:lang w:val="en-US" w:eastAsia="zh-CN"/>
              </w:rPr>
              <w:t>虑到市场需求以及场地的限制，湿米粉生产线分为两期建设，一期、二期规模均为1800t/a，二期湿米粉生产线与干米粉生产线均不在本次评价范围之内</w:t>
            </w:r>
            <w:r>
              <w:rPr>
                <w:rFonts w:hint="default" w:ascii="Times New Roman" w:hAnsi="Times New Roman" w:cs="Times New Roman"/>
                <w:u w:val="none" w:color="auto"/>
                <w:lang w:eastAsia="zh-CN"/>
              </w:rPr>
              <w:t>，</w:t>
            </w:r>
            <w:r>
              <w:rPr>
                <w:rFonts w:hint="default" w:ascii="Times New Roman" w:hAnsi="Times New Roman" w:cs="Times New Roman"/>
                <w:u w:val="none" w:color="auto"/>
              </w:rPr>
              <w:t>本项目产品方案如下表所示</w:t>
            </w:r>
            <w:r>
              <w:rPr>
                <w:rFonts w:ascii="Times New Roman" w:hAnsi="Times New Roman" w:cs="Times New Roman"/>
                <w:u w:val="none" w:color="auto"/>
              </w:rPr>
              <w:t>。</w:t>
            </w:r>
          </w:p>
          <w:p>
            <w:pPr>
              <w:pStyle w:val="71"/>
              <w:widowControl w:val="0"/>
              <w:bidi w:val="0"/>
              <w:rPr>
                <w:rFonts w:ascii="Times New Roman" w:hAnsi="Times New Roman" w:cs="Times New Roman"/>
                <w:u w:val="none" w:color="auto"/>
              </w:rPr>
            </w:pPr>
            <w:r>
              <w:rPr>
                <w:rFonts w:ascii="Times New Roman" w:hAnsi="Times New Roman" w:cs="Times New Roman"/>
                <w:u w:val="none" w:color="auto"/>
              </w:rPr>
              <w:t>表</w:t>
            </w:r>
            <w:r>
              <w:rPr>
                <w:rFonts w:hint="default" w:ascii="Times New Roman" w:hAnsi="Times New Roman" w:cs="Times New Roman"/>
                <w:u w:val="none" w:color="auto"/>
                <w:lang w:val="en-US" w:eastAsia="zh-CN"/>
              </w:rPr>
              <w:t>2.4-2</w:t>
            </w:r>
            <w:r>
              <w:rPr>
                <w:rFonts w:hint="default" w:ascii="Times New Roman" w:hAnsi="Times New Roman" w:cs="Times New Roman"/>
                <w:u w:val="none" w:color="auto"/>
                <w:lang w:eastAsia="zh-CN"/>
              </w:rPr>
              <w:t>：</w:t>
            </w:r>
            <w:r>
              <w:rPr>
                <w:rFonts w:ascii="Times New Roman" w:hAnsi="Times New Roman" w:cs="Times New Roman"/>
                <w:u w:val="none" w:color="auto"/>
              </w:rPr>
              <w:t>项目产品方案表</w:t>
            </w:r>
          </w:p>
          <w:tbl>
            <w:tblPr>
              <w:tblStyle w:val="28"/>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1375"/>
              <w:gridCol w:w="2783"/>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648" w:type="pct"/>
                  <w:gridSpan w:val="2"/>
                  <w:tcBorders>
                    <w:tl2br w:val="nil"/>
                    <w:tr2bl w:val="nil"/>
                  </w:tcBorders>
                  <w:vAlign w:val="center"/>
                </w:tcPr>
                <w:p>
                  <w:pPr>
                    <w:pStyle w:val="70"/>
                    <w:bidi w:val="0"/>
                    <w:ind w:firstLine="0" w:firstLineChars="0"/>
                    <w:rPr>
                      <w:rFonts w:ascii="Times New Roman" w:hAnsi="Times New Roman" w:cs="Times New Roman"/>
                      <w:b/>
                      <w:bCs/>
                      <w:u w:val="none" w:color="auto"/>
                    </w:rPr>
                  </w:pPr>
                  <w:r>
                    <w:rPr>
                      <w:rFonts w:ascii="Times New Roman" w:hAnsi="Times New Roman" w:cs="Times New Roman"/>
                      <w:b/>
                      <w:bCs/>
                      <w:u w:val="none" w:color="auto"/>
                    </w:rPr>
                    <w:t>产品名称</w:t>
                  </w:r>
                </w:p>
              </w:tc>
              <w:tc>
                <w:tcPr>
                  <w:tcW w:w="1670" w:type="pct"/>
                  <w:tcBorders>
                    <w:tl2br w:val="nil"/>
                    <w:tr2bl w:val="nil"/>
                  </w:tcBorders>
                  <w:vAlign w:val="center"/>
                </w:tcPr>
                <w:p>
                  <w:pPr>
                    <w:pStyle w:val="70"/>
                    <w:bidi w:val="0"/>
                    <w:rPr>
                      <w:rFonts w:ascii="Times New Roman" w:hAnsi="Times New Roman" w:cs="Times New Roman"/>
                      <w:b/>
                      <w:bCs/>
                      <w:u w:val="none" w:color="auto"/>
                    </w:rPr>
                  </w:pPr>
                  <w:r>
                    <w:rPr>
                      <w:rFonts w:hint="default" w:ascii="Times New Roman" w:hAnsi="Times New Roman" w:cs="Times New Roman"/>
                      <w:b/>
                      <w:bCs/>
                      <w:u w:val="none" w:color="auto"/>
                      <w:lang w:eastAsia="zh-CN"/>
                    </w:rPr>
                    <w:t>日</w:t>
                  </w:r>
                  <w:r>
                    <w:rPr>
                      <w:rFonts w:ascii="Times New Roman" w:hAnsi="Times New Roman" w:cs="Times New Roman"/>
                      <w:b/>
                      <w:bCs/>
                      <w:u w:val="none" w:color="auto"/>
                    </w:rPr>
                    <w:t>产量</w:t>
                  </w:r>
                </w:p>
              </w:tc>
              <w:tc>
                <w:tcPr>
                  <w:tcW w:w="1680" w:type="pct"/>
                  <w:tcBorders>
                    <w:tl2br w:val="nil"/>
                    <w:tr2bl w:val="nil"/>
                  </w:tcBorders>
                  <w:vAlign w:val="center"/>
                </w:tcPr>
                <w:p>
                  <w:pPr>
                    <w:pStyle w:val="70"/>
                    <w:bidi w:val="0"/>
                    <w:rPr>
                      <w:rFonts w:hint="default" w:ascii="Times New Roman" w:hAnsi="Times New Roman" w:cs="Times New Roman"/>
                      <w:b/>
                      <w:bCs/>
                      <w:u w:val="none" w:color="auto"/>
                      <w:lang w:val="en-US" w:eastAsia="zh-CN"/>
                    </w:rPr>
                  </w:pPr>
                  <w:r>
                    <w:rPr>
                      <w:rFonts w:hint="default" w:ascii="Times New Roman" w:hAnsi="Times New Roman" w:cs="Times New Roman"/>
                      <w:b/>
                      <w:bCs/>
                      <w:u w:val="none" w:color="auto"/>
                      <w:lang w:val="en-US" w:eastAsia="zh-CN"/>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3" w:type="pct"/>
                  <w:tcBorders>
                    <w:tl2br w:val="nil"/>
                    <w:tr2bl w:val="nil"/>
                  </w:tcBorders>
                  <w:vAlign w:val="center"/>
                </w:tcPr>
                <w:p>
                  <w:pPr>
                    <w:pStyle w:val="70"/>
                    <w:bidi w:val="0"/>
                    <w:rPr>
                      <w:rFonts w:ascii="Times New Roman" w:hAnsi="Times New Roman" w:cs="Times New Roman"/>
                      <w:u w:val="none" w:color="auto"/>
                    </w:rPr>
                  </w:pPr>
                  <w:r>
                    <w:rPr>
                      <w:rFonts w:hint="eastAsia" w:cs="Times New Roman"/>
                      <w:u w:val="none" w:color="auto"/>
                      <w:lang w:val="en-US" w:eastAsia="zh-CN"/>
                    </w:rPr>
                    <w:t>一期</w:t>
                  </w:r>
                </w:p>
              </w:tc>
              <w:tc>
                <w:tcPr>
                  <w:tcW w:w="824" w:type="pct"/>
                  <w:tcBorders>
                    <w:tl2br w:val="nil"/>
                    <w:tr2bl w:val="nil"/>
                  </w:tcBorders>
                  <w:vAlign w:val="center"/>
                </w:tcPr>
                <w:p>
                  <w:pPr>
                    <w:pStyle w:val="70"/>
                    <w:bidi w:val="0"/>
                    <w:ind w:firstLine="0" w:firstLineChars="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湿</w:t>
                  </w:r>
                  <w:r>
                    <w:rPr>
                      <w:rFonts w:ascii="Times New Roman" w:hAnsi="Times New Roman" w:cs="Times New Roman"/>
                      <w:u w:val="none" w:color="auto"/>
                    </w:rPr>
                    <w:t>米粉</w:t>
                  </w:r>
                </w:p>
              </w:tc>
              <w:tc>
                <w:tcPr>
                  <w:tcW w:w="1670" w:type="pct"/>
                  <w:tcBorders>
                    <w:tl2br w:val="nil"/>
                    <w:tr2bl w:val="nil"/>
                  </w:tcBorders>
                  <w:vAlign w:val="center"/>
                </w:tcPr>
                <w:p>
                  <w:pPr>
                    <w:pStyle w:val="70"/>
                    <w:bidi w:val="0"/>
                    <w:rPr>
                      <w:rFonts w:hint="eastAsia" w:ascii="Times New Roman" w:hAnsi="Times New Roman" w:eastAsia="宋体" w:cs="Times New Roman"/>
                      <w:u w:val="none" w:color="auto"/>
                      <w:lang w:eastAsia="zh-CN"/>
                    </w:rPr>
                  </w:pPr>
                  <w:r>
                    <w:rPr>
                      <w:rFonts w:hint="eastAsia" w:cs="Times New Roman"/>
                      <w:u w:val="none" w:color="auto"/>
                      <w:lang w:val="en-US" w:eastAsia="zh-CN"/>
                    </w:rPr>
                    <w:t>5t</w:t>
                  </w:r>
                </w:p>
              </w:tc>
              <w:tc>
                <w:tcPr>
                  <w:tcW w:w="1680" w:type="pct"/>
                  <w:tcBorders>
                    <w:tl2br w:val="nil"/>
                    <w:tr2bl w:val="nil"/>
                  </w:tcBorders>
                  <w:vAlign w:val="center"/>
                </w:tcPr>
                <w:p>
                  <w:pPr>
                    <w:pStyle w:val="70"/>
                    <w:bidi w:val="0"/>
                    <w:ind w:firstLine="0" w:firstLineChars="0"/>
                    <w:rPr>
                      <w:rFonts w:hint="eastAsia" w:ascii="Times New Roman" w:hAnsi="Times New Roman" w:eastAsia="宋体" w:cs="Times New Roman"/>
                      <w:u w:val="none" w:color="auto"/>
                      <w:lang w:val="en-US" w:eastAsia="zh-CN"/>
                    </w:rPr>
                  </w:pPr>
                  <w:r>
                    <w:rPr>
                      <w:rFonts w:hint="eastAsia" w:cs="Times New Roman"/>
                      <w:u w:val="none" w:color="auto"/>
                      <w:lang w:val="en-US" w:eastAsia="zh-CN"/>
                    </w:rPr>
                    <w:t>18</w:t>
                  </w:r>
                  <w:r>
                    <w:rPr>
                      <w:rFonts w:hint="default" w:ascii="Times New Roman" w:hAnsi="Times New Roman" w:cs="Times New Roman"/>
                      <w:u w:val="none" w:color="auto"/>
                      <w:lang w:val="en-US" w:eastAsia="zh-CN"/>
                    </w:rPr>
                    <w:t>00</w:t>
                  </w:r>
                  <w:r>
                    <w:rPr>
                      <w:rFonts w:hint="eastAsia" w:cs="Times New Roman"/>
                      <w:u w:val="none" w:color="auto"/>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00" w:type="pct"/>
                  <w:gridSpan w:val="4"/>
                  <w:tcBorders>
                    <w:tl2br w:val="nil"/>
                    <w:tr2bl w:val="nil"/>
                  </w:tcBorders>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年生产时间为360d</w:t>
                  </w:r>
                </w:p>
              </w:tc>
            </w:tr>
          </w:tbl>
          <w:p>
            <w:pPr>
              <w:ind w:firstLine="480"/>
              <w:rPr>
                <w:rFonts w:ascii="Times New Roman" w:hAnsi="Times New Roman" w:cs="Times New Roman"/>
                <w:u w:val="none" w:color="auto"/>
              </w:rPr>
            </w:pPr>
            <w:r>
              <w:rPr>
                <w:rFonts w:ascii="Times New Roman" w:hAnsi="Times New Roman" w:cs="Times New Roman"/>
                <w:u w:val="none" w:color="auto"/>
              </w:rPr>
              <w:t>产品存放要求：评价要求项目原料购买、储存、使用均须依照《中华人民共和国食品安全法》中的相关条例进行；本项目</w:t>
            </w:r>
            <w:r>
              <w:rPr>
                <w:rFonts w:hint="default" w:ascii="Times New Roman" w:hAnsi="Times New Roman" w:cs="Times New Roman"/>
                <w:u w:val="none" w:color="auto"/>
                <w:lang w:eastAsia="zh-CN"/>
              </w:rPr>
              <w:t>湿</w:t>
            </w:r>
            <w:r>
              <w:rPr>
                <w:rFonts w:ascii="Times New Roman" w:hAnsi="Times New Roman" w:cs="Times New Roman"/>
                <w:u w:val="none" w:color="auto"/>
              </w:rPr>
              <w:t>米粉年运输量为</w:t>
            </w:r>
            <w:r>
              <w:rPr>
                <w:rFonts w:hint="eastAsia" w:cs="Times New Roman"/>
                <w:u w:val="none" w:color="auto"/>
                <w:lang w:val="en-US" w:eastAsia="zh-CN"/>
              </w:rPr>
              <w:t>1800</w:t>
            </w:r>
            <w:r>
              <w:rPr>
                <w:rFonts w:ascii="Times New Roman" w:hAnsi="Times New Roman" w:cs="Times New Roman"/>
                <w:u w:val="none" w:color="auto"/>
              </w:rPr>
              <w:t>t</w:t>
            </w:r>
            <w:r>
              <w:rPr>
                <w:rFonts w:hint="default" w:ascii="Times New Roman" w:hAnsi="Times New Roman" w:cs="Times New Roman"/>
                <w:u w:val="none" w:color="auto"/>
              </w:rPr>
              <w:t>，</w:t>
            </w:r>
            <w:r>
              <w:rPr>
                <w:rFonts w:ascii="Times New Roman" w:hAnsi="Times New Roman" w:cs="Times New Roman"/>
                <w:u w:val="none" w:color="auto"/>
              </w:rPr>
              <w:t>本项目实行订单制，先订单后生产，原辅材料不使用食品添加剂、防腐剂。</w:t>
            </w:r>
          </w:p>
          <w:p>
            <w:pPr>
              <w:ind w:firstLine="480"/>
              <w:rPr>
                <w:rFonts w:ascii="Times New Roman" w:hAnsi="Times New Roman" w:cs="Times New Roman"/>
                <w:u w:val="none" w:color="auto"/>
              </w:rPr>
            </w:pPr>
            <w:r>
              <w:rPr>
                <w:rFonts w:hint="default" w:ascii="Times New Roman" w:hAnsi="Times New Roman" w:cs="Times New Roman"/>
                <w:u w:val="none" w:color="auto"/>
              </w:rPr>
              <w:t>项目产品应满足《湖南省地方标准食品安全地方标准 米粉生产卫生规范》（DBS 43/007-2018）中的相关要求，详见表</w:t>
            </w: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rPr>
              <w:t>-</w:t>
            </w:r>
            <w:r>
              <w:rPr>
                <w:rFonts w:hint="default" w:ascii="Times New Roman" w:hAnsi="Times New Roman" w:cs="Times New Roman"/>
                <w:u w:val="none" w:color="auto"/>
                <w:lang w:val="en-US"/>
              </w:rPr>
              <w:t>3</w:t>
            </w:r>
            <w:r>
              <w:rPr>
                <w:rFonts w:hint="default" w:ascii="Times New Roman" w:hAnsi="Times New Roman" w:cs="Times New Roman"/>
                <w:u w:val="none" w:color="auto"/>
              </w:rPr>
              <w:t>、</w:t>
            </w: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rPr>
              <w:t>-</w:t>
            </w:r>
            <w:r>
              <w:rPr>
                <w:rFonts w:hint="default" w:ascii="Times New Roman" w:hAnsi="Times New Roman" w:cs="Times New Roman"/>
                <w:u w:val="none" w:color="auto"/>
                <w:lang w:val="en-US"/>
              </w:rPr>
              <w:t>4</w:t>
            </w:r>
            <w:r>
              <w:rPr>
                <w:rFonts w:hint="default" w:ascii="Times New Roman" w:hAnsi="Times New Roman" w:cs="Times New Roman"/>
                <w:u w:val="none" w:color="auto"/>
              </w:rPr>
              <w:t>。</w:t>
            </w:r>
          </w:p>
          <w:p>
            <w:pPr>
              <w:pStyle w:val="71"/>
              <w:widowControl w:val="0"/>
              <w:bidi w:val="0"/>
              <w:rPr>
                <w:rFonts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eastAsia="zh-CN"/>
              </w:rPr>
              <w:t>2.4-3</w:t>
            </w:r>
            <w:r>
              <w:rPr>
                <w:rFonts w:hint="default" w:ascii="Times New Roman" w:hAnsi="Times New Roman" w:cs="Times New Roman"/>
                <w:u w:val="none" w:color="auto"/>
                <w:lang w:eastAsia="zh-CN"/>
              </w:rPr>
              <w:t>：</w:t>
            </w:r>
            <w:r>
              <w:rPr>
                <w:rFonts w:hint="default" w:ascii="Times New Roman" w:hAnsi="Times New Roman" w:cs="Times New Roman"/>
                <w:u w:val="none" w:color="auto"/>
              </w:rPr>
              <w:t>理化指标</w:t>
            </w:r>
          </w:p>
          <w:tbl>
            <w:tblPr>
              <w:tblStyle w:val="29"/>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9"/>
              <w:gridCol w:w="5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96" w:type="pct"/>
                  <w:vMerge w:val="restart"/>
                  <w:tcBorders>
                    <w:tl2br w:val="nil"/>
                    <w:tr2bl w:val="nil"/>
                  </w:tcBorders>
                  <w:vAlign w:val="center"/>
                </w:tcPr>
                <w:p>
                  <w:pPr>
                    <w:pStyle w:val="70"/>
                    <w:bidi w:val="0"/>
                    <w:rPr>
                      <w:rFonts w:ascii="Times New Roman" w:hAnsi="Times New Roman" w:cs="Times New Roman"/>
                      <w:b/>
                      <w:bCs/>
                      <w:u w:val="none" w:color="auto"/>
                    </w:rPr>
                  </w:pPr>
                  <w:r>
                    <w:rPr>
                      <w:rFonts w:hint="default" w:ascii="Times New Roman" w:hAnsi="Times New Roman" w:cs="Times New Roman"/>
                      <w:b/>
                      <w:bCs/>
                      <w:u w:val="none" w:color="auto"/>
                    </w:rPr>
                    <w:t>项目</w:t>
                  </w:r>
                </w:p>
              </w:tc>
              <w:tc>
                <w:tcPr>
                  <w:tcW w:w="3203" w:type="pct"/>
                  <w:tcBorders>
                    <w:tl2br w:val="nil"/>
                    <w:tr2bl w:val="nil"/>
                  </w:tcBorders>
                  <w:vAlign w:val="center"/>
                </w:tcPr>
                <w:p>
                  <w:pPr>
                    <w:pStyle w:val="70"/>
                    <w:bidi w:val="0"/>
                    <w:rPr>
                      <w:rFonts w:hint="default" w:ascii="Times New Roman" w:hAnsi="Times New Roman" w:cs="Times New Roman"/>
                      <w:b/>
                      <w:bCs/>
                      <w:u w:val="none" w:color="auto"/>
                    </w:rPr>
                  </w:pPr>
                  <w:r>
                    <w:rPr>
                      <w:rFonts w:hint="default" w:ascii="Times New Roman" w:hAnsi="Times New Roman" w:cs="Times New Roman"/>
                      <w:b/>
                      <w:bCs/>
                      <w:u w:val="none" w:color="auto"/>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96" w:type="pct"/>
                  <w:vMerge w:val="continue"/>
                  <w:tcBorders>
                    <w:tl2br w:val="nil"/>
                    <w:tr2bl w:val="nil"/>
                  </w:tcBorders>
                  <w:vAlign w:val="center"/>
                </w:tcPr>
                <w:p>
                  <w:pPr>
                    <w:pStyle w:val="70"/>
                    <w:bidi w:val="0"/>
                    <w:rPr>
                      <w:rFonts w:ascii="Times New Roman" w:hAnsi="Times New Roman" w:cs="Times New Roman"/>
                      <w:b/>
                      <w:bCs/>
                      <w:u w:val="none" w:color="auto"/>
                    </w:rPr>
                  </w:pPr>
                </w:p>
              </w:tc>
              <w:tc>
                <w:tcPr>
                  <w:tcW w:w="3203" w:type="pct"/>
                  <w:tcBorders>
                    <w:tl2br w:val="nil"/>
                    <w:tr2bl w:val="nil"/>
                  </w:tcBorders>
                  <w:vAlign w:val="center"/>
                </w:tcPr>
                <w:p>
                  <w:pPr>
                    <w:pStyle w:val="70"/>
                    <w:bidi w:val="0"/>
                    <w:rPr>
                      <w:rFonts w:ascii="Times New Roman" w:hAnsi="Times New Roman" w:cs="Times New Roman"/>
                      <w:b/>
                      <w:bCs/>
                      <w:u w:val="none" w:color="auto"/>
                    </w:rPr>
                  </w:pPr>
                  <w:r>
                    <w:rPr>
                      <w:rFonts w:hint="default" w:ascii="Times New Roman" w:hAnsi="Times New Roman" w:cs="Times New Roman"/>
                      <w:b/>
                      <w:bCs/>
                      <w:u w:val="none" w:color="auto"/>
                    </w:rPr>
                    <w:t>湿米粉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796" w:type="pct"/>
                  <w:tcBorders>
                    <w:tl2br w:val="nil"/>
                    <w:tr2bl w:val="nil"/>
                  </w:tcBorders>
                  <w:vAlign w:val="center"/>
                </w:tcPr>
                <w:p>
                  <w:pPr>
                    <w:pStyle w:val="70"/>
                    <w:bidi w:val="0"/>
                    <w:rPr>
                      <w:rFonts w:ascii="Times New Roman" w:hAnsi="Times New Roman" w:cs="Times New Roman"/>
                      <w:u w:val="none" w:color="auto"/>
                    </w:rPr>
                  </w:pPr>
                  <w:r>
                    <w:rPr>
                      <w:rFonts w:hint="default" w:ascii="Times New Roman" w:hAnsi="Times New Roman" w:cs="Times New Roman"/>
                      <w:u w:val="none" w:color="auto"/>
                    </w:rPr>
                    <w:t>水分（%）</w:t>
                  </w:r>
                </w:p>
              </w:tc>
              <w:tc>
                <w:tcPr>
                  <w:tcW w:w="3203" w:type="pct"/>
                  <w:tcBorders>
                    <w:tl2br w:val="nil"/>
                    <w:tr2bl w:val="nil"/>
                  </w:tcBorders>
                  <w:vAlign w:val="center"/>
                </w:tcPr>
                <w:p>
                  <w:pPr>
                    <w:pStyle w:val="70"/>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rPr>
                    <w:t>≥50，≤70</w:t>
                  </w:r>
                </w:p>
              </w:tc>
            </w:tr>
          </w:tbl>
          <w:p>
            <w:pPr>
              <w:pStyle w:val="71"/>
              <w:widowControl w:val="0"/>
              <w:rPr>
                <w:rFonts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rPr>
              <w:t>-</w:t>
            </w:r>
            <w:r>
              <w:rPr>
                <w:rFonts w:hint="default" w:ascii="Times New Roman" w:hAnsi="Times New Roman" w:cs="Times New Roman"/>
                <w:u w:val="none" w:color="auto"/>
                <w:lang w:val="en-US"/>
              </w:rPr>
              <w:t>4</w:t>
            </w:r>
            <w:r>
              <w:rPr>
                <w:rFonts w:hint="default" w:ascii="Times New Roman" w:hAnsi="Times New Roman" w:cs="Times New Roman"/>
                <w:u w:val="none" w:color="auto"/>
              </w:rPr>
              <w:t>：米粉加工过程微生物监控要求</w:t>
            </w:r>
          </w:p>
          <w:tbl>
            <w:tblPr>
              <w:tblStyle w:val="29"/>
              <w:tblW w:w="48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98"/>
              <w:gridCol w:w="1177"/>
              <w:gridCol w:w="2110"/>
              <w:gridCol w:w="1696"/>
              <w:gridCol w:w="1061"/>
              <w:gridCol w:w="16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08" w:hRule="atLeast"/>
                <w:jc w:val="center"/>
              </w:trPr>
              <w:tc>
                <w:tcPr>
                  <w:tcW w:w="1638" w:type="dxa"/>
                  <w:gridSpan w:val="2"/>
                  <w:tcBorders>
                    <w:tl2br w:val="nil"/>
                    <w:tr2bl w:val="nil"/>
                  </w:tcBorders>
                  <w:vAlign w:val="center"/>
                </w:tcPr>
                <w:p>
                  <w:pPr>
                    <w:pStyle w:val="70"/>
                    <w:rPr>
                      <w:rFonts w:ascii="Times New Roman" w:hAnsi="Times New Roman" w:cs="Times New Roman"/>
                      <w:b/>
                      <w:bCs/>
                      <w:u w:val="none" w:color="auto"/>
                    </w:rPr>
                  </w:pPr>
                  <w:r>
                    <w:rPr>
                      <w:rFonts w:hint="default" w:ascii="Times New Roman" w:hAnsi="Times New Roman" w:cs="Times New Roman"/>
                      <w:b/>
                      <w:bCs/>
                      <w:u w:val="none" w:color="auto"/>
                    </w:rPr>
                    <w:t>监控项目</w:t>
                  </w:r>
                </w:p>
              </w:tc>
              <w:tc>
                <w:tcPr>
                  <w:tcW w:w="2063" w:type="dxa"/>
                  <w:tcBorders>
                    <w:tl2br w:val="nil"/>
                    <w:tr2bl w:val="nil"/>
                  </w:tcBorders>
                  <w:vAlign w:val="center"/>
                </w:tcPr>
                <w:p>
                  <w:pPr>
                    <w:pStyle w:val="70"/>
                    <w:rPr>
                      <w:rFonts w:ascii="Times New Roman" w:hAnsi="Times New Roman" w:cs="Times New Roman"/>
                      <w:b/>
                      <w:bCs/>
                      <w:u w:val="none" w:color="auto"/>
                    </w:rPr>
                  </w:pPr>
                  <w:r>
                    <w:rPr>
                      <w:rFonts w:hint="default" w:ascii="Times New Roman" w:hAnsi="Times New Roman" w:cs="Times New Roman"/>
                      <w:b/>
                      <w:bCs/>
                      <w:u w:val="none" w:color="auto"/>
                    </w:rPr>
                    <w:t>取样点</w:t>
                  </w:r>
                </w:p>
              </w:tc>
              <w:tc>
                <w:tcPr>
                  <w:tcW w:w="1659" w:type="dxa"/>
                  <w:tcBorders>
                    <w:tl2br w:val="nil"/>
                    <w:tr2bl w:val="nil"/>
                  </w:tcBorders>
                  <w:vAlign w:val="center"/>
                </w:tcPr>
                <w:p>
                  <w:pPr>
                    <w:pStyle w:val="70"/>
                    <w:rPr>
                      <w:rFonts w:ascii="Times New Roman" w:hAnsi="Times New Roman" w:cs="Times New Roman"/>
                      <w:b/>
                      <w:bCs/>
                      <w:u w:val="none" w:color="auto"/>
                    </w:rPr>
                  </w:pPr>
                  <w:r>
                    <w:rPr>
                      <w:rFonts w:hint="default" w:ascii="Times New Roman" w:hAnsi="Times New Roman" w:cs="Times New Roman"/>
                      <w:b/>
                      <w:bCs/>
                      <w:u w:val="none" w:color="auto"/>
                    </w:rPr>
                    <w:t>监控微生物指标</w:t>
                  </w:r>
                </w:p>
              </w:tc>
              <w:tc>
                <w:tcPr>
                  <w:tcW w:w="1038" w:type="dxa"/>
                  <w:tcBorders>
                    <w:tl2br w:val="nil"/>
                    <w:tr2bl w:val="nil"/>
                  </w:tcBorders>
                  <w:vAlign w:val="center"/>
                </w:tcPr>
                <w:p>
                  <w:pPr>
                    <w:pStyle w:val="70"/>
                    <w:rPr>
                      <w:rFonts w:ascii="Times New Roman" w:hAnsi="Times New Roman" w:cs="Times New Roman"/>
                      <w:b/>
                      <w:bCs/>
                      <w:u w:val="none" w:color="auto"/>
                    </w:rPr>
                  </w:pPr>
                  <w:r>
                    <w:rPr>
                      <w:rFonts w:hint="default" w:ascii="Times New Roman" w:hAnsi="Times New Roman" w:cs="Times New Roman"/>
                      <w:b/>
                      <w:bCs/>
                      <w:u w:val="none" w:color="auto"/>
                    </w:rPr>
                    <w:t>监控频率</w:t>
                  </w:r>
                </w:p>
              </w:tc>
              <w:tc>
                <w:tcPr>
                  <w:tcW w:w="1580" w:type="dxa"/>
                  <w:tcBorders>
                    <w:tl2br w:val="nil"/>
                    <w:tr2bl w:val="nil"/>
                  </w:tcBorders>
                  <w:vAlign w:val="center"/>
                </w:tcPr>
                <w:p>
                  <w:pPr>
                    <w:pStyle w:val="70"/>
                    <w:rPr>
                      <w:rFonts w:ascii="Times New Roman" w:hAnsi="Times New Roman" w:cs="Times New Roman"/>
                      <w:b/>
                      <w:bCs/>
                      <w:u w:val="none" w:color="auto"/>
                    </w:rPr>
                  </w:pPr>
                  <w:r>
                    <w:rPr>
                      <w:rFonts w:hint="default" w:ascii="Times New Roman" w:hAnsi="Times New Roman" w:cs="Times New Roman"/>
                      <w:b/>
                      <w:bCs/>
                      <w:u w:val="none" w:color="auto"/>
                    </w:rPr>
                    <w:t>监控指标限值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7" w:hRule="atLeast"/>
                <w:jc w:val="center"/>
              </w:trPr>
              <w:tc>
                <w:tcPr>
                  <w:tcW w:w="487" w:type="dxa"/>
                  <w:vMerge w:val="restart"/>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环境</w:t>
                  </w:r>
                </w:p>
                <w:p>
                  <w:pPr>
                    <w:pStyle w:val="70"/>
                    <w:rPr>
                      <w:rFonts w:ascii="Times New Roman" w:hAnsi="Times New Roman" w:cs="Times New Roman"/>
                      <w:u w:val="none" w:color="auto"/>
                    </w:rPr>
                  </w:pPr>
                  <w:r>
                    <w:rPr>
                      <w:rFonts w:hint="default" w:ascii="Times New Roman" w:hAnsi="Times New Roman" w:cs="Times New Roman"/>
                      <w:u w:val="none" w:color="auto"/>
                      <w:lang w:val="en-US"/>
                    </w:rPr>
                    <w:t>的微</w:t>
                  </w:r>
                </w:p>
                <w:p>
                  <w:pPr>
                    <w:pStyle w:val="70"/>
                    <w:rPr>
                      <w:rFonts w:ascii="Times New Roman" w:hAnsi="Times New Roman" w:cs="Times New Roman"/>
                      <w:u w:val="none" w:color="auto"/>
                    </w:rPr>
                  </w:pPr>
                  <w:r>
                    <w:rPr>
                      <w:rFonts w:hint="default" w:ascii="Times New Roman" w:hAnsi="Times New Roman" w:cs="Times New Roman"/>
                      <w:u w:val="none" w:color="auto"/>
                      <w:lang w:val="en-US"/>
                    </w:rPr>
                    <w:t>生物</w:t>
                  </w:r>
                </w:p>
                <w:p>
                  <w:pPr>
                    <w:pStyle w:val="70"/>
                    <w:rPr>
                      <w:rFonts w:ascii="Times New Roman" w:hAnsi="Times New Roman" w:cs="Times New Roman"/>
                      <w:u w:val="none" w:color="auto"/>
                    </w:rPr>
                  </w:pPr>
                  <w:r>
                    <w:rPr>
                      <w:rFonts w:hint="default" w:ascii="Times New Roman" w:hAnsi="Times New Roman" w:cs="Times New Roman"/>
                      <w:u w:val="none" w:color="auto"/>
                      <w:lang w:val="en-US"/>
                    </w:rPr>
                    <w:t>监</w:t>
                  </w:r>
                </w:p>
              </w:tc>
              <w:tc>
                <w:tcPr>
                  <w:tcW w:w="1151"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食品接触表面</w:t>
                  </w:r>
                </w:p>
              </w:tc>
              <w:tc>
                <w:tcPr>
                  <w:tcW w:w="2063"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食品加工人员的手部、 工作服、手套，输送带表面，工器具及其他直接接触食品的设备表面</w:t>
                  </w:r>
                </w:p>
              </w:tc>
              <w:tc>
                <w:tcPr>
                  <w:tcW w:w="1659"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菌落总数</w:t>
                  </w:r>
                </w:p>
              </w:tc>
              <w:tc>
                <w:tcPr>
                  <w:tcW w:w="1038"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每月2次</w:t>
                  </w:r>
                </w:p>
              </w:tc>
              <w:tc>
                <w:tcPr>
                  <w:tcW w:w="1580"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≤500cfu/25cm2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7" w:hRule="atLeast"/>
                <w:jc w:val="center"/>
              </w:trPr>
              <w:tc>
                <w:tcPr>
                  <w:tcW w:w="487" w:type="dxa"/>
                  <w:vMerge w:val="continue"/>
                  <w:tcBorders>
                    <w:tl2br w:val="nil"/>
                    <w:tr2bl w:val="nil"/>
                  </w:tcBorders>
                  <w:vAlign w:val="center"/>
                </w:tcPr>
                <w:p>
                  <w:pPr>
                    <w:pStyle w:val="70"/>
                    <w:rPr>
                      <w:rFonts w:ascii="Times New Roman" w:hAnsi="Times New Roman" w:cs="Times New Roman"/>
                      <w:u w:val="none" w:color="auto"/>
                    </w:rPr>
                  </w:pPr>
                </w:p>
              </w:tc>
              <w:tc>
                <w:tcPr>
                  <w:tcW w:w="1151"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与食品或食品接触表面邻近的接触表面</w:t>
                  </w:r>
                </w:p>
              </w:tc>
              <w:tc>
                <w:tcPr>
                  <w:tcW w:w="2063"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设备外表面、 支架表面、控制面板、 零件车等接触表面</w:t>
                  </w:r>
                </w:p>
              </w:tc>
              <w:tc>
                <w:tcPr>
                  <w:tcW w:w="1659"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菌落总数</w:t>
                  </w:r>
                </w:p>
              </w:tc>
              <w:tc>
                <w:tcPr>
                  <w:tcW w:w="1038"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每月2次</w:t>
                  </w:r>
                </w:p>
              </w:tc>
              <w:tc>
                <w:tcPr>
                  <w:tcW w:w="1580"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≤500cfu/25cm2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9" w:hRule="atLeast"/>
                <w:jc w:val="center"/>
              </w:trPr>
              <w:tc>
                <w:tcPr>
                  <w:tcW w:w="487" w:type="dxa"/>
                  <w:vMerge w:val="continue"/>
                  <w:tcBorders>
                    <w:tl2br w:val="nil"/>
                    <w:tr2bl w:val="nil"/>
                  </w:tcBorders>
                  <w:vAlign w:val="center"/>
                </w:tcPr>
                <w:p>
                  <w:pPr>
                    <w:pStyle w:val="70"/>
                    <w:rPr>
                      <w:rFonts w:ascii="Times New Roman" w:hAnsi="Times New Roman" w:cs="Times New Roman"/>
                      <w:u w:val="none" w:color="auto"/>
                    </w:rPr>
                  </w:pPr>
                </w:p>
              </w:tc>
              <w:tc>
                <w:tcPr>
                  <w:tcW w:w="1151"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加工区域内的环境空气</w:t>
                  </w:r>
                </w:p>
              </w:tc>
              <w:tc>
                <w:tcPr>
                  <w:tcW w:w="2063"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清洁区靠近裸露产品的位置</w:t>
                  </w:r>
                </w:p>
              </w:tc>
              <w:tc>
                <w:tcPr>
                  <w:tcW w:w="1659"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菌落总数</w:t>
                  </w:r>
                </w:p>
              </w:tc>
              <w:tc>
                <w:tcPr>
                  <w:tcW w:w="1038"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每月2次</w:t>
                  </w:r>
                </w:p>
              </w:tc>
              <w:tc>
                <w:tcPr>
                  <w:tcW w:w="1580"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≤30cfu/皿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8" w:hRule="atLeast"/>
                <w:jc w:val="center"/>
              </w:trPr>
              <w:tc>
                <w:tcPr>
                  <w:tcW w:w="1638" w:type="dxa"/>
                  <w:gridSpan w:val="2"/>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过程产品的微生物监控</w:t>
                  </w:r>
                </w:p>
              </w:tc>
              <w:tc>
                <w:tcPr>
                  <w:tcW w:w="2063" w:type="dxa"/>
                  <w:tcBorders>
                    <w:tl2br w:val="nil"/>
                    <w:tr2bl w:val="nil"/>
                  </w:tcBorders>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rPr>
                    <w:t>内包装前的米粉（干米粉除外）过程产品</w:t>
                  </w:r>
                </w:p>
              </w:tc>
              <w:tc>
                <w:tcPr>
                  <w:tcW w:w="1659" w:type="dxa"/>
                  <w:tcBorders>
                    <w:tl2br w:val="nil"/>
                    <w:tr2bl w:val="nil"/>
                  </w:tcBorders>
                  <w:vAlign w:val="center"/>
                </w:tcPr>
                <w:p>
                  <w:pPr>
                    <w:pStyle w:val="70"/>
                    <w:rPr>
                      <w:rFonts w:ascii="Times New Roman" w:hAnsi="Times New Roman" w:cs="Times New Roman"/>
                      <w:u w:val="none" w:color="auto"/>
                      <w:lang w:val="en-US"/>
                    </w:rPr>
                  </w:pPr>
                  <w:r>
                    <w:rPr>
                      <w:rFonts w:hint="default" w:ascii="Times New Roman" w:hAnsi="Times New Roman" w:cs="Times New Roman"/>
                      <w:u w:val="none" w:color="auto"/>
                      <w:lang w:val="en-US"/>
                    </w:rPr>
                    <w:t>菌落总数</w:t>
                  </w:r>
                </w:p>
              </w:tc>
              <w:tc>
                <w:tcPr>
                  <w:tcW w:w="1038" w:type="dxa"/>
                  <w:tcBorders>
                    <w:tl2br w:val="nil"/>
                    <w:tr2bl w:val="nil"/>
                  </w:tcBorders>
                  <w:vAlign w:val="center"/>
                </w:tcPr>
                <w:p>
                  <w:pPr>
                    <w:pStyle w:val="70"/>
                    <w:rPr>
                      <w:rFonts w:ascii="Times New Roman" w:hAnsi="Times New Roman" w:cs="Times New Roman"/>
                      <w:u w:val="none" w:color="auto"/>
                      <w:lang w:val="en-US"/>
                    </w:rPr>
                  </w:pPr>
                  <w:r>
                    <w:rPr>
                      <w:rFonts w:hint="default" w:ascii="Times New Roman" w:hAnsi="Times New Roman" w:cs="Times New Roman"/>
                      <w:u w:val="none" w:color="auto"/>
                      <w:lang w:val="en-US"/>
                    </w:rPr>
                    <w:t>每周1次</w:t>
                  </w:r>
                </w:p>
              </w:tc>
              <w:tc>
                <w:tcPr>
                  <w:tcW w:w="1580" w:type="dxa"/>
                  <w:tcBorders>
                    <w:tl2br w:val="nil"/>
                    <w:tr2bl w:val="nil"/>
                  </w:tcBorders>
                  <w:vAlign w:val="center"/>
                </w:tcPr>
                <w:p>
                  <w:pPr>
                    <w:pStyle w:val="70"/>
                    <w:rPr>
                      <w:rFonts w:ascii="Times New Roman" w:hAnsi="Times New Roman" w:cs="Times New Roman"/>
                      <w:u w:val="none" w:color="auto"/>
                      <w:lang w:val="en-US"/>
                    </w:rPr>
                  </w:pPr>
                  <w:r>
                    <w:rPr>
                      <w:rFonts w:hint="default" w:ascii="Times New Roman" w:hAnsi="Times New Roman" w:cs="Times New Roman"/>
                      <w:u w:val="none" w:color="auto"/>
                      <w:lang w:val="en-US"/>
                    </w:rPr>
                    <w:t>≤5000cfu/g</w:t>
                  </w:r>
                </w:p>
              </w:tc>
            </w:tr>
          </w:tbl>
          <w:p>
            <w:pPr>
              <w:pStyle w:val="6"/>
              <w:bidi w:val="0"/>
              <w:rPr>
                <w:rFonts w:hint="default" w:ascii="Times New Roman" w:hAnsi="Times New Roman" w:cs="Times New Roman"/>
                <w:u w:val="single" w:color="auto"/>
                <w:lang w:val="en-US"/>
              </w:rPr>
            </w:pPr>
            <w:r>
              <w:rPr>
                <w:rFonts w:hint="default" w:ascii="Times New Roman" w:hAnsi="Times New Roman" w:cs="Times New Roman"/>
                <w:u w:val="single" w:color="auto"/>
                <w:lang w:val="en-US"/>
              </w:rPr>
              <w:t>2.</w:t>
            </w:r>
            <w:r>
              <w:rPr>
                <w:rFonts w:hint="default" w:ascii="Times New Roman" w:hAnsi="Times New Roman" w:cs="Times New Roman"/>
                <w:u w:val="single" w:color="auto"/>
                <w:lang w:val="en-US" w:eastAsia="zh-CN"/>
              </w:rPr>
              <w:t>4.2</w:t>
            </w:r>
            <w:r>
              <w:rPr>
                <w:rFonts w:hint="default" w:ascii="Times New Roman" w:hAnsi="Times New Roman" w:cs="Times New Roman"/>
                <w:u w:val="single" w:color="auto"/>
                <w:lang w:val="en-US"/>
              </w:rPr>
              <w:t>主要生产设备</w:t>
            </w:r>
          </w:p>
          <w:p>
            <w:pPr>
              <w:ind w:firstLine="480"/>
              <w:rPr>
                <w:rFonts w:hint="default" w:ascii="Times New Roman" w:hAnsi="Times New Roman" w:cs="Times New Roman"/>
                <w:u w:val="single" w:color="auto"/>
                <w:lang w:eastAsia="zh-CN"/>
              </w:rPr>
            </w:pPr>
            <w:r>
              <w:rPr>
                <w:rFonts w:ascii="Times New Roman" w:hAnsi="Times New Roman" w:cs="Times New Roman"/>
                <w:u w:val="single" w:color="auto"/>
              </w:rPr>
              <w:t>本项目变更前后</w:t>
            </w:r>
            <w:r>
              <w:rPr>
                <w:rFonts w:hint="default" w:ascii="Times New Roman" w:hAnsi="Times New Roman" w:cs="Times New Roman"/>
                <w:u w:val="single" w:color="auto"/>
                <w:lang w:eastAsia="zh-CN"/>
              </w:rPr>
              <w:t>设备调整，新增燃</w:t>
            </w:r>
            <w:r>
              <w:rPr>
                <w:rFonts w:hint="default" w:ascii="Times New Roman" w:hAnsi="Times New Roman" w:cs="Times New Roman"/>
                <w:u w:val="single" w:color="auto"/>
                <w:lang w:val="en-US" w:eastAsia="zh-CN"/>
              </w:rPr>
              <w:t>生物质</w:t>
            </w:r>
            <w:r>
              <w:rPr>
                <w:rFonts w:hint="default" w:ascii="Times New Roman" w:hAnsi="Times New Roman" w:cs="Times New Roman"/>
                <w:u w:val="single" w:color="auto"/>
                <w:lang w:eastAsia="zh-CN"/>
              </w:rPr>
              <w:t>设备</w:t>
            </w:r>
            <w:r>
              <w:rPr>
                <w:rFonts w:hint="default" w:ascii="Times New Roman" w:hAnsi="Times New Roman" w:cs="Times New Roman"/>
                <w:u w:val="single" w:color="auto"/>
                <w:lang w:val="en-US" w:eastAsia="zh-CN"/>
              </w:rPr>
              <w:t>以及配套的除尘设备、排气筒；考虑到市场需求以及场地的限制，湿米粉生产线分为两期建设，一期、二期规模均为1800t/a，二期湿米粉生产线与干米粉生产线</w:t>
            </w:r>
            <w:r>
              <w:rPr>
                <w:rFonts w:hint="eastAsia" w:cs="Times New Roman"/>
                <w:u w:val="single" w:color="auto"/>
                <w:lang w:val="en-US" w:eastAsia="zh-CN"/>
              </w:rPr>
              <w:t>均</w:t>
            </w:r>
            <w:r>
              <w:rPr>
                <w:rFonts w:hint="default" w:ascii="Times New Roman" w:hAnsi="Times New Roman" w:cs="Times New Roman"/>
                <w:u w:val="single" w:color="auto"/>
                <w:lang w:val="en-US" w:eastAsia="zh-CN"/>
              </w:rPr>
              <w:t>不在本次评价范围之内，远期另行征地建设</w:t>
            </w:r>
            <w:r>
              <w:rPr>
                <w:rFonts w:hint="eastAsia" w:cs="Times New Roman"/>
                <w:u w:val="single" w:color="auto"/>
                <w:lang w:val="en-US" w:eastAsia="zh-CN"/>
              </w:rPr>
              <w:t>，</w:t>
            </w:r>
            <w:r>
              <w:rPr>
                <w:rFonts w:ascii="Times New Roman" w:hAnsi="Times New Roman" w:cs="Times New Roman"/>
                <w:u w:val="single" w:color="auto"/>
              </w:rPr>
              <w:t>变更前后主要</w:t>
            </w:r>
            <w:r>
              <w:rPr>
                <w:rFonts w:hint="default" w:ascii="Times New Roman" w:hAnsi="Times New Roman" w:cs="Times New Roman"/>
                <w:u w:val="single" w:color="auto"/>
                <w:lang w:eastAsia="zh-CN"/>
              </w:rPr>
              <w:t>设备变动</w:t>
            </w:r>
            <w:r>
              <w:rPr>
                <w:rFonts w:ascii="Times New Roman" w:hAnsi="Times New Roman" w:cs="Times New Roman"/>
                <w:u w:val="single" w:color="auto"/>
              </w:rPr>
              <w:t>详见</w:t>
            </w:r>
            <w:r>
              <w:rPr>
                <w:rFonts w:hint="default" w:ascii="Times New Roman" w:hAnsi="Times New Roman" w:cs="Times New Roman"/>
                <w:u w:val="single" w:color="auto"/>
                <w:lang w:val="en-US" w:eastAsia="zh-CN"/>
              </w:rPr>
              <w:t>下表</w:t>
            </w:r>
            <w:r>
              <w:rPr>
                <w:rFonts w:hint="default" w:ascii="Times New Roman" w:hAnsi="Times New Roman" w:cs="Times New Roman"/>
                <w:u w:val="single" w:color="auto"/>
                <w:lang w:eastAsia="zh-CN"/>
              </w:rPr>
              <w:t>。</w:t>
            </w:r>
          </w:p>
          <w:p>
            <w:pPr>
              <w:pStyle w:val="43"/>
              <w:bidi w:val="0"/>
              <w:rPr>
                <w:rFonts w:ascii="Times New Roman" w:hAnsi="Times New Roman" w:cs="Times New Roman"/>
                <w:u w:val="single" w:color="auto"/>
                <w:lang w:val="en-US"/>
              </w:rPr>
            </w:pPr>
            <w:r>
              <w:rPr>
                <w:rFonts w:hint="default" w:ascii="Times New Roman" w:hAnsi="Times New Roman" w:cs="Times New Roman"/>
                <w:u w:val="single" w:color="auto"/>
                <w:lang w:val="en-US"/>
              </w:rPr>
              <w:t>2</w:t>
            </w:r>
            <w:r>
              <w:rPr>
                <w:rFonts w:hint="default" w:ascii="Times New Roman" w:hAnsi="Times New Roman" w:cs="Times New Roman"/>
                <w:u w:val="single" w:color="auto"/>
                <w:lang w:val="en-US" w:eastAsia="zh-CN"/>
              </w:rPr>
              <w:t>.4</w:t>
            </w:r>
            <w:r>
              <w:rPr>
                <w:rFonts w:hint="default" w:ascii="Times New Roman" w:hAnsi="Times New Roman" w:cs="Times New Roman"/>
                <w:u w:val="single" w:color="auto"/>
                <w:lang w:val="en-US"/>
              </w:rPr>
              <w:t xml:space="preserve">-5：项目主要设备一览表 </w:t>
            </w:r>
          </w:p>
          <w:tbl>
            <w:tblPr>
              <w:tblStyle w:val="28"/>
              <w:tblW w:w="4974" w:type="pct"/>
              <w:jc w:val="center"/>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Layout w:type="autofit"/>
              <w:tblCellMar>
                <w:top w:w="0" w:type="dxa"/>
                <w:left w:w="0" w:type="dxa"/>
                <w:bottom w:w="0" w:type="dxa"/>
                <w:right w:w="0" w:type="dxa"/>
              </w:tblCellMar>
            </w:tblPr>
            <w:tblGrid>
              <w:gridCol w:w="691"/>
              <w:gridCol w:w="2063"/>
              <w:gridCol w:w="1160"/>
              <w:gridCol w:w="1257"/>
              <w:gridCol w:w="1047"/>
              <w:gridCol w:w="1231"/>
              <w:gridCol w:w="917"/>
            </w:tblGrid>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序号</w:t>
                  </w:r>
                </w:p>
              </w:tc>
              <w:tc>
                <w:tcPr>
                  <w:tcW w:w="123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名称</w:t>
                  </w:r>
                </w:p>
              </w:tc>
              <w:tc>
                <w:tcPr>
                  <w:tcW w:w="1444" w:type="pct"/>
                  <w:gridSpan w:val="2"/>
                  <w:tcBorders>
                    <w:tl2br w:val="nil"/>
                    <w:tr2bl w:val="nil"/>
                  </w:tcBorders>
                  <w:vAlign w:val="center"/>
                </w:tcPr>
                <w:p>
                  <w:pPr>
                    <w:pStyle w:val="70"/>
                    <w:bidi w:val="0"/>
                    <w:ind w:firstLine="0" w:firstLineChars="0"/>
                    <w:rPr>
                      <w:rFonts w:hint="default" w:ascii="Times New Roman" w:hAnsi="Times New Roman" w:eastAsia="宋体" w:cs="Times New Roman"/>
                      <w:b/>
                      <w:bCs/>
                      <w:u w:val="single" w:color="auto"/>
                      <w:lang w:eastAsia="zh-CN"/>
                    </w:rPr>
                  </w:pPr>
                  <w:r>
                    <w:rPr>
                      <w:rFonts w:hint="default" w:ascii="Times New Roman" w:hAnsi="Times New Roman" w:eastAsia="宋体" w:cs="Times New Roman"/>
                      <w:b/>
                      <w:bCs/>
                      <w:u w:val="single" w:color="auto"/>
                      <w:lang w:eastAsia="zh-CN"/>
                    </w:rPr>
                    <w:t>原环评</w:t>
                  </w:r>
                </w:p>
              </w:tc>
              <w:tc>
                <w:tcPr>
                  <w:tcW w:w="1362" w:type="pct"/>
                  <w:gridSpan w:val="2"/>
                  <w:tcBorders>
                    <w:tl2br w:val="nil"/>
                    <w:tr2bl w:val="nil"/>
                  </w:tcBorders>
                  <w:vAlign w:val="center"/>
                </w:tcPr>
                <w:p>
                  <w:pPr>
                    <w:pStyle w:val="70"/>
                    <w:bidi w:val="0"/>
                    <w:ind w:firstLine="0" w:firstLineChars="0"/>
                    <w:rPr>
                      <w:rFonts w:hint="default" w:ascii="Times New Roman" w:hAnsi="Times New Roman" w:eastAsia="宋体" w:cs="Times New Roman"/>
                      <w:b/>
                      <w:bCs/>
                      <w:u w:val="single" w:color="auto"/>
                      <w:lang w:eastAsia="zh-CN"/>
                    </w:rPr>
                  </w:pPr>
                  <w:r>
                    <w:rPr>
                      <w:rFonts w:hint="default" w:ascii="Times New Roman" w:hAnsi="Times New Roman" w:eastAsia="宋体" w:cs="Times New Roman"/>
                      <w:b/>
                      <w:bCs/>
                      <w:u w:val="single" w:color="auto"/>
                      <w:lang w:eastAsia="zh-CN"/>
                    </w:rPr>
                    <w:t>本环评</w:t>
                  </w:r>
                </w:p>
              </w:tc>
              <w:tc>
                <w:tcPr>
                  <w:tcW w:w="547" w:type="pct"/>
                  <w:vMerge w:val="restart"/>
                  <w:tcBorders>
                    <w:tl2br w:val="nil"/>
                    <w:tr2bl w:val="nil"/>
                  </w:tcBorders>
                  <w:vAlign w:val="center"/>
                </w:tcPr>
                <w:p>
                  <w:pPr>
                    <w:pStyle w:val="51"/>
                    <w:ind w:firstLine="0" w:firstLineChars="0"/>
                    <w:rPr>
                      <w:rFonts w:hint="default" w:ascii="Times New Roman" w:hAnsi="Times New Roman" w:eastAsia="宋体" w:cs="Times New Roman"/>
                      <w:b/>
                      <w:bCs/>
                      <w:u w:val="single" w:color="auto"/>
                      <w:lang w:val="en-US" w:eastAsia="zh-CN"/>
                    </w:rPr>
                  </w:pPr>
                  <w:r>
                    <w:rPr>
                      <w:rFonts w:hint="default" w:ascii="Times New Roman" w:hAnsi="Times New Roman" w:eastAsia="宋体" w:cs="Times New Roman"/>
                      <w:b/>
                      <w:bCs/>
                      <w:u w:val="single" w:color="auto"/>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123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数量</w:t>
                  </w:r>
                </w:p>
              </w:tc>
              <w:tc>
                <w:tcPr>
                  <w:tcW w:w="750" w:type="pct"/>
                  <w:tcBorders>
                    <w:tl2br w:val="nil"/>
                    <w:tr2bl w:val="nil"/>
                  </w:tcBorders>
                  <w:vAlign w:val="center"/>
                </w:tcPr>
                <w:p>
                  <w:pPr>
                    <w:pStyle w:val="51"/>
                    <w:ind w:firstLine="0" w:firstLineChars="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rPr>
                    <w:t>型号</w:t>
                  </w:r>
                </w:p>
              </w:tc>
              <w:tc>
                <w:tcPr>
                  <w:tcW w:w="626" w:type="pct"/>
                  <w:tcBorders>
                    <w:tl2br w:val="nil"/>
                    <w:tr2bl w:val="nil"/>
                  </w:tcBorders>
                  <w:vAlign w:val="center"/>
                </w:tcPr>
                <w:p>
                  <w:pPr>
                    <w:pStyle w:val="51"/>
                    <w:ind w:firstLine="0" w:firstLineChars="0"/>
                    <w:rPr>
                      <w:rFonts w:hint="default" w:ascii="Times New Roman" w:hAnsi="Times New Roman" w:eastAsia="宋体" w:cs="Times New Roman"/>
                      <w:b/>
                      <w:bCs/>
                      <w:u w:val="single" w:color="auto"/>
                      <w:lang w:eastAsia="zh-CN"/>
                    </w:rPr>
                  </w:pPr>
                  <w:r>
                    <w:rPr>
                      <w:rFonts w:hint="default" w:ascii="Times New Roman" w:hAnsi="Times New Roman" w:eastAsia="宋体" w:cs="Times New Roman"/>
                      <w:b/>
                      <w:bCs/>
                      <w:u w:val="single" w:color="auto"/>
                      <w:lang w:val="en-US"/>
                    </w:rPr>
                    <w:t>数量</w:t>
                  </w:r>
                </w:p>
              </w:tc>
              <w:tc>
                <w:tcPr>
                  <w:tcW w:w="735" w:type="pct"/>
                  <w:tcBorders>
                    <w:tl2br w:val="nil"/>
                    <w:tr2bl w:val="nil"/>
                  </w:tcBorders>
                  <w:vAlign w:val="center"/>
                </w:tcPr>
                <w:p>
                  <w:pPr>
                    <w:pStyle w:val="51"/>
                    <w:ind w:firstLine="0" w:firstLineChars="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eastAsia="zh-CN"/>
                    </w:rPr>
                    <w:t>型号</w:t>
                  </w:r>
                </w:p>
              </w:tc>
              <w:tc>
                <w:tcPr>
                  <w:tcW w:w="547" w:type="pct"/>
                  <w:vMerge w:val="continue"/>
                  <w:tcBorders>
                    <w:tl2br w:val="nil"/>
                    <w:tr2bl w:val="nil"/>
                  </w:tcBorders>
                  <w:vAlign w:val="center"/>
                </w:tcPr>
                <w:p>
                  <w:pPr>
                    <w:pStyle w:val="51"/>
                    <w:ind w:firstLine="0" w:firstLineChars="0"/>
                    <w:rPr>
                      <w:rFonts w:hint="default" w:ascii="Times New Roman" w:hAnsi="Times New Roman" w:eastAsia="宋体" w:cs="Times New Roman"/>
                      <w:u w:val="single" w:color="auto"/>
                      <w:lang w:eastAsia="zh-CN"/>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5000" w:type="pct"/>
                  <w:gridSpan w:val="7"/>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干米粉生产线</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1</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洗米缸</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1个</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w:t>
                  </w:r>
                </w:p>
              </w:tc>
              <w:tc>
                <w:tcPr>
                  <w:tcW w:w="626" w:type="pct"/>
                  <w:vMerge w:val="restar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735" w:type="pct"/>
                  <w:vMerge w:val="restar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547" w:type="pct"/>
                  <w:vMerge w:val="restar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考虑到市场需求以及场地的限制，干米粉生产线不在本次评价范围之内，远期另行征地建设</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540"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2</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泡米缸</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2个</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单个4m</w:t>
                  </w:r>
                  <w:r>
                    <w:rPr>
                      <w:rFonts w:hint="default" w:ascii="Times New Roman" w:hAnsi="Times New Roman" w:eastAsia="宋体" w:cs="Times New Roman"/>
                      <w:u w:val="single" w:color="auto"/>
                      <w:vertAlign w:val="superscript"/>
                      <w:lang w:val="en-US" w:eastAsia="zh-CN"/>
                    </w:rPr>
                    <w:t>3</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465"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3</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大米定量输送机</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4</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淀粉缸</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1个</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5</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提升机</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6</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粉碎机</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7</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提粉机</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8</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喂料机</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9</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和料机</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醒料机</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11</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800蒸自熟化一体机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576"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12</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800强力挤条挤丝机组</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13</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18强风散丝机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14</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18型风冷结膜机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15</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18型切断挂杆机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576"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16</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18型双室双层老化机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17</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18型带杆松丝机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18</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转弯机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19</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烘干机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735"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p>
              </w:tc>
              <w:tc>
                <w:tcPr>
                  <w:tcW w:w="547" w:type="pct"/>
                  <w:vMerge w:val="continue"/>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5000" w:type="pct"/>
                  <w:gridSpan w:val="7"/>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湿米粉</w:t>
                  </w:r>
                  <w:r>
                    <w:rPr>
                      <w:rFonts w:hint="default" w:ascii="Times New Roman" w:hAnsi="Times New Roman" w:eastAsia="宋体" w:cs="Times New Roman"/>
                      <w:u w:val="single" w:color="auto"/>
                      <w:lang w:val="en-US"/>
                    </w:rPr>
                    <w:t>生产线</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1</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洗米缸</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1个</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1个</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31"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2</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泡米缸</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2个</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单个4m</w:t>
                  </w:r>
                  <w:r>
                    <w:rPr>
                      <w:rFonts w:hint="default" w:ascii="Times New Roman" w:hAnsi="Times New Roman" w:eastAsia="宋体" w:cs="Times New Roman"/>
                      <w:u w:val="single" w:color="auto"/>
                      <w:vertAlign w:val="superscript"/>
                      <w:lang w:val="en-US" w:eastAsia="zh-CN"/>
                    </w:rPr>
                    <w:t>3</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2个</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单个4m</w:t>
                  </w:r>
                  <w:r>
                    <w:rPr>
                      <w:rFonts w:hint="default" w:ascii="Times New Roman" w:hAnsi="Times New Roman" w:eastAsia="宋体" w:cs="Times New Roman"/>
                      <w:u w:val="single" w:color="auto"/>
                      <w:vertAlign w:val="superscript"/>
                      <w:lang w:val="en-US" w:eastAsia="zh-CN"/>
                    </w:rPr>
                    <w:t>3</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3</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大米定量输送机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4</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淀粉缸</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5</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提升机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4台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4台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6</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粉碎机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YFF-400</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7</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提粉机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8</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定量喂料机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9</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和料机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2台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YFJ-700</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2台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醒料机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11</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800蒸自熟化一体机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576"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12</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800强力挤条挤丝机组</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YFJS-400</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13</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18强风散丝机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14</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18型风冷结膜机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15</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热水浴机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16</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冷水浴机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17</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封包机</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5000" w:type="pct"/>
                  <w:gridSpan w:val="7"/>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检验室</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w:t>
                  </w:r>
                </w:p>
              </w:tc>
              <w:tc>
                <w:tcPr>
                  <w:tcW w:w="123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sz w:val="21"/>
                      <w:szCs w:val="21"/>
                      <w:u w:val="single" w:color="auto"/>
                    </w:rPr>
                    <w:t>电子天平</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rPr>
                    <w:t>303-0A</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新增</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w:t>
                  </w:r>
                </w:p>
              </w:tc>
              <w:tc>
                <w:tcPr>
                  <w:tcW w:w="1233" w:type="pct"/>
                  <w:tcBorders>
                    <w:bottom w:val="single" w:color="auto" w:sz="4" w:space="0"/>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电热恒温培养箱</w:t>
                  </w:r>
                </w:p>
              </w:tc>
              <w:tc>
                <w:tcPr>
                  <w:tcW w:w="693" w:type="pct"/>
                  <w:tcBorders>
                    <w:bottom w:val="single" w:color="auto" w:sz="4" w:space="0"/>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750" w:type="pct"/>
                  <w:tcBorders>
                    <w:bottom w:val="single" w:color="auto" w:sz="4" w:space="0"/>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rPr>
                    <w:t>202-0A</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新增</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w:t>
                  </w:r>
                </w:p>
              </w:tc>
              <w:tc>
                <w:tcPr>
                  <w:tcW w:w="1233" w:type="pct"/>
                  <w:tcBorders>
                    <w:top w:val="single" w:color="auto" w:sz="4" w:space="0"/>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电热恒温</w:t>
                  </w:r>
                  <w:r>
                    <w:rPr>
                      <w:rFonts w:hint="default" w:ascii="Times New Roman" w:hAnsi="Times New Roman" w:eastAsia="宋体" w:cs="Times New Roman"/>
                      <w:u w:val="single" w:color="auto"/>
                      <w:lang w:val="en-US" w:eastAsia="zh-CN"/>
                    </w:rPr>
                    <w:t>干</w:t>
                  </w:r>
                  <w:r>
                    <w:rPr>
                      <w:rFonts w:hint="default" w:ascii="Times New Roman" w:hAnsi="Times New Roman" w:eastAsia="宋体" w:cs="Times New Roman"/>
                      <w:u w:val="single" w:color="auto"/>
                    </w:rPr>
                    <w:t>燥箱</w:t>
                  </w:r>
                </w:p>
              </w:tc>
              <w:tc>
                <w:tcPr>
                  <w:tcW w:w="693" w:type="pct"/>
                  <w:tcBorders>
                    <w:top w:val="single" w:color="auto" w:sz="4" w:space="0"/>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750" w:type="pct"/>
                  <w:tcBorders>
                    <w:top w:val="single" w:color="auto" w:sz="4" w:space="0"/>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rPr>
                    <w:t>0~0.25MP</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新增</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灭菌锅压力表</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rPr>
                    <w:t>DK-99</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新增</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电热恒温水浴锅</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rPr>
                    <w:t>TD12001</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新增</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5000" w:type="pct"/>
                  <w:gridSpan w:val="7"/>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其他</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576" w:hRule="atLeast"/>
                <w:jc w:val="center"/>
              </w:trPr>
              <w:tc>
                <w:tcPr>
                  <w:tcW w:w="41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1</w:t>
                  </w:r>
                </w:p>
              </w:tc>
              <w:tc>
                <w:tcPr>
                  <w:tcW w:w="123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蒸汽发生器</w:t>
                  </w:r>
                </w:p>
              </w:tc>
              <w:tc>
                <w:tcPr>
                  <w:tcW w:w="69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2台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1.0t/h电蒸汽发生器</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0.7t/h生物质蒸汽发生器</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变更</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1112" w:hRule="atLeast"/>
                <w:jc w:val="center"/>
              </w:trPr>
              <w:tc>
                <w:tcPr>
                  <w:tcW w:w="41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污水处理设施</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1</w:t>
                  </w:r>
                  <w:r>
                    <w:rPr>
                      <w:rFonts w:hint="default" w:ascii="Times New Roman" w:hAnsi="Times New Roman" w:eastAsia="宋体" w:cs="Times New Roman"/>
                      <w:u w:val="single" w:color="auto"/>
                      <w:lang w:val="en-US" w:eastAsia="zh-CN"/>
                    </w:rPr>
                    <w:t>座</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highlight w:val="none"/>
                      <w:u w:val="single" w:color="auto"/>
                      <w:lang w:val="en-US"/>
                    </w:rPr>
                  </w:pPr>
                  <w:r>
                    <w:rPr>
                      <w:rFonts w:hint="default" w:ascii="Times New Roman" w:hAnsi="Times New Roman" w:eastAsia="宋体" w:cs="Times New Roman"/>
                      <w:highlight w:val="none"/>
                      <w:u w:val="single" w:color="auto"/>
                      <w:lang w:val="en-US" w:eastAsia="zh-CN"/>
                    </w:rPr>
                    <w:t>SBR法，日处理规模为65t/d</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rPr>
                    <w:t>1</w:t>
                  </w:r>
                  <w:r>
                    <w:rPr>
                      <w:rFonts w:hint="default" w:ascii="Times New Roman" w:hAnsi="Times New Roman" w:eastAsia="宋体" w:cs="Times New Roman"/>
                      <w:highlight w:val="none"/>
                      <w:u w:val="single" w:color="auto"/>
                      <w:lang w:val="en-US" w:eastAsia="zh-CN"/>
                    </w:rPr>
                    <w:t>座</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highlight w:val="none"/>
                      <w:u w:val="single" w:color="auto"/>
                      <w:lang w:val="en-US"/>
                    </w:rPr>
                  </w:pPr>
                  <w:r>
                    <w:rPr>
                      <w:rFonts w:hint="default" w:ascii="Times New Roman" w:hAnsi="Times New Roman" w:eastAsia="宋体" w:cs="Times New Roman"/>
                      <w:highlight w:val="none"/>
                      <w:u w:val="single" w:color="auto"/>
                      <w:lang w:val="en-US" w:eastAsia="zh-CN"/>
                    </w:rPr>
                    <w:t>SBR法，日处理规模为50t/d</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规模变小且废水源强计算依据更新，并留有余量</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71" w:hRule="atLeast"/>
                <w:jc w:val="center"/>
              </w:trPr>
              <w:tc>
                <w:tcPr>
                  <w:tcW w:w="41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废气处理设施</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1套</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湿式除尘器</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新增</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545" w:hRule="atLeast"/>
                <w:jc w:val="center"/>
              </w:trPr>
              <w:tc>
                <w:tcPr>
                  <w:tcW w:w="41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农灌管道</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约200m</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PE管，100mm</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约1.5km</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PE管，100mm</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变更</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413"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水泵</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8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6</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备用柴油发电机</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1台</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不变</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0" w:type="dxa"/>
                  <w:bottom w:w="0" w:type="dxa"/>
                  <w:right w:w="0" w:type="dxa"/>
                </w:tblCellMar>
              </w:tblPrEx>
              <w:trPr>
                <w:trHeight w:val="387" w:hRule="atLeast"/>
                <w:jc w:val="center"/>
              </w:trPr>
              <w:tc>
                <w:tcPr>
                  <w:tcW w:w="41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7</w:t>
                  </w:r>
                </w:p>
              </w:tc>
              <w:tc>
                <w:tcPr>
                  <w:tcW w:w="123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蒸汽发生器软化水设备</w:t>
                  </w:r>
                </w:p>
              </w:tc>
              <w:tc>
                <w:tcPr>
                  <w:tcW w:w="69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75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26"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1套</w:t>
                  </w:r>
                </w:p>
              </w:tc>
              <w:tc>
                <w:tcPr>
                  <w:tcW w:w="735"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547"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新增</w:t>
                  </w:r>
                </w:p>
              </w:tc>
            </w:tr>
          </w:tbl>
          <w:p>
            <w:pPr>
              <w:pStyle w:val="6"/>
              <w:bidi w:val="0"/>
              <w:rPr>
                <w:rFonts w:ascii="Times New Roman" w:hAnsi="Times New Roman" w:cs="Times New Roman"/>
                <w:u w:val="single" w:color="auto"/>
                <w:lang w:val="en-US"/>
              </w:rPr>
            </w:pPr>
            <w:r>
              <w:rPr>
                <w:rFonts w:hint="default" w:ascii="Times New Roman" w:hAnsi="Times New Roman" w:cs="Times New Roman"/>
                <w:u w:val="single" w:color="auto"/>
                <w:lang w:val="en-US"/>
              </w:rPr>
              <w:t>2.</w:t>
            </w:r>
            <w:r>
              <w:rPr>
                <w:rFonts w:hint="default" w:ascii="Times New Roman" w:hAnsi="Times New Roman" w:cs="Times New Roman"/>
                <w:u w:val="single" w:color="auto"/>
                <w:lang w:val="en-US" w:eastAsia="zh-CN"/>
              </w:rPr>
              <w:t>4.3</w:t>
            </w:r>
            <w:r>
              <w:rPr>
                <w:rFonts w:hint="default" w:ascii="Times New Roman" w:hAnsi="Times New Roman" w:cs="Times New Roman"/>
                <w:u w:val="single" w:color="auto"/>
                <w:lang w:val="en-US"/>
              </w:rPr>
              <w:t>主要原辅材料及能源消耗</w:t>
            </w:r>
          </w:p>
          <w:p>
            <w:pPr>
              <w:wordWrap/>
              <w:overflowPunct w:val="0"/>
              <w:topLinePunct w:val="0"/>
              <w:autoSpaceDE w:val="0"/>
              <w:autoSpaceDN w:val="0"/>
              <w:ind w:firstLine="480"/>
              <w:rPr>
                <w:rFonts w:ascii="Times New Roman" w:hAnsi="Times New Roman" w:cs="Times New Roman"/>
                <w:u w:val="single" w:color="auto"/>
              </w:rPr>
            </w:pPr>
            <w:r>
              <w:rPr>
                <w:rFonts w:hint="default" w:ascii="Times New Roman" w:hAnsi="Times New Roman" w:cs="Times New Roman"/>
                <w:u w:val="single" w:color="auto"/>
                <w:lang w:eastAsia="zh-CN"/>
              </w:rPr>
              <w:t>项目变更前后</w:t>
            </w:r>
            <w:r>
              <w:rPr>
                <w:rFonts w:ascii="Times New Roman" w:hAnsi="Times New Roman" w:cs="Times New Roman"/>
                <w:u w:val="single" w:color="auto"/>
              </w:rPr>
              <w:t>生产过程中所需</w:t>
            </w:r>
            <w:r>
              <w:rPr>
                <w:rFonts w:hint="default" w:ascii="Times New Roman" w:hAnsi="Times New Roman" w:cs="Times New Roman"/>
                <w:u w:val="single" w:color="auto"/>
              </w:rPr>
              <w:t>主要</w:t>
            </w:r>
            <w:r>
              <w:rPr>
                <w:rFonts w:ascii="Times New Roman" w:hAnsi="Times New Roman" w:cs="Times New Roman"/>
                <w:u w:val="single" w:color="auto"/>
              </w:rPr>
              <w:t>原辅材料见表</w:t>
            </w:r>
            <w:r>
              <w:rPr>
                <w:rFonts w:hint="default" w:ascii="Times New Roman" w:hAnsi="Times New Roman" w:cs="Times New Roman"/>
                <w:u w:val="single" w:color="auto"/>
                <w:lang w:val="en-US"/>
              </w:rPr>
              <w:t>2</w:t>
            </w:r>
            <w:r>
              <w:rPr>
                <w:rFonts w:hint="default" w:ascii="Times New Roman" w:hAnsi="Times New Roman" w:cs="Times New Roman"/>
                <w:u w:val="single" w:color="auto"/>
                <w:lang w:val="en-US" w:eastAsia="zh-CN"/>
              </w:rPr>
              <w:t>.4</w:t>
            </w:r>
            <w:r>
              <w:rPr>
                <w:rFonts w:ascii="Times New Roman" w:hAnsi="Times New Roman" w:cs="Times New Roman"/>
                <w:u w:val="single" w:color="auto"/>
              </w:rPr>
              <w:t>-</w:t>
            </w:r>
            <w:r>
              <w:rPr>
                <w:rFonts w:hint="default" w:ascii="Times New Roman" w:hAnsi="Times New Roman" w:cs="Times New Roman"/>
                <w:u w:val="single" w:color="auto"/>
                <w:lang w:val="en-US"/>
              </w:rPr>
              <w:t>6</w:t>
            </w:r>
            <w:r>
              <w:rPr>
                <w:rFonts w:ascii="Times New Roman" w:hAnsi="Times New Roman" w:cs="Times New Roman"/>
                <w:u w:val="single" w:color="auto"/>
              </w:rPr>
              <w:t>。</w:t>
            </w:r>
          </w:p>
          <w:p>
            <w:pPr>
              <w:pStyle w:val="43"/>
              <w:bidi w:val="0"/>
              <w:rPr>
                <w:rFonts w:ascii="Times New Roman" w:hAnsi="Times New Roman" w:cs="Times New Roman"/>
                <w:u w:val="single" w:color="auto"/>
              </w:rPr>
            </w:pPr>
            <w:r>
              <w:rPr>
                <w:rFonts w:ascii="Times New Roman" w:hAnsi="Times New Roman" w:cs="Times New Roman"/>
                <w:u w:val="single" w:color="auto"/>
              </w:rPr>
              <w:t>表</w:t>
            </w:r>
            <w:r>
              <w:rPr>
                <w:rFonts w:hint="default" w:ascii="Times New Roman" w:hAnsi="Times New Roman" w:cs="Times New Roman"/>
                <w:u w:val="single" w:color="auto"/>
                <w:lang w:val="en-US"/>
              </w:rPr>
              <w:t>2</w:t>
            </w:r>
            <w:r>
              <w:rPr>
                <w:rFonts w:hint="default" w:ascii="Times New Roman" w:hAnsi="Times New Roman" w:cs="Times New Roman"/>
                <w:u w:val="single" w:color="auto"/>
                <w:lang w:val="en-US" w:eastAsia="zh-CN"/>
              </w:rPr>
              <w:t>.4</w:t>
            </w:r>
            <w:r>
              <w:rPr>
                <w:rFonts w:hint="default" w:ascii="Times New Roman" w:hAnsi="Times New Roman" w:cs="Times New Roman"/>
                <w:u w:val="single" w:color="auto"/>
                <w:lang w:val="en-US"/>
              </w:rPr>
              <w:t>-6</w:t>
            </w:r>
            <w:r>
              <w:rPr>
                <w:rFonts w:hint="default" w:ascii="Times New Roman" w:hAnsi="Times New Roman" w:cs="Times New Roman"/>
                <w:u w:val="single" w:color="auto"/>
              </w:rPr>
              <w:t>：主要</w:t>
            </w:r>
            <w:r>
              <w:rPr>
                <w:rFonts w:ascii="Times New Roman" w:hAnsi="Times New Roman" w:cs="Times New Roman"/>
                <w:u w:val="single" w:color="auto"/>
              </w:rPr>
              <w:t>原辅材料</w:t>
            </w:r>
            <w:r>
              <w:rPr>
                <w:rFonts w:hint="default" w:ascii="Times New Roman" w:hAnsi="Times New Roman" w:cs="Times New Roman"/>
                <w:u w:val="single" w:color="auto"/>
                <w:lang w:val="en-US"/>
              </w:rPr>
              <w:t>及能源消耗</w:t>
            </w:r>
            <w:r>
              <w:rPr>
                <w:rFonts w:ascii="Times New Roman" w:hAnsi="Times New Roman" w:cs="Times New Roman"/>
                <w:u w:val="single" w:color="auto"/>
              </w:rPr>
              <w:t>统计表</w:t>
            </w:r>
          </w:p>
          <w:tbl>
            <w:tblPr>
              <w:tblStyle w:val="28"/>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208"/>
              <w:gridCol w:w="883"/>
              <w:gridCol w:w="1145"/>
              <w:gridCol w:w="1075"/>
              <w:gridCol w:w="1551"/>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58" w:type="pct"/>
                  <w:tcBorders>
                    <w:tl2br w:val="nil"/>
                    <w:tr2bl w:val="nil"/>
                  </w:tcBorders>
                  <w:vAlign w:val="center"/>
                </w:tcPr>
                <w:p>
                  <w:pPr>
                    <w:pStyle w:val="70"/>
                    <w:bidi w:val="0"/>
                    <w:rPr>
                      <w:rFonts w:hint="default" w:ascii="Times New Roman" w:hAnsi="Times New Roman" w:eastAsia="宋体" w:cs="Times New Roman"/>
                      <w:b/>
                      <w:bCs/>
                      <w:u w:val="single" w:color="auto"/>
                    </w:rPr>
                  </w:pPr>
                  <w:r>
                    <w:rPr>
                      <w:rFonts w:hint="default" w:ascii="Times New Roman" w:hAnsi="Times New Roman" w:eastAsia="宋体" w:cs="Times New Roman"/>
                      <w:b/>
                      <w:bCs/>
                      <w:u w:val="single" w:color="auto"/>
                    </w:rPr>
                    <w:t>序号</w:t>
                  </w:r>
                </w:p>
              </w:tc>
              <w:tc>
                <w:tcPr>
                  <w:tcW w:w="729" w:type="pct"/>
                  <w:tcBorders>
                    <w:tl2br w:val="nil"/>
                    <w:tr2bl w:val="nil"/>
                  </w:tcBorders>
                  <w:vAlign w:val="center"/>
                </w:tcPr>
                <w:p>
                  <w:pPr>
                    <w:pStyle w:val="70"/>
                    <w:bidi w:val="0"/>
                    <w:rPr>
                      <w:rFonts w:hint="default" w:ascii="Times New Roman" w:hAnsi="Times New Roman" w:eastAsia="宋体" w:cs="Times New Roman"/>
                      <w:b/>
                      <w:bCs/>
                      <w:u w:val="single" w:color="auto"/>
                    </w:rPr>
                  </w:pPr>
                  <w:r>
                    <w:rPr>
                      <w:rFonts w:hint="default" w:ascii="Times New Roman" w:hAnsi="Times New Roman" w:eastAsia="宋体" w:cs="Times New Roman"/>
                      <w:b/>
                      <w:bCs/>
                      <w:u w:val="single" w:color="auto"/>
                    </w:rPr>
                    <w:t>原辅材料</w:t>
                  </w:r>
                </w:p>
              </w:tc>
              <w:tc>
                <w:tcPr>
                  <w:tcW w:w="533" w:type="pct"/>
                  <w:tcBorders>
                    <w:tl2br w:val="nil"/>
                    <w:tr2bl w:val="nil"/>
                  </w:tcBorders>
                  <w:vAlign w:val="center"/>
                </w:tcPr>
                <w:p>
                  <w:pPr>
                    <w:pStyle w:val="70"/>
                    <w:bidi w:val="0"/>
                    <w:rPr>
                      <w:rFonts w:hint="default" w:ascii="Times New Roman" w:hAnsi="Times New Roman" w:eastAsia="宋体" w:cs="Times New Roman"/>
                      <w:b/>
                      <w:bCs/>
                      <w:u w:val="single" w:color="auto"/>
                    </w:rPr>
                  </w:pPr>
                  <w:r>
                    <w:rPr>
                      <w:rFonts w:hint="default" w:ascii="Times New Roman" w:hAnsi="Times New Roman" w:eastAsia="宋体" w:cs="Times New Roman"/>
                      <w:b/>
                      <w:bCs/>
                      <w:u w:val="single" w:color="auto"/>
                    </w:rPr>
                    <w:t>单位</w:t>
                  </w:r>
                </w:p>
              </w:tc>
              <w:tc>
                <w:tcPr>
                  <w:tcW w:w="691" w:type="pct"/>
                  <w:tcBorders>
                    <w:tl2br w:val="nil"/>
                    <w:tr2bl w:val="nil"/>
                  </w:tcBorders>
                  <w:vAlign w:val="center"/>
                </w:tcPr>
                <w:p>
                  <w:pPr>
                    <w:pStyle w:val="51"/>
                    <w:ind w:firstLine="0" w:firstLineChars="0"/>
                    <w:rPr>
                      <w:rFonts w:hint="default" w:ascii="Times New Roman" w:hAnsi="Times New Roman" w:eastAsia="宋体" w:cs="Times New Roman"/>
                      <w:b/>
                      <w:bCs/>
                      <w:u w:val="single" w:color="auto"/>
                    </w:rPr>
                  </w:pPr>
                  <w:r>
                    <w:rPr>
                      <w:rFonts w:hint="default" w:ascii="Times New Roman" w:hAnsi="Times New Roman" w:eastAsia="宋体" w:cs="Times New Roman"/>
                      <w:b/>
                      <w:bCs/>
                      <w:u w:val="single" w:color="auto"/>
                      <w:lang w:eastAsia="zh-CN"/>
                    </w:rPr>
                    <w:t>变更前年用量</w:t>
                  </w:r>
                </w:p>
              </w:tc>
              <w:tc>
                <w:tcPr>
                  <w:tcW w:w="649" w:type="pct"/>
                  <w:tcBorders>
                    <w:tl2br w:val="nil"/>
                    <w:tr2bl w:val="nil"/>
                  </w:tcBorders>
                  <w:vAlign w:val="center"/>
                </w:tcPr>
                <w:p>
                  <w:pPr>
                    <w:pStyle w:val="51"/>
                    <w:ind w:firstLine="0" w:firstLineChars="0"/>
                    <w:rPr>
                      <w:rFonts w:hint="default" w:ascii="Times New Roman" w:hAnsi="Times New Roman" w:eastAsia="宋体" w:cs="Times New Roman"/>
                      <w:b/>
                      <w:bCs/>
                      <w:u w:val="single" w:color="auto"/>
                    </w:rPr>
                  </w:pPr>
                  <w:r>
                    <w:rPr>
                      <w:rFonts w:hint="default" w:ascii="Times New Roman" w:hAnsi="Times New Roman" w:eastAsia="宋体" w:cs="Times New Roman"/>
                      <w:b/>
                      <w:bCs/>
                      <w:u w:val="single" w:color="auto"/>
                      <w:lang w:eastAsia="zh-CN"/>
                    </w:rPr>
                    <w:t>变更后</w:t>
                  </w:r>
                  <w:r>
                    <w:rPr>
                      <w:rFonts w:hint="default" w:ascii="Times New Roman" w:hAnsi="Times New Roman" w:eastAsia="宋体" w:cs="Times New Roman"/>
                      <w:b/>
                      <w:bCs/>
                      <w:u w:val="single" w:color="auto"/>
                    </w:rPr>
                    <w:t>年用量</w:t>
                  </w:r>
                </w:p>
              </w:tc>
              <w:tc>
                <w:tcPr>
                  <w:tcW w:w="936" w:type="pct"/>
                  <w:tcBorders>
                    <w:tl2br w:val="nil"/>
                    <w:tr2bl w:val="nil"/>
                  </w:tcBorders>
                  <w:vAlign w:val="center"/>
                </w:tcPr>
                <w:p>
                  <w:pPr>
                    <w:pStyle w:val="51"/>
                    <w:ind w:firstLine="0" w:firstLineChars="0"/>
                    <w:rPr>
                      <w:rFonts w:hint="default" w:ascii="Times New Roman" w:hAnsi="Times New Roman" w:eastAsia="宋体" w:cs="Times New Roman"/>
                      <w:b/>
                      <w:bCs/>
                      <w:u w:val="single" w:color="auto"/>
                      <w:lang w:val="en-US" w:eastAsia="zh-CN"/>
                    </w:rPr>
                  </w:pPr>
                  <w:r>
                    <w:rPr>
                      <w:rFonts w:hint="default" w:ascii="Times New Roman" w:hAnsi="Times New Roman" w:eastAsia="宋体" w:cs="Times New Roman"/>
                      <w:b/>
                      <w:bCs/>
                      <w:u w:val="single" w:color="auto"/>
                      <w:lang w:val="en-US" w:eastAsia="zh-CN"/>
                    </w:rPr>
                    <w:t>最大存在量</w:t>
                  </w:r>
                </w:p>
              </w:tc>
              <w:tc>
                <w:tcPr>
                  <w:tcW w:w="1103" w:type="pct"/>
                  <w:tcBorders>
                    <w:tl2br w:val="nil"/>
                    <w:tr2bl w:val="nil"/>
                  </w:tcBorders>
                  <w:vAlign w:val="center"/>
                </w:tcPr>
                <w:p>
                  <w:pPr>
                    <w:pStyle w:val="70"/>
                    <w:bidi w:val="0"/>
                    <w:rPr>
                      <w:rFonts w:hint="default" w:ascii="Times New Roman" w:hAnsi="Times New Roman" w:eastAsia="宋体" w:cs="Times New Roman"/>
                      <w:b/>
                      <w:bCs/>
                      <w:u w:val="single" w:color="auto"/>
                    </w:rPr>
                  </w:pPr>
                  <w:r>
                    <w:rPr>
                      <w:rFonts w:hint="default" w:ascii="Times New Roman" w:hAnsi="Times New Roman" w:eastAsia="宋体" w:cs="Times New Roman"/>
                      <w:b/>
                      <w:bCs/>
                      <w:u w:val="single" w:color="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000" w:type="pct"/>
                  <w:gridSpan w:val="7"/>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eastAsia="zh-CN"/>
                    </w:rPr>
                  </w:pPr>
                  <w:r>
                    <w:rPr>
                      <w:rFonts w:hint="default" w:ascii="Times New Roman" w:hAnsi="Times New Roman" w:eastAsia="宋体" w:cs="Times New Roman"/>
                      <w:u w:val="single" w:color="auto"/>
                      <w:lang w:eastAsia="zh-CN"/>
                    </w:rPr>
                    <w:t>一、</w:t>
                  </w:r>
                  <w:r>
                    <w:rPr>
                      <w:rFonts w:hint="default" w:ascii="Times New Roman" w:hAnsi="Times New Roman" w:eastAsia="宋体" w:cs="Times New Roman"/>
                      <w:u w:val="single" w:color="auto"/>
                      <w:lang w:val="en-US" w:eastAsia="zh-CN"/>
                    </w:rPr>
                    <w:t>1800吨/年湿米粉生产线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1</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大米</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1580</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790</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10t</w:t>
                  </w:r>
                </w:p>
              </w:tc>
              <w:tc>
                <w:tcPr>
                  <w:tcW w:w="110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购买本地大米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2</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玉米淀粉</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240</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120</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2.5t</w:t>
                  </w:r>
                </w:p>
              </w:tc>
              <w:tc>
                <w:tcPr>
                  <w:tcW w:w="110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购买本地淀粉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eastAsia="zh-CN"/>
                    </w:rPr>
                  </w:pPr>
                  <w:r>
                    <w:rPr>
                      <w:rFonts w:hint="default" w:ascii="Times New Roman" w:hAnsi="Times New Roman" w:eastAsia="宋体" w:cs="Times New Roman"/>
                      <w:u w:val="single" w:color="auto"/>
                      <w:lang w:eastAsia="zh-CN"/>
                    </w:rPr>
                    <w:t>水</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1800</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900</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110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eastAsia="zh-CN"/>
                    </w:rPr>
                  </w:pPr>
                  <w:r>
                    <w:rPr>
                      <w:rFonts w:hint="default" w:ascii="Times New Roman" w:hAnsi="Times New Roman" w:eastAsia="宋体" w:cs="Times New Roman"/>
                      <w:u w:val="single" w:color="auto"/>
                      <w:lang w:eastAsia="zh-CN"/>
                    </w:rPr>
                    <w:t>（湿米粉水分含量按</w:t>
                  </w:r>
                  <w:r>
                    <w:rPr>
                      <w:rFonts w:hint="default" w:ascii="Times New Roman" w:hAnsi="Times New Roman" w:eastAsia="宋体" w:cs="Times New Roman"/>
                      <w:u w:val="single" w:color="auto"/>
                      <w:lang w:val="en-US" w:eastAsia="zh-CN"/>
                    </w:rPr>
                    <w:t>50%计算</w:t>
                  </w:r>
                  <w:r>
                    <w:rPr>
                      <w:rFonts w:hint="default" w:ascii="Times New Roman" w:hAnsi="Times New Roman" w:eastAsia="宋体" w:cs="Times New Roman"/>
                      <w:u w:val="singl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000" w:type="pct"/>
                  <w:gridSpan w:val="7"/>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eastAsia="zh-CN"/>
                    </w:rPr>
                  </w:pPr>
                  <w:r>
                    <w:rPr>
                      <w:rFonts w:hint="default" w:ascii="Times New Roman" w:hAnsi="Times New Roman" w:eastAsia="宋体" w:cs="Times New Roman"/>
                      <w:u w:val="single" w:color="auto"/>
                      <w:lang w:val="en-US" w:eastAsia="zh-CN"/>
                    </w:rPr>
                    <w:t>二</w:t>
                  </w:r>
                  <w:r>
                    <w:rPr>
                      <w:rFonts w:hint="default" w:ascii="Times New Roman" w:hAnsi="Times New Roman" w:eastAsia="宋体" w:cs="Times New Roman"/>
                      <w:u w:val="single" w:color="auto"/>
                      <w:lang w:eastAsia="zh-CN"/>
                    </w:rPr>
                    <w:t>、</w:t>
                  </w:r>
                  <w:r>
                    <w:rPr>
                      <w:rFonts w:hint="default" w:ascii="Times New Roman" w:hAnsi="Times New Roman" w:eastAsia="宋体" w:cs="Times New Roman"/>
                      <w:u w:val="single" w:color="auto"/>
                      <w:lang w:val="en-US" w:eastAsia="zh-CN"/>
                    </w:rPr>
                    <w:t>540吨/年干米粉生产线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大米</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440</w:t>
                  </w:r>
                </w:p>
              </w:tc>
              <w:tc>
                <w:tcPr>
                  <w:tcW w:w="649" w:type="pct"/>
                  <w:vMerge w:val="restar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1103" w:type="pct"/>
                  <w:vMerge w:val="restar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玉米淀粉</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70</w:t>
                  </w:r>
                </w:p>
              </w:tc>
              <w:tc>
                <w:tcPr>
                  <w:tcW w:w="649" w:type="pct"/>
                  <w:vMerge w:val="continue"/>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1103" w:type="pct"/>
                  <w:vMerge w:val="continue"/>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eastAsia="zh-CN"/>
                    </w:rPr>
                    <w:t>水</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54</w:t>
                  </w:r>
                </w:p>
              </w:tc>
              <w:tc>
                <w:tcPr>
                  <w:tcW w:w="649" w:type="pct"/>
                  <w:vMerge w:val="continue"/>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1103" w:type="pct"/>
                  <w:vMerge w:val="continue"/>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000" w:type="pct"/>
                  <w:gridSpan w:val="7"/>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三</w:t>
                  </w:r>
                  <w:r>
                    <w:rPr>
                      <w:rFonts w:hint="default" w:ascii="Times New Roman" w:hAnsi="Times New Roman" w:eastAsia="宋体" w:cs="Times New Roman"/>
                      <w:u w:val="single" w:color="auto"/>
                      <w:lang w:eastAsia="zh-CN"/>
                    </w:rPr>
                    <w:t>、</w:t>
                  </w:r>
                  <w:r>
                    <w:rPr>
                      <w:rFonts w:hint="default" w:ascii="Times New Roman" w:hAnsi="Times New Roman" w:eastAsia="宋体" w:cs="Times New Roman"/>
                      <w:u w:val="single" w:color="auto"/>
                      <w:lang w:val="en-US" w:eastAsia="zh-CN"/>
                    </w:rPr>
                    <w:t>检验室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无水乙醇</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5瓶，500ml/瓶</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highlight w:val="none"/>
                      <w:u w:val="single" w:color="auto"/>
                      <w:lang w:val="en-US" w:eastAsia="zh-CN"/>
                    </w:rPr>
                    <w:t>2</w:t>
                  </w:r>
                  <w:r>
                    <w:rPr>
                      <w:rFonts w:hint="default" w:ascii="Times New Roman" w:hAnsi="Times New Roman" w:eastAsia="宋体" w:cs="Times New Roman"/>
                    </w:rPr>
                    <w:t>瓶</w:t>
                  </w:r>
                </w:p>
              </w:tc>
              <w:tc>
                <w:tcPr>
                  <w:tcW w:w="110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琼脂培养基</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10kg</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5kg</w:t>
                  </w:r>
                </w:p>
              </w:tc>
              <w:tc>
                <w:tcPr>
                  <w:tcW w:w="110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w:t>
                  </w:r>
                </w:p>
              </w:tc>
              <w:tc>
                <w:tcPr>
                  <w:tcW w:w="72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pH试纸</w:t>
                  </w:r>
                </w:p>
              </w:tc>
              <w:tc>
                <w:tcPr>
                  <w:tcW w:w="533"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91"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5盒</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5盒</w:t>
                  </w:r>
                </w:p>
              </w:tc>
              <w:tc>
                <w:tcPr>
                  <w:tcW w:w="1103"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w:t>
                  </w:r>
                </w:p>
              </w:tc>
              <w:tc>
                <w:tcPr>
                  <w:tcW w:w="1208" w:type="dxa"/>
                  <w:tcBorders>
                    <w:tl2br w:val="nil"/>
                    <w:tr2bl w:val="nil"/>
                  </w:tcBorders>
                  <w:vAlign w:val="center"/>
                </w:tcPr>
                <w:p>
                  <w:pPr>
                    <w:pStyle w:val="39"/>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rPr>
                    <w:t>氯化钠</w:t>
                  </w:r>
                </w:p>
              </w:tc>
              <w:tc>
                <w:tcPr>
                  <w:tcW w:w="883" w:type="dxa"/>
                  <w:tcBorders>
                    <w:tl2br w:val="nil"/>
                    <w:tr2bl w:val="nil"/>
                  </w:tcBorders>
                  <w:vAlign w:val="center"/>
                </w:tcPr>
                <w:p>
                  <w:pPr>
                    <w:pStyle w:val="39"/>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145" w:type="dxa"/>
                  <w:tcBorders>
                    <w:tl2br w:val="nil"/>
                    <w:tr2bl w:val="nil"/>
                  </w:tcBorders>
                  <w:vAlign w:val="center"/>
                </w:tcPr>
                <w:p>
                  <w:pPr>
                    <w:pStyle w:val="39"/>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u w:val="single" w:color="auto"/>
                      <w:lang w:val="en-US" w:eastAsia="zh-CN"/>
                    </w:rPr>
                    <w:t>5瓶，500ml/瓶</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2</w:t>
                  </w:r>
                  <w:r>
                    <w:rPr>
                      <w:rFonts w:hint="default" w:ascii="Times New Roman" w:hAnsi="Times New Roman" w:eastAsia="宋体" w:cs="Times New Roman"/>
                    </w:rPr>
                    <w:t>瓶</w:t>
                  </w:r>
                </w:p>
              </w:tc>
              <w:tc>
                <w:tcPr>
                  <w:tcW w:w="1103"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w:t>
                  </w:r>
                </w:p>
              </w:tc>
              <w:tc>
                <w:tcPr>
                  <w:tcW w:w="1208" w:type="dxa"/>
                  <w:tcBorders>
                    <w:tl2br w:val="nil"/>
                    <w:tr2bl w:val="nil"/>
                  </w:tcBorders>
                  <w:vAlign w:val="center"/>
                </w:tcPr>
                <w:p>
                  <w:pPr>
                    <w:pStyle w:val="39"/>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rPr>
                    <w:t>氢氧化钠</w:t>
                  </w:r>
                </w:p>
              </w:tc>
              <w:tc>
                <w:tcPr>
                  <w:tcW w:w="883" w:type="dxa"/>
                  <w:tcBorders>
                    <w:tl2br w:val="nil"/>
                    <w:tr2bl w:val="nil"/>
                  </w:tcBorders>
                  <w:vAlign w:val="center"/>
                </w:tcPr>
                <w:p>
                  <w:pPr>
                    <w:pStyle w:val="39"/>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145" w:type="dxa"/>
                  <w:tcBorders>
                    <w:tl2br w:val="nil"/>
                    <w:tr2bl w:val="nil"/>
                  </w:tcBorders>
                  <w:vAlign w:val="center"/>
                </w:tcPr>
                <w:p>
                  <w:pPr>
                    <w:pStyle w:val="39"/>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u w:val="single" w:color="auto"/>
                      <w:lang w:val="en-US" w:eastAsia="zh-CN"/>
                    </w:rPr>
                    <w:t>5瓶，500ml/瓶</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2</w:t>
                  </w:r>
                  <w:r>
                    <w:rPr>
                      <w:rFonts w:hint="default" w:ascii="Times New Roman" w:hAnsi="Times New Roman" w:eastAsia="宋体" w:cs="Times New Roman"/>
                    </w:rPr>
                    <w:t>瓶</w:t>
                  </w:r>
                </w:p>
              </w:tc>
              <w:tc>
                <w:tcPr>
                  <w:tcW w:w="1103" w:type="pct"/>
                  <w:tcBorders>
                    <w:tl2br w:val="nil"/>
                    <w:tr2bl w:val="nil"/>
                  </w:tcBorders>
                  <w:vAlign w:val="center"/>
                </w:tcPr>
                <w:p>
                  <w:pPr>
                    <w:pStyle w:val="70"/>
                    <w:bidi w:val="0"/>
                    <w:ind w:firstLine="0" w:firstLineChars="0"/>
                    <w:rPr>
                      <w:rFonts w:hint="default" w:ascii="Times New Roman" w:hAnsi="Times New Roman" w:eastAsia="宋体" w:cs="Times New Roman"/>
                      <w:highlight w:val="none"/>
                      <w:u w:val="single" w:color="auto"/>
                      <w:lang w:val="en-US" w:eastAsia="zh-CN"/>
                    </w:rPr>
                  </w:pPr>
                  <w:r>
                    <w:rPr>
                      <w:rFonts w:hint="default" w:ascii="Times New Roman" w:hAnsi="Times New Roman" w:eastAsia="宋体" w:cs="Times New Roman"/>
                      <w:highlight w:val="none"/>
                      <w:u w:val="single" w:color="auto"/>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000" w:type="pct"/>
                  <w:gridSpan w:val="7"/>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四、</w:t>
                  </w:r>
                  <w:r>
                    <w:rPr>
                      <w:rFonts w:hint="default" w:ascii="Times New Roman" w:hAnsi="Times New Roman" w:eastAsia="宋体" w:cs="Times New Roman"/>
                      <w:u w:val="single" w:color="auto"/>
                      <w:lang w:eastAsia="zh-CN"/>
                    </w:rPr>
                    <w:t>能源</w:t>
                  </w:r>
                  <w:r>
                    <w:rPr>
                      <w:rFonts w:hint="default" w:ascii="Times New Roman" w:hAnsi="Times New Roman" w:eastAsia="宋体" w:cs="Times New Roman"/>
                      <w:u w:val="single" w:color="auto"/>
                      <w:lang w:val="en-US" w:eastAsia="zh-CN"/>
                    </w:rPr>
                    <w:t>及其他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58" w:type="pct"/>
                  <w:tcBorders>
                    <w:tl2br w:val="nil"/>
                    <w:tr2bl w:val="nil"/>
                  </w:tcBorders>
                  <w:vAlign w:val="center"/>
                </w:tcPr>
                <w:p>
                  <w:pPr>
                    <w:pStyle w:val="70"/>
                    <w:bidi w:val="0"/>
                    <w:rPr>
                      <w:rFonts w:hint="default" w:ascii="Times New Roman" w:hAnsi="Times New Roman" w:eastAsia="宋体" w:cs="Times New Roman"/>
                      <w:u w:val="single" w:color="auto"/>
                      <w:lang w:eastAsia="zh-CN"/>
                    </w:rPr>
                  </w:pPr>
                  <w:r>
                    <w:rPr>
                      <w:rFonts w:hint="default" w:ascii="Times New Roman" w:hAnsi="Times New Roman" w:eastAsia="宋体" w:cs="Times New Roman"/>
                      <w:u w:val="single" w:color="auto"/>
                      <w:lang w:val="en-US" w:eastAsia="zh-CN"/>
                    </w:rPr>
                    <w:t>1</w:t>
                  </w:r>
                </w:p>
              </w:tc>
              <w:tc>
                <w:tcPr>
                  <w:tcW w:w="729" w:type="pct"/>
                  <w:tcBorders>
                    <w:tl2br w:val="nil"/>
                    <w:tr2bl w:val="nil"/>
                  </w:tcBorders>
                  <w:vAlign w:val="center"/>
                </w:tcPr>
                <w:p>
                  <w:pPr>
                    <w:pStyle w:val="70"/>
                    <w:bidi w:val="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电</w:t>
                  </w:r>
                </w:p>
              </w:tc>
              <w:tc>
                <w:tcPr>
                  <w:tcW w:w="533" w:type="pct"/>
                  <w:tcBorders>
                    <w:tl2br w:val="nil"/>
                    <w:tr2bl w:val="nil"/>
                  </w:tcBorders>
                  <w:vAlign w:val="center"/>
                </w:tcPr>
                <w:p>
                  <w:pPr>
                    <w:pStyle w:val="70"/>
                    <w:bidi w:val="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度/年</w:t>
                  </w:r>
                </w:p>
              </w:tc>
              <w:tc>
                <w:tcPr>
                  <w:tcW w:w="691" w:type="pct"/>
                  <w:tcBorders>
                    <w:tl2br w:val="nil"/>
                    <w:tr2bl w:val="nil"/>
                  </w:tcBorders>
                  <w:vAlign w:val="center"/>
                </w:tcPr>
                <w:p>
                  <w:pPr>
                    <w:pStyle w:val="70"/>
                    <w:bidi w:val="0"/>
                    <w:rPr>
                      <w:rFonts w:hint="default" w:ascii="Times New Roman" w:hAnsi="Times New Roman" w:eastAsia="宋体" w:cs="Times New Roman"/>
                      <w:u w:val="single" w:color="auto"/>
                    </w:rPr>
                  </w:pPr>
                  <w:r>
                    <w:rPr>
                      <w:rFonts w:hint="default" w:ascii="Times New Roman" w:hAnsi="Times New Roman" w:eastAsia="宋体" w:cs="Times New Roman"/>
                      <w:u w:val="single" w:color="auto"/>
                      <w:lang w:val="en-US" w:eastAsia="zh-CN"/>
                    </w:rPr>
                    <w:t>100万</w:t>
                  </w:r>
                  <w:r>
                    <w:rPr>
                      <w:rFonts w:hint="default" w:ascii="Times New Roman" w:hAnsi="Times New Roman" w:eastAsia="宋体" w:cs="Times New Roman"/>
                      <w:u w:val="single" w:color="auto"/>
                    </w:rPr>
                    <w:t>KW.h/a</w:t>
                  </w:r>
                </w:p>
              </w:tc>
              <w:tc>
                <w:tcPr>
                  <w:tcW w:w="649"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20万</w:t>
                  </w:r>
                  <w:r>
                    <w:rPr>
                      <w:rFonts w:hint="default" w:ascii="Times New Roman" w:hAnsi="Times New Roman" w:eastAsia="宋体" w:cs="Times New Roman"/>
                      <w:u w:val="single" w:color="auto"/>
                    </w:rPr>
                    <w:t>KW.h/a</w:t>
                  </w:r>
                </w:p>
              </w:tc>
              <w:tc>
                <w:tcPr>
                  <w:tcW w:w="936"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1103"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58" w:type="pct"/>
                  <w:tcBorders>
                    <w:tl2br w:val="nil"/>
                    <w:tr2bl w:val="nil"/>
                  </w:tcBorders>
                  <w:vAlign w:val="center"/>
                </w:tcPr>
                <w:p>
                  <w:pPr>
                    <w:pStyle w:val="70"/>
                    <w:bidi w:val="0"/>
                    <w:rPr>
                      <w:rFonts w:hint="default" w:ascii="Times New Roman" w:hAnsi="Times New Roman" w:eastAsia="宋体" w:cs="Times New Roman"/>
                      <w:u w:val="single" w:color="auto"/>
                      <w:lang w:eastAsia="zh-CN"/>
                    </w:rPr>
                  </w:pPr>
                  <w:r>
                    <w:rPr>
                      <w:rFonts w:hint="default" w:ascii="Times New Roman" w:hAnsi="Times New Roman" w:eastAsia="宋体" w:cs="Times New Roman"/>
                      <w:u w:val="single" w:color="auto"/>
                      <w:lang w:val="en-US" w:eastAsia="zh-CN"/>
                    </w:rPr>
                    <w:t>2</w:t>
                  </w:r>
                </w:p>
              </w:tc>
              <w:tc>
                <w:tcPr>
                  <w:tcW w:w="729" w:type="pct"/>
                  <w:tcBorders>
                    <w:tl2br w:val="nil"/>
                    <w:tr2bl w:val="nil"/>
                  </w:tcBorders>
                  <w:vAlign w:val="center"/>
                </w:tcPr>
                <w:p>
                  <w:pPr>
                    <w:pStyle w:val="70"/>
                    <w:bidi w:val="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水</w:t>
                  </w:r>
                </w:p>
              </w:tc>
              <w:tc>
                <w:tcPr>
                  <w:tcW w:w="533" w:type="pct"/>
                  <w:tcBorders>
                    <w:tl2br w:val="nil"/>
                    <w:tr2bl w:val="nil"/>
                  </w:tcBorders>
                  <w:vAlign w:val="center"/>
                </w:tcPr>
                <w:p>
                  <w:pPr>
                    <w:pStyle w:val="70"/>
                    <w:bidi w:val="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29022</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14840.6</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i w:val="0"/>
                      <w:iCs w:val="0"/>
                      <w:color w:val="000000"/>
                      <w:kern w:val="0"/>
                      <w:sz w:val="21"/>
                      <w:szCs w:val="21"/>
                      <w:u w:val="single" w:color="auto"/>
                      <w:lang w:val="en-US" w:eastAsia="zh-CN" w:bidi="ar"/>
                    </w:rPr>
                    <w:t>/</w:t>
                  </w:r>
                </w:p>
              </w:tc>
              <w:tc>
                <w:tcPr>
                  <w:tcW w:w="1103"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来自</w:t>
                  </w:r>
                  <w:r>
                    <w:rPr>
                      <w:rFonts w:hint="default" w:ascii="Times New Roman" w:hAnsi="Times New Roman" w:eastAsia="宋体" w:cs="Times New Roman"/>
                      <w:u w:val="single" w:color="auto"/>
                      <w:lang w:val="en-US" w:eastAsia="zh-CN"/>
                    </w:rPr>
                    <w:t>市政自来水以及对面水厂产生的山泉水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358"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w:t>
                  </w:r>
                </w:p>
              </w:tc>
              <w:tc>
                <w:tcPr>
                  <w:tcW w:w="729"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柴油</w:t>
                  </w:r>
                </w:p>
              </w:tc>
              <w:tc>
                <w:tcPr>
                  <w:tcW w:w="533"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0.085</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0.085</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40kg</w:t>
                  </w:r>
                </w:p>
              </w:tc>
              <w:tc>
                <w:tcPr>
                  <w:tcW w:w="1103" w:type="pct"/>
                  <w:tcBorders>
                    <w:tl2br w:val="nil"/>
                    <w:tr2bl w:val="nil"/>
                  </w:tcBorders>
                  <w:vAlign w:val="center"/>
                </w:tcPr>
                <w:p>
                  <w:pPr>
                    <w:pStyle w:val="70"/>
                    <w:bidi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附近加油站购买，暂存于备用柴油发电机中的油箱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8"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w:t>
                  </w:r>
                </w:p>
              </w:tc>
              <w:tc>
                <w:tcPr>
                  <w:tcW w:w="729"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生物质燃料</w:t>
                  </w:r>
                </w:p>
              </w:tc>
              <w:tc>
                <w:tcPr>
                  <w:tcW w:w="533" w:type="pct"/>
                  <w:tcBorders>
                    <w:tl2br w:val="nil"/>
                    <w:tr2bl w:val="nil"/>
                  </w:tcBorders>
                  <w:vAlign w:val="center"/>
                </w:tcPr>
                <w:p>
                  <w:pPr>
                    <w:pStyle w:val="70"/>
                    <w:bidi w:val="0"/>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吨/年</w:t>
                  </w:r>
                </w:p>
              </w:tc>
              <w:tc>
                <w:tcPr>
                  <w:tcW w:w="691"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300</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3t</w:t>
                  </w:r>
                </w:p>
              </w:tc>
              <w:tc>
                <w:tcPr>
                  <w:tcW w:w="1103"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外购</w:t>
                  </w:r>
                  <w:r>
                    <w:rPr>
                      <w:rFonts w:hint="default" w:ascii="Times New Roman" w:hAnsi="Times New Roman" w:eastAsia="宋体" w:cs="Times New Roman"/>
                      <w:u w:val="single" w:color="auto"/>
                      <w:lang w:eastAsia="zh-CN"/>
                    </w:rPr>
                    <w:t>，</w:t>
                  </w:r>
                  <w:r>
                    <w:rPr>
                      <w:rFonts w:hint="default" w:ascii="Times New Roman" w:hAnsi="Times New Roman" w:eastAsia="宋体" w:cs="Times New Roman"/>
                      <w:u w:val="single" w:color="auto"/>
                      <w:lang w:val="en-US" w:eastAsia="zh-CN"/>
                    </w:rPr>
                    <w:t>25kg/袋装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8"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w:t>
                  </w:r>
                </w:p>
              </w:tc>
              <w:tc>
                <w:tcPr>
                  <w:tcW w:w="729"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反渗透膜</w:t>
                  </w:r>
                </w:p>
              </w:tc>
              <w:tc>
                <w:tcPr>
                  <w:tcW w:w="533"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91"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649"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936" w:type="pct"/>
                  <w:tcBorders>
                    <w:tl2br w:val="nil"/>
                    <w:tr2bl w:val="nil"/>
                  </w:tcBorders>
                  <w:vAlign w:val="center"/>
                </w:tcPr>
                <w:p>
                  <w:pPr>
                    <w:pStyle w:val="70"/>
                    <w:bidi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w:t>
                  </w:r>
                </w:p>
              </w:tc>
              <w:tc>
                <w:tcPr>
                  <w:tcW w:w="1103" w:type="pct"/>
                  <w:tcBorders>
                    <w:tl2br w:val="nil"/>
                    <w:tr2bl w:val="nil"/>
                  </w:tcBorders>
                  <w:vAlign w:val="center"/>
                </w:tcPr>
                <w:p>
                  <w:pPr>
                    <w:pStyle w:val="70"/>
                    <w:bidi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用于纯水的制备，用量无法准确估计</w:t>
                  </w:r>
                </w:p>
              </w:tc>
            </w:tr>
          </w:tbl>
          <w:p>
            <w:pPr>
              <w:pStyle w:val="12"/>
              <w:rPr>
                <w:rFonts w:hint="default" w:ascii="Times New Roman" w:hAnsi="Times New Roman" w:cs="Times New Roman"/>
                <w:u w:val="none" w:color="auto"/>
                <w:lang w:val="en-US"/>
              </w:rPr>
            </w:pPr>
            <w:r>
              <w:rPr>
                <w:rFonts w:hint="default" w:ascii="Times New Roman" w:hAnsi="Times New Roman" w:cs="Times New Roman"/>
                <w:u w:val="none" w:color="auto"/>
                <w:lang w:val="en-US"/>
              </w:rPr>
              <w:t>产品存放要求：评价要求项目原料购买、储存、使用均须依照《中华人民共和国食品安全法》中的相关条例进行；产品的存放要分离，严防交叉感染 ，成品要冷藏，防变质；成品车间的洗手和消毒要规范，洗手、消毒设施须按照相关标准建设</w:t>
            </w:r>
            <w:r>
              <w:rPr>
                <w:rFonts w:hint="default" w:ascii="Times New Roman" w:hAnsi="Times New Roman" w:cs="Times New Roman"/>
                <w:u w:val="none" w:color="auto"/>
                <w:lang w:val="en-US" w:eastAsia="zh-CN"/>
              </w:rPr>
              <w:t>；</w:t>
            </w:r>
            <w:r>
              <w:rPr>
                <w:rFonts w:hint="default" w:ascii="Times New Roman" w:hAnsi="Times New Roman" w:cs="Times New Roman"/>
                <w:u w:val="none" w:color="auto"/>
              </w:rPr>
              <w:t>原料的购买要有质检报告，并备案存档</w:t>
            </w:r>
            <w:r>
              <w:rPr>
                <w:rFonts w:hint="default" w:ascii="Times New Roman" w:hAnsi="Times New Roman" w:cs="Times New Roman"/>
                <w:u w:val="none" w:color="auto"/>
                <w:lang w:eastAsia="zh-CN"/>
              </w:rPr>
              <w:t>；</w:t>
            </w:r>
            <w:r>
              <w:rPr>
                <w:rFonts w:hint="default" w:ascii="Times New Roman" w:hAnsi="Times New Roman" w:cs="Times New Roman"/>
                <w:u w:val="none" w:color="auto"/>
              </w:rPr>
              <w:t>原料的存放要防潮、防霉、防虫、防鼠等，确保食品安全</w:t>
            </w:r>
            <w:r>
              <w:rPr>
                <w:rFonts w:hint="default" w:ascii="Times New Roman" w:hAnsi="Times New Roman" w:cs="Times New Roman"/>
                <w:u w:val="none" w:color="auto"/>
                <w:lang w:val="en-US"/>
              </w:rPr>
              <w:t>。</w:t>
            </w:r>
          </w:p>
          <w:p>
            <w:pPr>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rPr>
              <w:t>本项目所使用生物质颗粒燃料性能情况如下表</w:t>
            </w:r>
            <w:r>
              <w:rPr>
                <w:rFonts w:hint="default" w:ascii="Times New Roman" w:hAnsi="Times New Roman" w:cs="Times New Roman"/>
                <w:u w:val="none" w:color="auto"/>
                <w:lang w:val="en-US" w:eastAsia="zh-CN"/>
              </w:rPr>
              <w:t>：</w:t>
            </w:r>
          </w:p>
          <w:p>
            <w:pPr>
              <w:pStyle w:val="25"/>
              <w:rPr>
                <w:rFonts w:hint="eastAsia" w:ascii="Times New Roman" w:hAnsi="Times New Roman" w:eastAsia="宋体" w:cs="Times New Roman"/>
                <w:highlight w:val="none"/>
                <w:u w:val="none" w:color="auto"/>
                <w:lang w:val="en-US" w:eastAsia="zh-CN"/>
              </w:rPr>
            </w:pPr>
            <w:r>
              <w:rPr>
                <w:rFonts w:ascii="Times New Roman" w:hAnsi="Times New Roman" w:cs="Times New Roman"/>
                <w:highlight w:val="none"/>
                <w:u w:val="none" w:color="auto"/>
              </w:rPr>
              <w:t>表</w:t>
            </w:r>
            <w:r>
              <w:rPr>
                <w:rFonts w:hint="default" w:ascii="Times New Roman" w:hAnsi="Times New Roman" w:cs="Times New Roman"/>
                <w:highlight w:val="none"/>
                <w:u w:val="none" w:color="auto"/>
                <w:lang w:val="en-US"/>
              </w:rPr>
              <w:t>2</w:t>
            </w:r>
            <w:r>
              <w:rPr>
                <w:rFonts w:hint="default" w:ascii="Times New Roman" w:hAnsi="Times New Roman" w:cs="Times New Roman"/>
                <w:highlight w:val="none"/>
                <w:u w:val="none" w:color="auto"/>
                <w:lang w:val="en-US" w:eastAsia="zh-CN"/>
              </w:rPr>
              <w:t>.4</w:t>
            </w:r>
            <w:r>
              <w:rPr>
                <w:rFonts w:hint="default" w:ascii="Times New Roman" w:hAnsi="Times New Roman" w:cs="Times New Roman"/>
                <w:highlight w:val="none"/>
                <w:u w:val="none" w:color="auto"/>
                <w:lang w:val="en-US"/>
              </w:rPr>
              <w:t>-</w:t>
            </w:r>
            <w:r>
              <w:rPr>
                <w:rFonts w:hint="eastAsia" w:ascii="Times New Roman" w:hAnsi="Times New Roman" w:cs="Times New Roman"/>
                <w:highlight w:val="none"/>
                <w:u w:val="none" w:color="auto"/>
                <w:lang w:val="en-US" w:eastAsia="zh-CN"/>
              </w:rPr>
              <w:t>7</w:t>
            </w:r>
            <w:r>
              <w:rPr>
                <w:rFonts w:hint="default" w:ascii="Times New Roman" w:hAnsi="Times New Roman" w:cs="Times New Roman"/>
                <w:highlight w:val="none"/>
                <w:u w:val="none" w:color="auto"/>
              </w:rPr>
              <w:t>：</w:t>
            </w:r>
            <w:r>
              <w:rPr>
                <w:rFonts w:hint="default" w:ascii="Times New Roman" w:hAnsi="Times New Roman" w:cs="Times New Roman"/>
                <w:highlight w:val="none"/>
                <w:u w:val="none" w:color="auto"/>
                <w:lang w:val="en-US"/>
              </w:rPr>
              <w:t>生物质颗粒燃料性能</w:t>
            </w:r>
            <w:r>
              <w:rPr>
                <w:rFonts w:hint="eastAsia" w:cs="Times New Roman"/>
                <w:highlight w:val="none"/>
                <w:u w:val="none" w:color="auto"/>
                <w:lang w:val="en-US" w:eastAsia="zh-CN"/>
              </w:rPr>
              <w:t>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2468"/>
              <w:gridCol w:w="2091"/>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b/>
                      <w:bCs/>
                      <w:sz w:val="21"/>
                      <w:szCs w:val="21"/>
                      <w:u w:val="none" w:color="auto"/>
                      <w:vertAlign w:val="baseline"/>
                      <w:lang w:val="en-US"/>
                    </w:rPr>
                  </w:pPr>
                  <w:r>
                    <w:rPr>
                      <w:rFonts w:hint="default" w:ascii="Times New Roman" w:hAnsi="Times New Roman" w:cs="Times New Roman"/>
                      <w:b/>
                      <w:bCs/>
                      <w:sz w:val="21"/>
                      <w:szCs w:val="21"/>
                      <w:u w:val="none" w:color="auto"/>
                      <w:vertAlign w:val="baseline"/>
                      <w:lang w:val="en-US" w:eastAsia="zh-CN"/>
                    </w:rPr>
                    <w:t>序号</w:t>
                  </w:r>
                </w:p>
              </w:tc>
              <w:tc>
                <w:tcPr>
                  <w:tcW w:w="2468" w:type="dxa"/>
                  <w:vAlign w:val="center"/>
                </w:tcPr>
                <w:p>
                  <w:pPr>
                    <w:spacing w:line="240" w:lineRule="auto"/>
                    <w:ind w:firstLine="0" w:firstLineChars="0"/>
                    <w:jc w:val="center"/>
                    <w:rPr>
                      <w:rFonts w:hint="default" w:ascii="Times New Roman" w:hAnsi="Times New Roman" w:cs="Times New Roman"/>
                      <w:b/>
                      <w:bCs/>
                      <w:sz w:val="21"/>
                      <w:szCs w:val="21"/>
                      <w:u w:val="none" w:color="auto"/>
                      <w:vertAlign w:val="baseline"/>
                      <w:lang w:val="en-US"/>
                    </w:rPr>
                  </w:pPr>
                  <w:r>
                    <w:rPr>
                      <w:rFonts w:hint="default" w:ascii="Times New Roman" w:hAnsi="Times New Roman" w:cs="Times New Roman"/>
                      <w:b/>
                      <w:bCs/>
                      <w:sz w:val="21"/>
                      <w:szCs w:val="21"/>
                      <w:u w:val="none" w:color="auto"/>
                      <w:vertAlign w:val="baseline"/>
                      <w:lang w:val="en-US" w:eastAsia="zh-CN"/>
                    </w:rPr>
                    <w:t>项目名称</w:t>
                  </w:r>
                </w:p>
              </w:tc>
              <w:tc>
                <w:tcPr>
                  <w:tcW w:w="4183" w:type="dxa"/>
                  <w:gridSpan w:val="2"/>
                  <w:vAlign w:val="center"/>
                </w:tcPr>
                <w:p>
                  <w:pPr>
                    <w:spacing w:line="240" w:lineRule="auto"/>
                    <w:ind w:firstLine="0" w:firstLineChars="0"/>
                    <w:jc w:val="center"/>
                    <w:rPr>
                      <w:rFonts w:hint="default" w:ascii="Times New Roman" w:hAnsi="Times New Roman" w:cs="Times New Roman"/>
                      <w:b/>
                      <w:bCs/>
                      <w:sz w:val="21"/>
                      <w:szCs w:val="21"/>
                      <w:u w:val="none" w:color="auto"/>
                      <w:vertAlign w:val="baseline"/>
                      <w:lang w:val="en-US"/>
                    </w:rPr>
                  </w:pPr>
                  <w:r>
                    <w:rPr>
                      <w:rFonts w:hint="default" w:ascii="Times New Roman" w:hAnsi="Times New Roman" w:cs="Times New Roman"/>
                      <w:b/>
                      <w:bCs/>
                      <w:sz w:val="21"/>
                      <w:szCs w:val="21"/>
                      <w:u w:val="none" w:color="auto"/>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1</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高位发热量Q</w:t>
                  </w:r>
                  <w:r>
                    <w:rPr>
                      <w:rFonts w:hint="default" w:ascii="Times New Roman" w:hAnsi="Times New Roman" w:cs="Times New Roman"/>
                      <w:sz w:val="21"/>
                      <w:szCs w:val="21"/>
                      <w:u w:val="none" w:color="auto"/>
                      <w:vertAlign w:val="subscript"/>
                      <w:lang w:val="en-US" w:eastAsia="zh-CN"/>
                    </w:rPr>
                    <w:t>gr，v，ab</w:t>
                  </w:r>
                </w:p>
              </w:tc>
              <w:tc>
                <w:tcPr>
                  <w:tcW w:w="2091"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18.029（MJ/kg）</w:t>
                  </w:r>
                </w:p>
              </w:tc>
              <w:tc>
                <w:tcPr>
                  <w:tcW w:w="2092"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4312（cal/g）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2</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低位发热量Q</w:t>
                  </w:r>
                  <w:r>
                    <w:rPr>
                      <w:rFonts w:hint="default" w:ascii="Times New Roman" w:hAnsi="Times New Roman" w:cs="Times New Roman"/>
                      <w:sz w:val="21"/>
                      <w:szCs w:val="21"/>
                      <w:u w:val="none" w:color="auto"/>
                      <w:vertAlign w:val="subscript"/>
                      <w:lang w:val="en-US" w:eastAsia="zh-CN"/>
                    </w:rPr>
                    <w:t>net，v，ar</w:t>
                  </w:r>
                </w:p>
              </w:tc>
              <w:tc>
                <w:tcPr>
                  <w:tcW w:w="2091"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17.396（MJ/kg）</w:t>
                  </w:r>
                </w:p>
              </w:tc>
              <w:tc>
                <w:tcPr>
                  <w:tcW w:w="2092"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4160（cal/g）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3</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内水分</w:t>
                  </w:r>
                </w:p>
              </w:tc>
              <w:tc>
                <w:tcPr>
                  <w:tcW w:w="4183" w:type="dxa"/>
                  <w:gridSpan w:val="2"/>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4</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外水分</w:t>
                  </w:r>
                </w:p>
              </w:tc>
              <w:tc>
                <w:tcPr>
                  <w:tcW w:w="4183" w:type="dxa"/>
                  <w:gridSpan w:val="2"/>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5</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全水分</w:t>
                  </w:r>
                </w:p>
              </w:tc>
              <w:tc>
                <w:tcPr>
                  <w:tcW w:w="4183" w:type="dxa"/>
                  <w:gridSpan w:val="2"/>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6</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基硫质量分数</w:t>
                  </w:r>
                </w:p>
              </w:tc>
              <w:tc>
                <w:tcPr>
                  <w:tcW w:w="4183" w:type="dxa"/>
                  <w:gridSpan w:val="2"/>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0.0</w:t>
                  </w:r>
                  <w:r>
                    <w:rPr>
                      <w:rFonts w:hint="eastAsia" w:ascii="Times New Roman" w:hAnsi="Times New Roman" w:cs="Times New Roman"/>
                      <w:sz w:val="21"/>
                      <w:szCs w:val="21"/>
                      <w:u w:val="none" w:color="auto"/>
                      <w:vertAlign w:val="baseline"/>
                      <w:lang w:val="en-US" w:eastAsia="zh-CN"/>
                    </w:rPr>
                    <w:t>3</w:t>
                  </w:r>
                  <w:r>
                    <w:rPr>
                      <w:rFonts w:hint="default" w:ascii="Times New Roman" w:hAnsi="Times New Roman" w:cs="Times New Roman"/>
                      <w:sz w:val="21"/>
                      <w:szCs w:val="21"/>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7</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挥发分</w:t>
                  </w:r>
                </w:p>
              </w:tc>
              <w:tc>
                <w:tcPr>
                  <w:tcW w:w="4183" w:type="dxa"/>
                  <w:gridSpan w:val="2"/>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ascii="Times New Roman" w:hAnsi="Times New Roman" w:cs="Times New Roman"/>
                      <w:sz w:val="21"/>
                      <w:szCs w:val="21"/>
                      <w:u w:val="none" w:color="auto"/>
                      <w:vertAlign w:val="baseline"/>
                      <w:lang w:val="en-US" w:eastAsia="zh-CN"/>
                    </w:rPr>
                    <w:t>74.23</w:t>
                  </w:r>
                  <w:r>
                    <w:rPr>
                      <w:rFonts w:hint="default" w:ascii="Times New Roman" w:hAnsi="Times New Roman" w:cs="Times New Roman"/>
                      <w:sz w:val="21"/>
                      <w:szCs w:val="21"/>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8</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灰发</w:t>
                  </w:r>
                </w:p>
              </w:tc>
              <w:tc>
                <w:tcPr>
                  <w:tcW w:w="4183" w:type="dxa"/>
                  <w:gridSpan w:val="2"/>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ascii="Times New Roman" w:hAnsi="Times New Roman" w:cs="Times New Roman"/>
                      <w:sz w:val="21"/>
                      <w:szCs w:val="21"/>
                      <w:u w:val="none" w:color="auto"/>
                      <w:vertAlign w:val="baseline"/>
                      <w:lang w:val="en-US" w:eastAsia="zh-CN"/>
                    </w:rPr>
                    <w:t>5</w:t>
                  </w:r>
                  <w:r>
                    <w:rPr>
                      <w:rFonts w:hint="default" w:ascii="Times New Roman" w:hAnsi="Times New Roman" w:cs="Times New Roman"/>
                      <w:sz w:val="21"/>
                      <w:szCs w:val="21"/>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9</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固定碳</w:t>
                  </w:r>
                </w:p>
              </w:tc>
              <w:tc>
                <w:tcPr>
                  <w:tcW w:w="4183" w:type="dxa"/>
                  <w:gridSpan w:val="2"/>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07"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eastAsia" w:cs="Times New Roman"/>
                      <w:sz w:val="21"/>
                      <w:szCs w:val="21"/>
                      <w:u w:val="none" w:color="auto"/>
                      <w:vertAlign w:val="baseline"/>
                      <w:lang w:val="en-US" w:eastAsia="zh-CN"/>
                    </w:rPr>
                    <w:t>10</w:t>
                  </w:r>
                </w:p>
              </w:tc>
              <w:tc>
                <w:tcPr>
                  <w:tcW w:w="2468" w:type="dxa"/>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焦渣特征</w:t>
                  </w:r>
                </w:p>
              </w:tc>
              <w:tc>
                <w:tcPr>
                  <w:tcW w:w="4183" w:type="dxa"/>
                  <w:gridSpan w:val="2"/>
                  <w:vAlign w:val="center"/>
                </w:tcPr>
                <w:p>
                  <w:pPr>
                    <w:spacing w:line="240" w:lineRule="auto"/>
                    <w:ind w:firstLine="0" w:firstLineChars="0"/>
                    <w:jc w:val="center"/>
                    <w:rPr>
                      <w:rFonts w:hint="default" w:ascii="Times New Roman" w:hAnsi="Times New Roman" w:cs="Times New Roman"/>
                      <w:sz w:val="21"/>
                      <w:szCs w:val="21"/>
                      <w:u w:val="none" w:color="auto"/>
                      <w:vertAlign w:val="baseline"/>
                      <w:lang w:val="en-US"/>
                    </w:rPr>
                  </w:pPr>
                  <w:r>
                    <w:rPr>
                      <w:rFonts w:hint="default" w:ascii="Times New Roman" w:hAnsi="Times New Roman" w:cs="Times New Roman"/>
                      <w:sz w:val="21"/>
                      <w:szCs w:val="21"/>
                      <w:u w:val="none" w:color="auto"/>
                      <w:vertAlign w:val="baseline"/>
                      <w:lang w:val="en-US" w:eastAsia="zh-CN"/>
                    </w:rPr>
                    <w:t>2</w:t>
                  </w:r>
                </w:p>
              </w:tc>
            </w:tr>
          </w:tbl>
          <w:p>
            <w:pPr>
              <w:pStyle w:val="6"/>
              <w:bidi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2.4.4</w:t>
            </w:r>
            <w:r>
              <w:rPr>
                <w:rFonts w:hint="default" w:ascii="Times New Roman" w:hAnsi="Times New Roman" w:cs="Times New Roman"/>
                <w:u w:val="none" w:color="auto"/>
              </w:rPr>
              <w:t>生产车间环境要求</w:t>
            </w:r>
          </w:p>
          <w:p>
            <w:pPr>
              <w:bidi w:val="0"/>
              <w:rPr>
                <w:rFonts w:hint="default" w:ascii="Times New Roman" w:hAnsi="Times New Roman" w:cs="Times New Roman"/>
                <w:u w:val="none" w:color="auto"/>
              </w:rPr>
            </w:pPr>
            <w:r>
              <w:rPr>
                <w:rFonts w:hint="default" w:ascii="Times New Roman" w:hAnsi="Times New Roman" w:cs="Times New Roman"/>
                <w:u w:val="none" w:color="auto"/>
              </w:rPr>
              <w:t>根据本项目的生产内容，结合《食品工业洁净用房建筑技术规范》，项目上的生产车间做到生产用房温度应为18~26℃，相对湿度应为30~70%。生产车间的工艺平面应与工艺要求的洁净用房等级相适应，能最大程度地防止食品、食品接触面和食品包装受到污染。原料、半成品、成品、生食和熟食应在各自独立的有完整分隔的生产区内加工作制作</w:t>
            </w:r>
            <w:r>
              <w:rPr>
                <w:rFonts w:hint="default" w:ascii="Times New Roman" w:hAnsi="Times New Roman" w:cs="Times New Roman"/>
                <w:u w:val="none" w:color="auto"/>
                <w:lang w:eastAsia="zh-CN"/>
              </w:rPr>
              <w:t>；</w:t>
            </w:r>
            <w:r>
              <w:rPr>
                <w:rFonts w:hint="default" w:ascii="Times New Roman" w:hAnsi="Times New Roman" w:cs="Times New Roman"/>
                <w:u w:val="none" w:color="auto"/>
              </w:rPr>
              <w:t>不同洁净区的生产人员进出路线应严格分开。</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4.5</w:t>
            </w:r>
            <w:r>
              <w:rPr>
                <w:rFonts w:hint="default" w:ascii="Times New Roman" w:hAnsi="Times New Roman" w:cs="Times New Roman"/>
                <w:u w:val="none" w:color="auto"/>
                <w:lang w:val="en-US"/>
              </w:rPr>
              <w:t>工程建设进度、劳动定员及工作制度</w:t>
            </w:r>
          </w:p>
          <w:p>
            <w:pPr>
              <w:pStyle w:val="8"/>
              <w:keepNext w:val="0"/>
              <w:keepLines w:val="0"/>
              <w:wordWrap/>
              <w:overflowPunct w:val="0"/>
              <w:topLinePunct w:val="0"/>
              <w:autoSpaceDE w:val="0"/>
              <w:autoSpaceDN w:val="0"/>
              <w:ind w:firstLine="482"/>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4.5</w:t>
            </w:r>
            <w:r>
              <w:rPr>
                <w:rFonts w:hint="default" w:ascii="Times New Roman" w:hAnsi="Times New Roman" w:cs="Times New Roman"/>
                <w:u w:val="none" w:color="auto"/>
                <w:lang w:val="en-US"/>
              </w:rPr>
              <w:t>.1工程建设进度</w:t>
            </w:r>
          </w:p>
          <w:p>
            <w:pPr>
              <w:wordWrap/>
              <w:overflowPunct w:val="0"/>
              <w:topLinePunct w:val="0"/>
              <w:autoSpaceDE w:val="0"/>
              <w:autoSpaceDN w:val="0"/>
              <w:ind w:firstLine="480"/>
              <w:rPr>
                <w:rFonts w:ascii="Times New Roman" w:hAnsi="Times New Roman" w:cs="Times New Roman"/>
                <w:u w:val="none" w:color="auto"/>
                <w:lang w:val="en-US"/>
              </w:rPr>
            </w:pPr>
            <w:r>
              <w:rPr>
                <w:rFonts w:hint="default" w:ascii="Times New Roman" w:hAnsi="Times New Roman" w:cs="Times New Roman"/>
                <w:u w:val="none" w:color="auto"/>
              </w:rPr>
              <w:t>本工程</w:t>
            </w:r>
            <w:r>
              <w:rPr>
                <w:rFonts w:hint="eastAsia" w:cs="Times New Roman"/>
                <w:u w:val="none" w:color="auto"/>
                <w:lang w:val="en-US" w:eastAsia="zh-CN"/>
              </w:rPr>
              <w:t>主体工程已建成，其中锅炉房设备尚未进场，</w:t>
            </w:r>
            <w:r>
              <w:rPr>
                <w:rFonts w:hint="default" w:ascii="Times New Roman" w:hAnsi="Times New Roman" w:cs="Times New Roman"/>
                <w:u w:val="none" w:color="auto"/>
                <w:lang w:val="en-US"/>
              </w:rPr>
              <w:t>预计202</w:t>
            </w:r>
            <w:r>
              <w:rPr>
                <w:rFonts w:hint="default" w:ascii="Times New Roman" w:hAnsi="Times New Roman" w:cs="Times New Roman"/>
                <w:u w:val="none" w:color="auto"/>
                <w:lang w:val="en-US" w:eastAsia="zh-CN"/>
              </w:rPr>
              <w:t>3</w:t>
            </w:r>
            <w:r>
              <w:rPr>
                <w:rFonts w:hint="default" w:ascii="Times New Roman" w:hAnsi="Times New Roman" w:cs="Times New Roman"/>
                <w:u w:val="none" w:color="auto"/>
                <w:lang w:val="en-US"/>
              </w:rPr>
              <w:t>年</w:t>
            </w:r>
            <w:r>
              <w:rPr>
                <w:rFonts w:hint="default" w:ascii="Times New Roman" w:hAnsi="Times New Roman" w:cs="Times New Roman"/>
                <w:u w:val="none" w:color="auto"/>
                <w:lang w:val="en-US" w:eastAsia="zh-CN"/>
              </w:rPr>
              <w:t>1</w:t>
            </w:r>
            <w:r>
              <w:rPr>
                <w:rFonts w:hint="eastAsia" w:cs="Times New Roman"/>
                <w:u w:val="none" w:color="auto"/>
                <w:lang w:val="en-US" w:eastAsia="zh-CN"/>
              </w:rPr>
              <w:t>1</w:t>
            </w:r>
            <w:r>
              <w:rPr>
                <w:rFonts w:hint="default" w:ascii="Times New Roman" w:hAnsi="Times New Roman" w:cs="Times New Roman"/>
                <w:u w:val="none" w:color="auto"/>
                <w:lang w:val="en-US"/>
              </w:rPr>
              <w:t>月</w:t>
            </w:r>
            <w:r>
              <w:rPr>
                <w:rFonts w:hint="eastAsia" w:cs="Times New Roman"/>
                <w:u w:val="none" w:color="auto"/>
                <w:lang w:val="en-US" w:eastAsia="zh-CN"/>
              </w:rPr>
              <w:t>进场安装，进行调试，</w:t>
            </w:r>
            <w:r>
              <w:rPr>
                <w:rFonts w:hint="default" w:ascii="Times New Roman" w:hAnsi="Times New Roman" w:cs="Times New Roman"/>
                <w:u w:val="none" w:color="auto"/>
                <w:lang w:val="en-US"/>
              </w:rPr>
              <w:t>202</w:t>
            </w:r>
            <w:r>
              <w:rPr>
                <w:rFonts w:hint="default" w:ascii="Times New Roman" w:hAnsi="Times New Roman" w:cs="Times New Roman"/>
                <w:u w:val="none" w:color="auto"/>
                <w:lang w:val="en-US" w:eastAsia="zh-CN"/>
              </w:rPr>
              <w:t>3</w:t>
            </w:r>
            <w:r>
              <w:rPr>
                <w:rFonts w:hint="default" w:ascii="Times New Roman" w:hAnsi="Times New Roman" w:cs="Times New Roman"/>
                <w:u w:val="none" w:color="auto"/>
                <w:lang w:val="en-US"/>
              </w:rPr>
              <w:t>年</w:t>
            </w:r>
            <w:r>
              <w:rPr>
                <w:rFonts w:hint="eastAsia" w:cs="Times New Roman"/>
                <w:u w:val="none" w:color="auto"/>
                <w:lang w:val="en-US" w:eastAsia="zh-CN"/>
              </w:rPr>
              <w:t>12</w:t>
            </w:r>
            <w:r>
              <w:rPr>
                <w:rFonts w:hint="default" w:ascii="Times New Roman" w:hAnsi="Times New Roman" w:cs="Times New Roman"/>
                <w:u w:val="none" w:color="auto"/>
                <w:lang w:val="en-US"/>
              </w:rPr>
              <w:t>月</w:t>
            </w:r>
            <w:r>
              <w:rPr>
                <w:rFonts w:hint="default" w:ascii="Times New Roman" w:hAnsi="Times New Roman" w:cs="Times New Roman"/>
                <w:u w:val="none" w:color="auto"/>
                <w:lang w:val="en-US" w:eastAsia="zh-CN"/>
              </w:rPr>
              <w:t>投入生产</w:t>
            </w:r>
            <w:r>
              <w:rPr>
                <w:rFonts w:hint="eastAsia" w:cs="Times New Roman"/>
                <w:u w:val="none" w:color="auto"/>
                <w:lang w:val="en-US" w:eastAsia="zh-CN"/>
              </w:rPr>
              <w:t>，施工工期为1个月</w:t>
            </w:r>
            <w:r>
              <w:rPr>
                <w:rFonts w:hint="default" w:ascii="Times New Roman" w:hAnsi="Times New Roman" w:cs="Times New Roman"/>
                <w:u w:val="none" w:color="auto"/>
                <w:lang w:val="en-US"/>
              </w:rPr>
              <w:t>。</w:t>
            </w:r>
          </w:p>
          <w:p>
            <w:pPr>
              <w:pStyle w:val="8"/>
              <w:keepNext w:val="0"/>
              <w:keepLines w:val="0"/>
              <w:wordWrap/>
              <w:overflowPunct w:val="0"/>
              <w:topLinePunct w:val="0"/>
              <w:autoSpaceDE w:val="0"/>
              <w:autoSpaceDN w:val="0"/>
              <w:ind w:firstLine="482"/>
              <w:rPr>
                <w:rFonts w:ascii="Times New Roman" w:hAnsi="Times New Roman" w:cs="Times New Roman"/>
                <w:u w:val="none" w:color="auto"/>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4.5</w:t>
            </w:r>
            <w:r>
              <w:rPr>
                <w:rFonts w:hint="default" w:ascii="Times New Roman" w:hAnsi="Times New Roman" w:cs="Times New Roman"/>
                <w:u w:val="none" w:color="auto"/>
                <w:lang w:val="en-US"/>
              </w:rPr>
              <w:t>.2劳动定员及工作制度</w:t>
            </w:r>
          </w:p>
          <w:p>
            <w:pPr>
              <w:wordWrap/>
              <w:overflowPunct w:val="0"/>
              <w:topLinePunct w:val="0"/>
              <w:autoSpaceDE w:val="0"/>
              <w:autoSpaceDN w:val="0"/>
              <w:ind w:firstLine="480"/>
              <w:rPr>
                <w:rFonts w:ascii="Times New Roman" w:hAnsi="Times New Roman" w:cs="Times New Roman"/>
                <w:u w:val="none" w:color="auto"/>
                <w:lang w:val="en-US"/>
              </w:rPr>
            </w:pPr>
            <w:r>
              <w:rPr>
                <w:rFonts w:hint="default" w:ascii="Times New Roman" w:hAnsi="Times New Roman" w:cs="Times New Roman"/>
                <w:u w:val="none" w:color="auto"/>
              </w:rPr>
              <w:t>项目运行后，</w:t>
            </w:r>
            <w:r>
              <w:rPr>
                <w:rFonts w:hint="default" w:ascii="Times New Roman" w:hAnsi="Times New Roman" w:cs="Times New Roman"/>
                <w:u w:val="none" w:color="auto"/>
                <w:lang w:val="en-US"/>
              </w:rPr>
              <w:t>项目管理人员及员工共</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val="en-US"/>
              </w:rPr>
              <w:t>0人，运营时间为3</w:t>
            </w:r>
            <w:r>
              <w:rPr>
                <w:rFonts w:hint="default" w:ascii="Times New Roman" w:hAnsi="Times New Roman" w:cs="Times New Roman"/>
                <w:u w:val="none" w:color="auto"/>
                <w:lang w:val="en-US" w:eastAsia="zh-CN"/>
              </w:rPr>
              <w:t>6</w:t>
            </w:r>
            <w:r>
              <w:rPr>
                <w:rFonts w:hint="default" w:ascii="Times New Roman" w:hAnsi="Times New Roman" w:cs="Times New Roman"/>
                <w:u w:val="none" w:color="auto"/>
                <w:lang w:val="en-US"/>
              </w:rPr>
              <w:t>0d/a，每天工作8小时</w:t>
            </w:r>
            <w:r>
              <w:rPr>
                <w:rFonts w:hint="default" w:ascii="Times New Roman" w:hAnsi="Times New Roman" w:cs="Times New Roman"/>
                <w:u w:val="none" w:color="auto"/>
                <w:lang w:val="en-US" w:eastAsia="zh-CN"/>
              </w:rPr>
              <w:t>，湿米粉夜间生产，生产时间为凌晨00:00-08:00，共计8小时</w:t>
            </w:r>
            <w:r>
              <w:rPr>
                <w:rFonts w:hint="default" w:ascii="Times New Roman" w:hAnsi="Times New Roman" w:cs="Times New Roman"/>
                <w:u w:val="none" w:color="auto"/>
                <w:lang w:val="en-US"/>
              </w:rPr>
              <w:t>。员工不在厂区</w:t>
            </w:r>
            <w:r>
              <w:rPr>
                <w:rFonts w:hint="default" w:ascii="Times New Roman" w:hAnsi="Times New Roman" w:cs="Times New Roman"/>
                <w:u w:val="none" w:color="auto"/>
                <w:lang w:val="en-US" w:eastAsia="zh-CN"/>
              </w:rPr>
              <w:t>食宿。</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4.6</w:t>
            </w:r>
            <w:r>
              <w:rPr>
                <w:rFonts w:hint="default" w:ascii="Times New Roman" w:hAnsi="Times New Roman" w:cs="Times New Roman"/>
                <w:u w:val="none" w:color="auto"/>
                <w:lang w:val="en-US"/>
              </w:rPr>
              <w:t>公用工程及配套设施</w:t>
            </w:r>
          </w:p>
          <w:p>
            <w:pPr>
              <w:pStyle w:val="8"/>
              <w:keepNext w:val="0"/>
              <w:keepLines w:val="0"/>
              <w:wordWrap/>
              <w:overflowPunct w:val="0"/>
              <w:topLinePunct w:val="0"/>
              <w:autoSpaceDE w:val="0"/>
              <w:autoSpaceDN w:val="0"/>
              <w:ind w:firstLine="482"/>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4.6</w:t>
            </w:r>
            <w:r>
              <w:rPr>
                <w:rFonts w:hint="default" w:ascii="Times New Roman" w:hAnsi="Times New Roman" w:cs="Times New Roman"/>
                <w:u w:val="none" w:color="auto"/>
                <w:lang w:val="en-US"/>
              </w:rPr>
              <w:t>.1供水</w:t>
            </w:r>
          </w:p>
          <w:p>
            <w:pPr>
              <w:ind w:firstLine="480"/>
              <w:rPr>
                <w:rFonts w:ascii="Times New Roman" w:hAnsi="Times New Roman" w:cs="Times New Roman"/>
                <w:u w:val="none" w:color="auto"/>
                <w:lang w:val="en-US"/>
              </w:rPr>
            </w:pPr>
            <w:r>
              <w:rPr>
                <w:rFonts w:ascii="Times New Roman" w:hAnsi="Times New Roman" w:cs="Times New Roman"/>
                <w:u w:val="none" w:color="auto"/>
                <w:lang w:val="en-US"/>
              </w:rPr>
              <w:t>项目用水主要为员工生活用水、</w:t>
            </w:r>
            <w:r>
              <w:rPr>
                <w:rFonts w:hint="default" w:ascii="Times New Roman" w:hAnsi="Times New Roman" w:cs="Times New Roman"/>
                <w:u w:val="none" w:color="auto"/>
                <w:lang w:eastAsia="zh-CN"/>
              </w:rPr>
              <w:t>米粉</w:t>
            </w:r>
            <w:r>
              <w:rPr>
                <w:rFonts w:hint="default" w:ascii="Times New Roman" w:hAnsi="Times New Roman" w:cs="Times New Roman"/>
                <w:u w:val="none" w:color="auto"/>
              </w:rPr>
              <w:t>生产线生产</w:t>
            </w:r>
            <w:r>
              <w:rPr>
                <w:rFonts w:hint="default" w:ascii="Times New Roman" w:hAnsi="Times New Roman" w:cs="Times New Roman"/>
                <w:u w:val="none" w:color="auto"/>
                <w:lang w:val="en-US" w:eastAsia="zh-CN"/>
              </w:rPr>
              <w:t>用</w:t>
            </w:r>
            <w:r>
              <w:rPr>
                <w:rFonts w:hint="default" w:ascii="Times New Roman" w:hAnsi="Times New Roman" w:cs="Times New Roman"/>
                <w:u w:val="none" w:color="auto"/>
                <w:lang w:eastAsia="zh-CN"/>
              </w:rPr>
              <w:t>水、</w:t>
            </w:r>
            <w:r>
              <w:rPr>
                <w:rFonts w:hint="default" w:ascii="Times New Roman" w:hAnsi="Times New Roman" w:cs="Times New Roman"/>
                <w:u w:val="none" w:color="auto"/>
                <w:lang w:val="en-US" w:eastAsia="zh-CN"/>
              </w:rPr>
              <w:t>除尘器用水、化验室用</w:t>
            </w:r>
            <w:r>
              <w:rPr>
                <w:rFonts w:hint="default" w:ascii="Times New Roman" w:hAnsi="Times New Roman" w:cs="Times New Roman"/>
                <w:u w:val="none" w:color="auto"/>
              </w:rPr>
              <w:t>水</w:t>
            </w:r>
            <w:r>
              <w:rPr>
                <w:rFonts w:hint="default" w:ascii="Times New Roman" w:hAnsi="Times New Roman" w:cs="Times New Roman"/>
                <w:u w:val="none" w:color="auto"/>
                <w:lang w:val="en-US" w:eastAsia="zh-CN"/>
              </w:rPr>
              <w:t>、锅炉房用水等，</w:t>
            </w:r>
            <w:r>
              <w:rPr>
                <w:rFonts w:ascii="Times New Roman" w:hAnsi="Times New Roman" w:cs="Times New Roman"/>
                <w:u w:val="none" w:color="auto"/>
                <w:lang w:val="en-US"/>
              </w:rPr>
              <w:t>用水由市政</w:t>
            </w:r>
            <w:r>
              <w:rPr>
                <w:rFonts w:hint="eastAsia" w:cs="Times New Roman"/>
                <w:u w:val="none" w:color="auto"/>
                <w:lang w:val="en-US" w:eastAsia="zh-CN"/>
              </w:rPr>
              <w:t>供水</w:t>
            </w:r>
            <w:r>
              <w:rPr>
                <w:rFonts w:ascii="Times New Roman" w:hAnsi="Times New Roman" w:cs="Times New Roman"/>
                <w:u w:val="none" w:color="auto"/>
                <w:lang w:val="en-US"/>
              </w:rPr>
              <w:t>管网</w:t>
            </w:r>
            <w:r>
              <w:rPr>
                <w:rFonts w:hint="eastAsia" w:cs="Times New Roman"/>
                <w:u w:val="none" w:color="auto"/>
                <w:lang w:val="en-US" w:eastAsia="zh-CN"/>
              </w:rPr>
              <w:t>以及对面水厂生产的山泉水</w:t>
            </w:r>
            <w:r>
              <w:rPr>
                <w:rFonts w:ascii="Times New Roman" w:hAnsi="Times New Roman" w:cs="Times New Roman"/>
                <w:u w:val="none" w:color="auto"/>
                <w:lang w:val="en-US"/>
              </w:rPr>
              <w:t>供给。</w:t>
            </w:r>
          </w:p>
          <w:p>
            <w:pPr>
              <w:ind w:left="480" w:leftChars="200" w:firstLine="0" w:firstLineChars="0"/>
              <w:rPr>
                <w:rFonts w:ascii="Times New Roman" w:hAnsi="Times New Roman" w:cs="Times New Roman"/>
                <w:u w:val="none" w:color="auto"/>
                <w:lang w:val="en-US"/>
              </w:rPr>
            </w:pPr>
            <w:r>
              <w:rPr>
                <w:rFonts w:hint="default" w:ascii="Times New Roman" w:hAnsi="Times New Roman" w:cs="Times New Roman"/>
                <w:u w:val="none" w:color="auto"/>
                <w:lang w:val="en-US"/>
              </w:rPr>
              <w:t>（1）生活用水</w:t>
            </w:r>
          </w:p>
          <w:p>
            <w:pPr>
              <w:ind w:firstLine="480"/>
              <w:rPr>
                <w:rFonts w:ascii="Times New Roman" w:hAnsi="Times New Roman" w:cs="Times New Roman"/>
                <w:u w:val="none" w:color="auto"/>
              </w:rPr>
            </w:pPr>
            <w:r>
              <w:rPr>
                <w:rFonts w:hint="default" w:ascii="Times New Roman" w:hAnsi="Times New Roman" w:cs="Times New Roman"/>
                <w:u w:val="none" w:color="auto"/>
                <w:lang w:val="en-US"/>
              </w:rPr>
              <w:t>项目运营期劳动定员</w:t>
            </w:r>
            <w:r>
              <w:rPr>
                <w:rFonts w:hint="default" w:ascii="Times New Roman" w:hAnsi="Times New Roman" w:cs="Times New Roman"/>
                <w:u w:val="none" w:color="auto"/>
                <w:lang w:val="en-US" w:eastAsia="zh-CN"/>
              </w:rPr>
              <w:t>10</w:t>
            </w:r>
            <w:r>
              <w:rPr>
                <w:rFonts w:hint="default" w:ascii="Times New Roman" w:hAnsi="Times New Roman" w:cs="Times New Roman"/>
                <w:u w:val="none" w:color="auto"/>
                <w:lang w:val="en-US"/>
              </w:rPr>
              <w:t>人</w:t>
            </w:r>
            <w:r>
              <w:rPr>
                <w:rFonts w:hint="eastAsia" w:cs="Times New Roman"/>
                <w:u w:val="none" w:color="auto"/>
                <w:lang w:val="en-US" w:eastAsia="zh-CN"/>
              </w:rPr>
              <w:t>，</w:t>
            </w:r>
            <w:r>
              <w:rPr>
                <w:rFonts w:hint="default" w:ascii="Times New Roman" w:hAnsi="Times New Roman" w:cs="Times New Roman"/>
                <w:u w:val="none" w:color="auto"/>
                <w:lang w:val="en-US"/>
              </w:rPr>
              <w:t>年工作时间3</w:t>
            </w:r>
            <w:r>
              <w:rPr>
                <w:rFonts w:hint="default" w:ascii="Times New Roman" w:hAnsi="Times New Roman" w:cs="Times New Roman"/>
                <w:u w:val="none" w:color="auto"/>
                <w:lang w:val="en-US" w:eastAsia="zh-CN"/>
              </w:rPr>
              <w:t>6</w:t>
            </w:r>
            <w:r>
              <w:rPr>
                <w:rFonts w:hint="default" w:ascii="Times New Roman" w:hAnsi="Times New Roman" w:cs="Times New Roman"/>
                <w:u w:val="none" w:color="auto"/>
                <w:lang w:val="en-US"/>
              </w:rPr>
              <w:t>0d，不在厂区内</w:t>
            </w:r>
            <w:r>
              <w:rPr>
                <w:rFonts w:hint="default" w:ascii="Times New Roman" w:hAnsi="Times New Roman" w:cs="Times New Roman"/>
                <w:u w:val="none" w:color="auto"/>
                <w:lang w:val="en-US" w:eastAsia="zh-CN"/>
              </w:rPr>
              <w:t>食宿</w:t>
            </w:r>
            <w:r>
              <w:rPr>
                <w:rFonts w:hint="default" w:ascii="Times New Roman" w:hAnsi="Times New Roman" w:cs="Times New Roman"/>
                <w:u w:val="none" w:color="auto"/>
                <w:lang w:val="en-US"/>
              </w:rPr>
              <w:t>。</w:t>
            </w:r>
            <w:r>
              <w:rPr>
                <w:rFonts w:hint="default" w:ascii="Times New Roman" w:hAnsi="Times New Roman" w:cs="Times New Roman"/>
                <w:u w:val="none" w:color="auto"/>
              </w:rPr>
              <w:t>根据《湖南省用水定额（DB43/T388-2020）》</w:t>
            </w:r>
            <w:r>
              <w:rPr>
                <w:rFonts w:hint="default" w:ascii="Times New Roman" w:hAnsi="Times New Roman" w:cs="Times New Roman"/>
                <w:u w:val="none" w:color="auto"/>
                <w:lang w:eastAsia="zh-CN"/>
              </w:rPr>
              <w:t>，</w:t>
            </w:r>
            <w:r>
              <w:rPr>
                <w:rFonts w:hint="default" w:ascii="Times New Roman" w:hAnsi="Times New Roman" w:cs="Times New Roman"/>
                <w:u w:val="none" w:color="auto"/>
              </w:rPr>
              <w:t>按行政机构办公楼用水</w:t>
            </w:r>
            <w:r>
              <w:rPr>
                <w:rFonts w:hint="default" w:ascii="Times New Roman" w:hAnsi="Times New Roman" w:cs="Times New Roman"/>
                <w:u w:val="none" w:color="auto"/>
                <w:lang w:val="en-US"/>
              </w:rPr>
              <w:t>38m</w:t>
            </w:r>
            <w:r>
              <w:rPr>
                <w:rFonts w:hint="default" w:ascii="Times New Roman" w:hAnsi="Times New Roman" w:cs="Times New Roman"/>
                <w:u w:val="none" w:color="auto"/>
                <w:vertAlign w:val="superscript"/>
                <w:lang w:val="en-US"/>
              </w:rPr>
              <w:t>3</w:t>
            </w:r>
            <w:r>
              <w:rPr>
                <w:rFonts w:hint="default" w:ascii="Times New Roman" w:hAnsi="Times New Roman" w:cs="Times New Roman"/>
                <w:u w:val="none" w:color="auto"/>
              </w:rPr>
              <w:t>/人·</w:t>
            </w:r>
            <w:r>
              <w:rPr>
                <w:rFonts w:hint="default" w:ascii="Times New Roman" w:hAnsi="Times New Roman" w:cs="Times New Roman"/>
                <w:u w:val="none" w:color="auto"/>
                <w:lang w:val="en-US"/>
              </w:rPr>
              <w:t>a</w:t>
            </w:r>
            <w:r>
              <w:rPr>
                <w:rFonts w:hint="default" w:ascii="Times New Roman" w:hAnsi="Times New Roman" w:cs="Times New Roman"/>
                <w:u w:val="none" w:color="auto"/>
              </w:rPr>
              <w:t>，职工用水共计</w:t>
            </w:r>
            <w:r>
              <w:rPr>
                <w:rFonts w:hint="default" w:ascii="Times New Roman" w:hAnsi="Times New Roman" w:cs="Times New Roman"/>
                <w:u w:val="none" w:color="auto"/>
                <w:lang w:val="en-US" w:eastAsia="zh-CN"/>
              </w:rPr>
              <w:t>380</w:t>
            </w:r>
            <w:r>
              <w:rPr>
                <w:rFonts w:hint="default" w:ascii="Times New Roman" w:hAnsi="Times New Roman" w:cs="Times New Roman"/>
                <w:u w:val="none" w:color="auto"/>
                <w:lang w:val="en-US"/>
              </w:rPr>
              <w:t>m</w:t>
            </w:r>
            <w:r>
              <w:rPr>
                <w:rFonts w:hint="default" w:ascii="Times New Roman" w:hAnsi="Times New Roman" w:cs="Times New Roman"/>
                <w:u w:val="none" w:color="auto"/>
                <w:vertAlign w:val="superscript"/>
                <w:lang w:val="en-US"/>
              </w:rPr>
              <w:t>3</w:t>
            </w:r>
            <w:r>
              <w:rPr>
                <w:rFonts w:hint="default" w:ascii="Times New Roman" w:hAnsi="Times New Roman" w:cs="Times New Roman"/>
                <w:u w:val="none" w:color="auto"/>
                <w:lang w:val="en-US"/>
              </w:rPr>
              <w:t>/a（</w:t>
            </w:r>
            <w:r>
              <w:rPr>
                <w:rFonts w:hint="default" w:ascii="Times New Roman" w:hAnsi="Times New Roman" w:cs="Times New Roman"/>
                <w:u w:val="none" w:color="auto"/>
                <w:lang w:val="en-US" w:eastAsia="zh-CN"/>
              </w:rPr>
              <w:t>1.06t</w:t>
            </w:r>
            <w:r>
              <w:rPr>
                <w:rFonts w:hint="default" w:ascii="Times New Roman" w:hAnsi="Times New Roman" w:cs="Times New Roman"/>
                <w:u w:val="none" w:color="auto"/>
                <w:lang w:val="en-US"/>
              </w:rPr>
              <w:t>/d）</w:t>
            </w:r>
            <w:r>
              <w:rPr>
                <w:rFonts w:hint="eastAsia" w:cs="Times New Roman"/>
                <w:u w:val="none" w:color="auto"/>
                <w:lang w:val="en-US" w:eastAsia="zh-CN"/>
              </w:rPr>
              <w:t>。</w:t>
            </w:r>
          </w:p>
          <w:p>
            <w:pPr>
              <w:ind w:left="480" w:leftChars="200" w:firstLine="0" w:firstLineChars="0"/>
              <w:rPr>
                <w:rFonts w:ascii="Times New Roman" w:hAnsi="Times New Roman" w:cs="Times New Roman"/>
                <w:u w:val="none" w:color="auto"/>
                <w:lang w:val="en-US"/>
              </w:rPr>
            </w:pPr>
            <w:r>
              <w:rPr>
                <w:rFonts w:hint="default" w:ascii="Times New Roman" w:hAnsi="Times New Roman" w:cs="Times New Roman"/>
                <w:u w:val="none" w:color="auto"/>
                <w:lang w:val="en-US"/>
              </w:rPr>
              <w:t>（2）生产用水</w:t>
            </w:r>
          </w:p>
          <w:p>
            <w:pPr>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rPr>
              <w:t>根据建设单位提供资料，项目用水环节主要是米粉生产线</w:t>
            </w:r>
            <w:r>
              <w:rPr>
                <w:rFonts w:hint="default" w:ascii="Times New Roman" w:hAnsi="Times New Roman" w:cs="Times New Roman"/>
                <w:u w:val="none" w:color="auto"/>
                <w:lang w:val="en-US" w:eastAsia="zh-CN"/>
              </w:rPr>
              <w:t>中</w:t>
            </w:r>
            <w:r>
              <w:rPr>
                <w:rFonts w:hint="default" w:ascii="Times New Roman" w:hAnsi="Times New Roman" w:cs="Times New Roman"/>
                <w:u w:val="none" w:color="auto"/>
                <w:lang w:val="en-US"/>
              </w:rPr>
              <w:t>洗米</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浸泡</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磨浆</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蒸皮</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成型</w:t>
            </w:r>
            <w:r>
              <w:rPr>
                <w:rFonts w:hint="default" w:ascii="Times New Roman" w:hAnsi="Times New Roman" w:cs="Times New Roman"/>
                <w:u w:val="none" w:color="auto"/>
                <w:lang w:val="en-US" w:eastAsia="zh-CN"/>
              </w:rPr>
              <w:t>、老化</w:t>
            </w:r>
            <w:r>
              <w:rPr>
                <w:rFonts w:hint="default" w:ascii="Times New Roman" w:hAnsi="Times New Roman" w:cs="Times New Roman"/>
                <w:u w:val="none" w:color="auto"/>
                <w:lang w:val="en-US"/>
              </w:rPr>
              <w:t>水洗</w:t>
            </w:r>
            <w:r>
              <w:rPr>
                <w:rFonts w:hint="eastAsia" w:cs="Times New Roman"/>
                <w:u w:val="none" w:color="auto"/>
                <w:lang w:val="en-US" w:eastAsia="zh-CN"/>
              </w:rPr>
              <w:t>，包括设备、地面的冲洗</w:t>
            </w:r>
            <w:r>
              <w:rPr>
                <w:rFonts w:hint="default" w:ascii="Times New Roman" w:hAnsi="Times New Roman" w:cs="Times New Roman"/>
                <w:u w:val="none" w:color="auto"/>
                <w:lang w:val="en-US" w:eastAsia="zh-CN"/>
              </w:rPr>
              <w:t>。</w:t>
            </w:r>
          </w:p>
          <w:p>
            <w:pPr>
              <w:ind w:firstLine="480"/>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米粉生产线用水：</w:t>
            </w:r>
            <w:r>
              <w:rPr>
                <w:rFonts w:hint="eastAsia" w:cs="Times New Roman"/>
                <w:u w:val="none" w:color="auto"/>
                <w:lang w:val="en-US" w:eastAsia="zh-CN"/>
              </w:rPr>
              <w:t>经对比</w:t>
            </w:r>
            <w:r>
              <w:rPr>
                <w:rFonts w:hint="default" w:ascii="Times New Roman" w:hAnsi="Times New Roman" w:cs="Times New Roman"/>
                <w:u w:val="none" w:color="auto"/>
                <w:lang w:val="en-US"/>
              </w:rPr>
              <w:t>《排放源统计调查产排污核算方法和系数手册》</w:t>
            </w:r>
            <w:r>
              <w:rPr>
                <w:rFonts w:hint="eastAsia" w:cs="Times New Roman"/>
                <w:u w:val="none" w:color="auto"/>
                <w:lang w:val="en-US" w:eastAsia="zh-CN"/>
              </w:rPr>
              <w:t>中的</w:t>
            </w:r>
            <w:r>
              <w:rPr>
                <w:rFonts w:ascii="Times New Roman" w:hAnsi="Times New Roman" w:eastAsia="宋体" w:cs="Times New Roman"/>
                <w:sz w:val="24"/>
                <w:szCs w:val="24"/>
                <w:u w:val="none" w:color="auto"/>
              </w:rPr>
              <w:t>143</w:t>
            </w:r>
            <w:r>
              <w:rPr>
                <w:rFonts w:hint="eastAsia" w:cs="Times New Roman"/>
                <w:sz w:val="24"/>
                <w:szCs w:val="24"/>
                <w:u w:val="none" w:color="auto"/>
                <w:lang w:val="en-US" w:eastAsia="zh-CN"/>
              </w:rPr>
              <w:t>1</w:t>
            </w:r>
            <w:r>
              <w:rPr>
                <w:rFonts w:ascii="Times New Roman" w:hAnsi="Times New Roman" w:eastAsia="宋体" w:cs="Times New Roman"/>
                <w:sz w:val="24"/>
                <w:szCs w:val="24"/>
                <w:u w:val="none" w:color="auto"/>
              </w:rPr>
              <w:t>米、面制品制造行业系数手册</w:t>
            </w:r>
            <w:r>
              <w:rPr>
                <w:rFonts w:hint="default" w:ascii="Times New Roman" w:hAnsi="Times New Roman" w:cs="Times New Roman"/>
                <w:u w:val="none" w:color="auto"/>
                <w:lang w:val="en-US"/>
              </w:rPr>
              <w:t>中行业系数表</w:t>
            </w:r>
            <w:r>
              <w:rPr>
                <w:rFonts w:hint="eastAsia" w:cs="Times New Roman"/>
                <w:u w:val="none" w:color="auto"/>
                <w:lang w:val="en-US" w:eastAsia="zh-CN"/>
              </w:rPr>
              <w:t>以及1439其他方便食品制造行业</w:t>
            </w:r>
            <w:r>
              <w:rPr>
                <w:rFonts w:ascii="Times New Roman" w:hAnsi="Times New Roman" w:eastAsia="宋体" w:cs="Times New Roman"/>
                <w:sz w:val="24"/>
                <w:szCs w:val="24"/>
                <w:u w:val="none" w:color="auto"/>
              </w:rPr>
              <w:t>系数手册</w:t>
            </w:r>
            <w:r>
              <w:rPr>
                <w:rFonts w:hint="default" w:ascii="Times New Roman" w:hAnsi="Times New Roman" w:cs="Times New Roman"/>
                <w:u w:val="none" w:color="auto"/>
                <w:lang w:val="en-US"/>
              </w:rPr>
              <w:t>中行业系数表，</w:t>
            </w:r>
            <w:r>
              <w:rPr>
                <w:rFonts w:hint="eastAsia" w:cs="Times New Roman"/>
                <w:u w:val="none" w:color="auto"/>
                <w:lang w:val="en-US" w:eastAsia="zh-CN"/>
              </w:rPr>
              <w:t>本项目仅涉及到湿米粉的生产，</w:t>
            </w:r>
            <w:r>
              <w:rPr>
                <w:rFonts w:ascii="Times New Roman" w:hAnsi="Times New Roman" w:eastAsia="宋体" w:cs="Times New Roman"/>
                <w:sz w:val="24"/>
                <w:szCs w:val="24"/>
                <w:u w:val="none" w:color="auto"/>
              </w:rPr>
              <w:t>1431米、面制品制造行业系数手册</w:t>
            </w:r>
            <w:r>
              <w:rPr>
                <w:rFonts w:hint="default" w:ascii="Times New Roman" w:hAnsi="Times New Roman" w:cs="Times New Roman"/>
                <w:u w:val="none" w:color="auto"/>
                <w:lang w:val="en-US"/>
              </w:rPr>
              <w:t>中</w:t>
            </w:r>
            <w:r>
              <w:rPr>
                <w:rFonts w:hint="eastAsia" w:cs="Times New Roman"/>
                <w:u w:val="none" w:color="auto"/>
                <w:lang w:val="en-US" w:eastAsia="zh-CN"/>
              </w:rPr>
              <w:t>的废水生产环节更符合项目情况，则</w:t>
            </w:r>
            <w:r>
              <w:rPr>
                <w:rFonts w:hint="default" w:ascii="Times New Roman" w:hAnsi="Times New Roman" w:cs="Times New Roman"/>
                <w:u w:val="none" w:color="auto"/>
                <w:lang w:val="en-US"/>
              </w:rPr>
              <w:t>本项目米粉生产废水产生量为</w:t>
            </w:r>
            <w:r>
              <w:rPr>
                <w:rFonts w:hint="default" w:ascii="Times New Roman" w:hAnsi="Times New Roman" w:cs="Times New Roman"/>
                <w:u w:val="none" w:color="auto"/>
                <w:lang w:val="en-US" w:eastAsia="zh-CN"/>
              </w:rPr>
              <w:t>5.5</w:t>
            </w:r>
            <w:r>
              <w:rPr>
                <w:rFonts w:hint="default" w:ascii="Times New Roman" w:hAnsi="Times New Roman" w:cs="Times New Roman"/>
                <w:u w:val="none" w:color="auto"/>
                <w:lang w:val="en-US"/>
              </w:rPr>
              <w:t>t/t·产品，本项目生产</w:t>
            </w:r>
            <w:r>
              <w:rPr>
                <w:rFonts w:hint="default" w:ascii="Times New Roman" w:hAnsi="Times New Roman" w:cs="Times New Roman"/>
                <w:u w:val="none" w:color="auto"/>
                <w:lang w:val="en-US" w:eastAsia="zh-CN"/>
              </w:rPr>
              <w:t>湿</w:t>
            </w:r>
            <w:r>
              <w:rPr>
                <w:rFonts w:hint="default" w:ascii="Times New Roman" w:hAnsi="Times New Roman" w:cs="Times New Roman"/>
                <w:u w:val="none" w:color="auto"/>
                <w:lang w:val="en-US"/>
              </w:rPr>
              <w:t>米粉</w:t>
            </w:r>
            <w:r>
              <w:rPr>
                <w:rFonts w:hint="eastAsia" w:cs="Times New Roman"/>
                <w:u w:val="none" w:color="auto"/>
                <w:lang w:val="en-US" w:eastAsia="zh-CN"/>
              </w:rPr>
              <w:t>1800</w:t>
            </w:r>
            <w:r>
              <w:rPr>
                <w:rFonts w:hint="default" w:ascii="Times New Roman" w:hAnsi="Times New Roman" w:cs="Times New Roman"/>
                <w:u w:val="none" w:color="auto"/>
                <w:lang w:val="en-US"/>
              </w:rPr>
              <w:t>t/a</w:t>
            </w:r>
            <w:r>
              <w:rPr>
                <w:rFonts w:hint="eastAsia" w:cs="Times New Roman"/>
                <w:u w:val="none" w:color="auto"/>
                <w:lang w:val="en-US" w:eastAsia="zh-CN"/>
              </w:rPr>
              <w:t>，</w:t>
            </w:r>
            <w:r>
              <w:rPr>
                <w:rFonts w:hint="default" w:ascii="Times New Roman" w:hAnsi="Times New Roman" w:cs="Times New Roman"/>
                <w:u w:val="none" w:color="auto"/>
                <w:lang w:val="en-US"/>
              </w:rPr>
              <w:t>则</w:t>
            </w:r>
            <w:r>
              <w:rPr>
                <w:rFonts w:hint="eastAsia" w:cs="Times New Roman"/>
                <w:u w:val="none" w:color="auto"/>
                <w:lang w:val="en-US" w:eastAsia="zh-CN"/>
              </w:rPr>
              <w:t>湿</w:t>
            </w:r>
            <w:r>
              <w:rPr>
                <w:rFonts w:hint="default" w:ascii="Times New Roman" w:hAnsi="Times New Roman" w:cs="Times New Roman"/>
                <w:u w:val="none" w:color="auto"/>
                <w:lang w:val="en-US"/>
              </w:rPr>
              <w:t>米粉生产线废水产生量为</w:t>
            </w:r>
            <w:r>
              <w:rPr>
                <w:rFonts w:hint="eastAsia" w:cs="Times New Roman"/>
                <w:u w:val="none" w:color="auto"/>
                <w:lang w:val="en-US" w:eastAsia="zh-CN"/>
              </w:rPr>
              <w:t>9900</w:t>
            </w:r>
            <w:r>
              <w:rPr>
                <w:rFonts w:hint="default" w:ascii="Times New Roman" w:hAnsi="Times New Roman" w:cs="Times New Roman"/>
                <w:u w:val="none" w:color="auto"/>
                <w:lang w:val="en-US"/>
              </w:rPr>
              <w:t>t/a（</w:t>
            </w:r>
            <w:r>
              <w:rPr>
                <w:rFonts w:hint="eastAsia" w:cs="Times New Roman"/>
                <w:u w:val="none" w:color="auto"/>
                <w:lang w:val="en-US" w:eastAsia="zh-CN"/>
              </w:rPr>
              <w:t>27.5</w:t>
            </w:r>
            <w:r>
              <w:rPr>
                <w:rFonts w:hint="default" w:ascii="Times New Roman" w:hAnsi="Times New Roman" w:cs="Times New Roman"/>
                <w:u w:val="none" w:color="auto"/>
                <w:lang w:val="en-US" w:eastAsia="zh-CN"/>
              </w:rPr>
              <w:t>t</w:t>
            </w:r>
            <w:r>
              <w:rPr>
                <w:rFonts w:hint="default" w:ascii="Times New Roman" w:hAnsi="Times New Roman" w:cs="Times New Roman"/>
                <w:u w:val="none" w:color="auto"/>
                <w:lang w:val="en-US"/>
              </w:rPr>
              <w:t>/d）。</w:t>
            </w:r>
            <w:r>
              <w:rPr>
                <w:rFonts w:hint="default" w:ascii="Times New Roman" w:hAnsi="Times New Roman" w:cs="Times New Roman"/>
                <w:u w:val="none" w:color="auto"/>
                <w:lang w:val="en-US" w:eastAsia="zh-CN"/>
              </w:rPr>
              <w:t>项目米粉废水按照用水的85%进行核算，则可推算出</w:t>
            </w:r>
            <w:r>
              <w:rPr>
                <w:rFonts w:hint="eastAsia" w:cs="Times New Roman"/>
                <w:u w:val="none" w:color="auto"/>
                <w:lang w:val="en-US" w:eastAsia="zh-CN"/>
              </w:rPr>
              <w:t>湿</w:t>
            </w:r>
            <w:r>
              <w:rPr>
                <w:rFonts w:hint="default" w:ascii="Times New Roman" w:hAnsi="Times New Roman" w:cs="Times New Roman"/>
                <w:u w:val="none" w:color="auto"/>
                <w:lang w:val="en-US" w:eastAsia="zh-CN"/>
              </w:rPr>
              <w:t>米粉生产线用水量为</w:t>
            </w:r>
            <w:r>
              <w:rPr>
                <w:rFonts w:hint="eastAsia" w:cs="Times New Roman"/>
                <w:u w:val="none" w:color="auto"/>
                <w:lang w:val="en-US" w:eastAsia="zh-CN"/>
              </w:rPr>
              <w:t>11647</w:t>
            </w:r>
            <w:r>
              <w:rPr>
                <w:rFonts w:hint="default" w:ascii="Times New Roman" w:hAnsi="Times New Roman" w:cs="Times New Roman"/>
                <w:u w:val="none" w:color="auto"/>
                <w:lang w:val="en-US" w:eastAsia="zh-CN"/>
              </w:rPr>
              <w:t>t/a</w:t>
            </w:r>
            <w:r>
              <w:rPr>
                <w:rFonts w:hint="default" w:ascii="Times New Roman" w:hAnsi="Times New Roman" w:cs="Times New Roman"/>
                <w:u w:val="none" w:color="auto"/>
                <w:lang w:val="en-US"/>
              </w:rPr>
              <w:t>。</w:t>
            </w:r>
          </w:p>
          <w:p>
            <w:pPr>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（3）地面冲洗用水</w:t>
            </w:r>
          </w:p>
          <w:p>
            <w:pPr>
              <w:rPr>
                <w:rFonts w:hint="default" w:ascii="Times New Roman" w:hAnsi="Times New Roman" w:cs="Times New Roman"/>
                <w:u w:val="none" w:color="auto"/>
                <w:lang w:val="en-US"/>
              </w:rPr>
            </w:pPr>
            <w:r>
              <w:rPr>
                <w:rFonts w:hint="default" w:ascii="Times New Roman" w:hAnsi="Times New Roman" w:cs="Times New Roman"/>
                <w:u w:val="none" w:color="auto"/>
                <w:lang w:val="en-US"/>
              </w:rPr>
              <w:t>根据</w:t>
            </w:r>
            <w:r>
              <w:rPr>
                <w:rFonts w:hint="default" w:ascii="Times New Roman" w:hAnsi="Times New Roman" w:cs="Times New Roman"/>
                <w:u w:val="none" w:color="auto"/>
                <w:lang w:val="en-US" w:eastAsia="zh-CN"/>
              </w:rPr>
              <w:t>《</w:t>
            </w:r>
            <w:r>
              <w:rPr>
                <w:rFonts w:hint="default" w:ascii="Times New Roman" w:hAnsi="Times New Roman" w:cs="Times New Roman"/>
                <w:u w:val="none" w:color="auto"/>
              </w:rPr>
              <w:t>建筑</w:t>
            </w:r>
            <w:r>
              <w:rPr>
                <w:rFonts w:hint="default" w:ascii="Times New Roman" w:hAnsi="Times New Roman" w:cs="Times New Roman"/>
                <w:u w:val="none" w:color="auto"/>
                <w:lang w:val="en-US" w:eastAsia="zh-CN"/>
              </w:rPr>
              <w:t>给水排水</w:t>
            </w:r>
            <w:r>
              <w:rPr>
                <w:rFonts w:hint="default" w:ascii="Times New Roman" w:hAnsi="Times New Roman" w:cs="Times New Roman"/>
                <w:u w:val="none" w:color="auto"/>
              </w:rPr>
              <w:t>设计</w:t>
            </w:r>
            <w:r>
              <w:rPr>
                <w:rFonts w:hint="default" w:ascii="Times New Roman" w:hAnsi="Times New Roman" w:cs="Times New Roman"/>
                <w:u w:val="none" w:color="auto"/>
                <w:lang w:val="en-US" w:eastAsia="zh-CN"/>
              </w:rPr>
              <w:t>标准</w:t>
            </w:r>
            <w:r>
              <w:rPr>
                <w:rFonts w:hint="default" w:ascii="Times New Roman" w:hAnsi="Times New Roman" w:cs="Times New Roman"/>
                <w:u w:val="none" w:color="auto"/>
              </w:rPr>
              <w:t>》（GB50015-2019）</w:t>
            </w:r>
            <w:r>
              <w:rPr>
                <w:rFonts w:hint="default" w:ascii="Times New Roman" w:hAnsi="Times New Roman" w:cs="Times New Roman"/>
                <w:u w:val="none" w:color="auto"/>
                <w:lang w:val="en-US"/>
              </w:rPr>
              <w:t>，地面清洗用水量为2.5L/m</w:t>
            </w:r>
            <w:r>
              <w:rPr>
                <w:rFonts w:hint="default" w:ascii="Times New Roman" w:hAnsi="Times New Roman" w:cs="Times New Roman"/>
                <w:u w:val="none" w:color="auto"/>
                <w:vertAlign w:val="superscript"/>
                <w:lang w:val="en-US"/>
              </w:rPr>
              <w:t>3</w:t>
            </w:r>
            <w:r>
              <w:rPr>
                <w:rFonts w:hint="default" w:ascii="Times New Roman" w:hAnsi="Times New Roman" w:cs="Times New Roman"/>
                <w:u w:val="none" w:color="auto"/>
                <w:lang w:val="en-US"/>
              </w:rPr>
              <w:t>·次，清洗面积为</w:t>
            </w:r>
            <w:r>
              <w:rPr>
                <w:rFonts w:hint="default" w:ascii="Times New Roman" w:hAnsi="Times New Roman" w:cs="Times New Roman"/>
                <w:u w:val="none" w:color="auto"/>
                <w:lang w:val="en-US" w:eastAsia="zh-CN"/>
              </w:rPr>
              <w:t>420</w:t>
            </w:r>
            <w:r>
              <w:rPr>
                <w:rFonts w:hint="default" w:ascii="Times New Roman" w:hAnsi="Times New Roman" w:cs="Times New Roman"/>
                <w:u w:val="none" w:color="auto"/>
                <w:lang w:val="en-US"/>
              </w:rPr>
              <w:t>m</w:t>
            </w:r>
            <w:r>
              <w:rPr>
                <w:rFonts w:hint="default" w:ascii="Times New Roman" w:hAnsi="Times New Roman" w:cs="Times New Roman"/>
                <w:u w:val="none" w:color="auto"/>
                <w:vertAlign w:val="superscript"/>
                <w:lang w:val="en-US"/>
              </w:rPr>
              <w:t>2</w:t>
            </w:r>
            <w:r>
              <w:rPr>
                <w:rFonts w:hint="default" w:ascii="Times New Roman" w:hAnsi="Times New Roman" w:cs="Times New Roman"/>
                <w:u w:val="none" w:color="auto"/>
                <w:lang w:val="en-US"/>
              </w:rPr>
              <w:t>，则清洗用水量</w:t>
            </w:r>
            <w:r>
              <w:rPr>
                <w:rFonts w:hint="default" w:ascii="Times New Roman" w:hAnsi="Times New Roman" w:cs="Times New Roman"/>
                <w:u w:val="none" w:color="auto"/>
                <w:lang w:val="en-US" w:eastAsia="zh-CN"/>
              </w:rPr>
              <w:t>1.05</w:t>
            </w:r>
            <w:r>
              <w:rPr>
                <w:rFonts w:hint="default" w:ascii="Times New Roman" w:hAnsi="Times New Roman" w:cs="Times New Roman"/>
                <w:u w:val="none" w:color="auto"/>
                <w:lang w:val="en-US"/>
              </w:rPr>
              <w:t>m</w:t>
            </w:r>
            <w:r>
              <w:rPr>
                <w:rFonts w:hint="default" w:ascii="Times New Roman" w:hAnsi="Times New Roman" w:cs="Times New Roman"/>
                <w:u w:val="none" w:color="auto"/>
                <w:vertAlign w:val="superscript"/>
                <w:lang w:val="en-US"/>
              </w:rPr>
              <w:t>3</w:t>
            </w:r>
            <w:r>
              <w:rPr>
                <w:rFonts w:hint="default" w:ascii="Times New Roman" w:hAnsi="Times New Roman" w:cs="Times New Roman"/>
                <w:u w:val="none" w:color="auto"/>
                <w:lang w:val="en-US"/>
              </w:rPr>
              <w:t>/次，每</w:t>
            </w:r>
            <w:r>
              <w:rPr>
                <w:rFonts w:hint="default" w:ascii="Times New Roman" w:hAnsi="Times New Roman" w:cs="Times New Roman"/>
                <w:u w:val="none" w:color="auto"/>
                <w:lang w:val="en-US" w:eastAsia="zh-CN"/>
              </w:rPr>
              <w:t>天</w:t>
            </w:r>
            <w:r>
              <w:rPr>
                <w:rFonts w:hint="default" w:ascii="Times New Roman" w:hAnsi="Times New Roman" w:cs="Times New Roman"/>
                <w:u w:val="none" w:color="auto"/>
                <w:lang w:val="en-US"/>
              </w:rPr>
              <w:t>清洗一次，项目年工作时间为3</w:t>
            </w:r>
            <w:r>
              <w:rPr>
                <w:rFonts w:hint="default" w:ascii="Times New Roman" w:hAnsi="Times New Roman" w:cs="Times New Roman"/>
                <w:u w:val="none" w:color="auto"/>
                <w:lang w:val="en-US" w:eastAsia="zh-CN"/>
              </w:rPr>
              <w:t>6</w:t>
            </w:r>
            <w:r>
              <w:rPr>
                <w:rFonts w:hint="default" w:ascii="Times New Roman" w:hAnsi="Times New Roman" w:cs="Times New Roman"/>
                <w:u w:val="none" w:color="auto"/>
                <w:lang w:val="en-US"/>
              </w:rPr>
              <w:t>0天，则用水量为</w:t>
            </w:r>
            <w:r>
              <w:rPr>
                <w:rFonts w:hint="default" w:ascii="Times New Roman" w:hAnsi="Times New Roman" w:cs="Times New Roman"/>
                <w:u w:val="none" w:color="auto"/>
                <w:lang w:val="en-US" w:eastAsia="zh-CN"/>
              </w:rPr>
              <w:t>378</w:t>
            </w:r>
            <w:r>
              <w:rPr>
                <w:rFonts w:hint="default" w:ascii="Times New Roman" w:hAnsi="Times New Roman" w:cs="Times New Roman"/>
                <w:u w:val="none" w:color="auto"/>
                <w:lang w:val="en-US"/>
              </w:rPr>
              <w:t>t/a。</w:t>
            </w:r>
          </w:p>
          <w:p>
            <w:pPr>
              <w:ind w:firstLine="480"/>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（4）设备冲洗用水：</w:t>
            </w:r>
            <w:r>
              <w:rPr>
                <w:rFonts w:hint="default" w:ascii="Times New Roman" w:hAnsi="Times New Roman" w:cs="Times New Roman"/>
                <w:u w:val="none" w:color="auto"/>
                <w:lang w:val="en-US"/>
              </w:rPr>
              <w:t>项目生产过程，洗米机、粉碎机、米浆罐等生产设备需每天进行清洗，根据建设方提供的资料，清洗用水量约为0.5m</w:t>
            </w:r>
            <w:r>
              <w:rPr>
                <w:rFonts w:hint="default" w:ascii="Times New Roman" w:hAnsi="Times New Roman" w:cs="Times New Roman"/>
                <w:u w:val="none" w:color="auto"/>
                <w:vertAlign w:val="superscript"/>
                <w:lang w:val="en-US"/>
              </w:rPr>
              <w:t>3</w:t>
            </w:r>
            <w:r>
              <w:rPr>
                <w:rFonts w:hint="default" w:ascii="Times New Roman" w:hAnsi="Times New Roman" w:cs="Times New Roman"/>
                <w:u w:val="none" w:color="auto"/>
                <w:lang w:val="en-US"/>
              </w:rPr>
              <w:t>/d (1</w:t>
            </w:r>
            <w:r>
              <w:rPr>
                <w:rFonts w:hint="default" w:ascii="Times New Roman" w:hAnsi="Times New Roman" w:cs="Times New Roman"/>
                <w:u w:val="none" w:color="auto"/>
                <w:lang w:val="en-US" w:eastAsia="zh-CN"/>
              </w:rPr>
              <w:t>8</w:t>
            </w:r>
            <w:r>
              <w:rPr>
                <w:rFonts w:hint="default" w:ascii="Times New Roman" w:hAnsi="Times New Roman" w:cs="Times New Roman"/>
                <w:u w:val="none" w:color="auto"/>
                <w:lang w:val="en-US"/>
              </w:rPr>
              <w:t>0m</w:t>
            </w:r>
            <w:r>
              <w:rPr>
                <w:rFonts w:hint="default" w:ascii="Times New Roman" w:hAnsi="Times New Roman" w:cs="Times New Roman"/>
                <w:u w:val="none" w:color="auto"/>
                <w:vertAlign w:val="superscript"/>
                <w:lang w:val="en-US"/>
              </w:rPr>
              <w:t>3</w:t>
            </w:r>
            <w:r>
              <w:rPr>
                <w:rFonts w:hint="default" w:ascii="Times New Roman" w:hAnsi="Times New Roman" w:cs="Times New Roman"/>
                <w:u w:val="none" w:color="auto"/>
                <w:lang w:val="en-US"/>
              </w:rPr>
              <w:t>/a)。</w:t>
            </w:r>
          </w:p>
          <w:p>
            <w:pPr>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（5）锅炉用水</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①清洗水（锅炉内排水）</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定期对锅炉进行清洗，约5天清洗一次，清洗用水0.1m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/次，厂区年工作时间为360天，全年清洗次数为72次，清洗废水合计7.2m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/a（0.02m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②浓水（锅炉外排水）</w:t>
            </w:r>
          </w:p>
          <w:p>
            <w:pPr>
              <w:pStyle w:val="96"/>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eastAsia="宋体" w:cs="Times New Roman"/>
                <w:u w:val="none" w:color="auto"/>
                <w:lang w:val="en-US" w:eastAsia="zh-CN"/>
              </w:rPr>
              <w:t>项目设置1台0.7t/h锅炉</w:t>
            </w:r>
            <w:r>
              <w:rPr>
                <w:rFonts w:hint="default" w:ascii="Times New Roman" w:hAnsi="Times New Roman" w:cs="Times New Roman"/>
                <w:u w:val="none" w:color="auto"/>
                <w:lang w:val="en-US" w:eastAsia="zh-CN"/>
              </w:rPr>
              <w:t>，配备1台软水设备，锅炉燃料为生物质颗粒，锅炉日运行5h，</w:t>
            </w:r>
            <w:r>
              <w:rPr>
                <w:rFonts w:hint="default" w:ascii="Times New Roman" w:hAnsi="Times New Roman" w:eastAsia="宋体" w:cs="Times New Roman"/>
                <w:u w:val="none" w:color="auto"/>
                <w:lang w:val="en-US" w:eastAsia="zh-CN"/>
              </w:rPr>
              <w:t>锅炉满负荷运行，锅炉蒸汽产量为4.2m</w:t>
            </w:r>
            <w:r>
              <w:rPr>
                <w:rFonts w:hint="default" w:ascii="Times New Roman" w:hAnsi="Times New Roman" w:eastAsia="宋体" w:cs="Times New Roman"/>
                <w:u w:val="none" w:color="auto"/>
                <w:vertAlign w:val="superscript"/>
                <w:lang w:val="en-US" w:eastAsia="zh-CN"/>
              </w:rPr>
              <w:t>3</w:t>
            </w:r>
            <w:r>
              <w:rPr>
                <w:rFonts w:hint="default" w:ascii="Times New Roman" w:hAnsi="Times New Roman" w:eastAsia="宋体" w:cs="Times New Roman"/>
                <w:u w:val="none" w:color="auto"/>
                <w:lang w:val="en-US" w:eastAsia="zh-CN"/>
              </w:rPr>
              <w:t>/d（1512m</w:t>
            </w:r>
            <w:r>
              <w:rPr>
                <w:rFonts w:hint="default" w:ascii="Times New Roman" w:hAnsi="Times New Roman" w:eastAsia="宋体" w:cs="Times New Roman"/>
                <w:u w:val="none" w:color="auto"/>
                <w:vertAlign w:val="superscript"/>
                <w:lang w:val="en-US" w:eastAsia="zh-CN"/>
              </w:rPr>
              <w:t>3</w:t>
            </w:r>
            <w:r>
              <w:rPr>
                <w:rFonts w:hint="default" w:ascii="Times New Roman" w:hAnsi="Times New Roman" w:eastAsia="宋体" w:cs="Times New Roman"/>
                <w:u w:val="none" w:color="auto"/>
                <w:lang w:val="en-US" w:eastAsia="zh-CN"/>
              </w:rPr>
              <w:t>/a）。</w:t>
            </w:r>
            <w:r>
              <w:rPr>
                <w:rFonts w:hint="default" w:ascii="Times New Roman" w:hAnsi="Times New Roman" w:cs="Times New Roman"/>
                <w:u w:val="none" w:color="auto"/>
                <w:lang w:val="en-US" w:eastAsia="zh-CN"/>
              </w:rPr>
              <w:t>锅炉软水系统转化率为80%，则锅炉新鲜水量为5.25m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/d（1890m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/a）。锅炉软水系统浓水产生率为用水量的20%，浓水产生量为1.05m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/d（378m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w:t>
            </w:r>
          </w:p>
          <w:p>
            <w:pPr>
              <w:ind w:firstLine="480"/>
              <w:jc w:val="left"/>
              <w:rPr>
                <w:rFonts w:ascii="Times New Roman" w:hAnsi="Times New Roman" w:cs="Times New Roman"/>
                <w:u w:val="none" w:color="auto"/>
              </w:rPr>
            </w:pP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6</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湿式除尘</w:t>
            </w:r>
            <w:r>
              <w:rPr>
                <w:rFonts w:ascii="Times New Roman" w:hAnsi="Times New Roman" w:cs="Times New Roman"/>
                <w:u w:val="none" w:color="auto"/>
              </w:rPr>
              <w:t>器</w:t>
            </w:r>
            <w:r>
              <w:rPr>
                <w:rFonts w:hint="default" w:ascii="Times New Roman" w:hAnsi="Times New Roman" w:cs="Times New Roman"/>
                <w:u w:val="none" w:color="auto"/>
              </w:rPr>
              <w:t>用水：</w:t>
            </w:r>
            <w:r>
              <w:rPr>
                <w:rFonts w:ascii="Times New Roman" w:hAnsi="Times New Roman" w:cs="Times New Roman"/>
                <w:u w:val="none" w:color="auto"/>
              </w:rPr>
              <w:t>根据业主提供的</w:t>
            </w:r>
            <w:r>
              <w:rPr>
                <w:rFonts w:hint="default" w:ascii="Times New Roman" w:hAnsi="Times New Roman" w:cs="Times New Roman"/>
                <w:u w:val="none" w:color="auto"/>
                <w:lang w:val="en-US" w:eastAsia="zh-CN"/>
              </w:rPr>
              <w:t>除尘器</w:t>
            </w:r>
            <w:r>
              <w:rPr>
                <w:rFonts w:ascii="Times New Roman" w:hAnsi="Times New Roman" w:cs="Times New Roman"/>
                <w:u w:val="none" w:color="auto"/>
              </w:rPr>
              <w:t>技术资料，项目</w:t>
            </w:r>
            <w:r>
              <w:rPr>
                <w:rFonts w:hint="default" w:ascii="Times New Roman" w:hAnsi="Times New Roman" w:cs="Times New Roman"/>
                <w:u w:val="none" w:color="auto"/>
                <w:lang w:val="en-US" w:eastAsia="zh-CN"/>
              </w:rPr>
              <w:t>除尘</w:t>
            </w:r>
            <w:r>
              <w:rPr>
                <w:rFonts w:ascii="Times New Roman" w:hAnsi="Times New Roman" w:cs="Times New Roman"/>
                <w:u w:val="none" w:color="auto"/>
              </w:rPr>
              <w:t>器的</w:t>
            </w:r>
            <w:r>
              <w:rPr>
                <w:rFonts w:hint="default" w:ascii="Times New Roman" w:hAnsi="Times New Roman" w:cs="Times New Roman"/>
                <w:u w:val="none" w:color="auto"/>
                <w:lang w:val="en-US" w:eastAsia="zh-CN"/>
              </w:rPr>
              <w:t>水箱容积为0.2m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w:t>
            </w:r>
            <w:r>
              <w:rPr>
                <w:rFonts w:ascii="Times New Roman" w:hAnsi="Times New Roman" w:cs="Times New Roman"/>
                <w:u w:val="none" w:color="auto"/>
              </w:rPr>
              <w:t>所用水循环利用，不外排</w:t>
            </w:r>
            <w:r>
              <w:rPr>
                <w:rFonts w:ascii="Times New Roman" w:hAnsi="Times New Roman" w:cs="Times New Roman"/>
                <w:sz w:val="24"/>
                <w:u w:val="none" w:color="auto"/>
              </w:rPr>
              <w:t>，损耗按20%计算</w:t>
            </w:r>
            <w:r>
              <w:rPr>
                <w:rFonts w:hint="default" w:ascii="Times New Roman" w:hAnsi="Times New Roman" w:cs="Times New Roman"/>
                <w:sz w:val="24"/>
                <w:u w:val="none" w:color="auto"/>
                <w:lang w:eastAsia="zh-CN"/>
              </w:rPr>
              <w:t>，</w:t>
            </w:r>
            <w:r>
              <w:rPr>
                <w:rFonts w:hint="default" w:ascii="Times New Roman" w:hAnsi="Times New Roman" w:cs="Times New Roman"/>
                <w:sz w:val="24"/>
                <w:u w:val="none" w:color="auto"/>
                <w:lang w:val="en-US" w:eastAsia="zh-CN"/>
              </w:rPr>
              <w:t>定期补充新鲜水</w:t>
            </w:r>
            <w:r>
              <w:rPr>
                <w:rFonts w:ascii="Times New Roman" w:hAnsi="Times New Roman" w:cs="Times New Roman"/>
                <w:u w:val="none" w:color="auto"/>
              </w:rPr>
              <w:t>；</w:t>
            </w:r>
          </w:p>
          <w:p>
            <w:pPr>
              <w:ind w:firstLine="480"/>
              <w:jc w:val="left"/>
              <w:rPr>
                <w:rFonts w:hint="default" w:ascii="Times New Roman" w:hAnsi="Times New Roman" w:cs="Times New Roman"/>
                <w:highlight w:val="yellow"/>
                <w:u w:val="none" w:color="auto"/>
              </w:rPr>
            </w:pP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7</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lang w:val="en-US" w:eastAsia="zh-CN"/>
              </w:rPr>
              <w:t>化验室用</w:t>
            </w:r>
            <w:r>
              <w:rPr>
                <w:rFonts w:ascii="Times New Roman" w:hAnsi="Times New Roman" w:cs="Times New Roman"/>
                <w:highlight w:val="none"/>
                <w:u w:val="none" w:color="auto"/>
              </w:rPr>
              <w:t>水</w:t>
            </w:r>
            <w:r>
              <w:rPr>
                <w:rFonts w:hint="default" w:ascii="Times New Roman" w:hAnsi="Times New Roman" w:cs="Times New Roman"/>
                <w:highlight w:val="none"/>
                <w:u w:val="none" w:color="auto"/>
                <w:lang w:eastAsia="zh-CN"/>
              </w:rPr>
              <w:t>：检验室主要利用仪器检测产品</w:t>
            </w:r>
            <w:r>
              <w:rPr>
                <w:rFonts w:hint="default" w:ascii="Times New Roman" w:hAnsi="Times New Roman" w:cs="Times New Roman"/>
                <w:highlight w:val="none"/>
                <w:u w:val="none" w:color="auto"/>
                <w:lang w:val="en-US" w:eastAsia="zh-CN"/>
              </w:rPr>
              <w:t>的</w:t>
            </w:r>
            <w:r>
              <w:rPr>
                <w:rFonts w:hint="default" w:ascii="Times New Roman" w:hAnsi="Times New Roman" w:cs="Times New Roman"/>
                <w:highlight w:val="none"/>
                <w:u w:val="none" w:color="auto"/>
              </w:rPr>
              <w:t>感官、水分、酸碱度、微生物菌落总数、大肠菌群等指标</w:t>
            </w:r>
            <w:r>
              <w:rPr>
                <w:rFonts w:hint="default" w:ascii="Times New Roman" w:hAnsi="Times New Roman" w:cs="Times New Roman"/>
                <w:highlight w:val="none"/>
                <w:u w:val="none" w:color="auto"/>
                <w:lang w:eastAsia="zh-CN"/>
              </w:rPr>
              <w:t>，</w:t>
            </w:r>
            <w:r>
              <w:rPr>
                <w:rFonts w:hint="eastAsia" w:cs="Times New Roman"/>
                <w:highlight w:val="none"/>
                <w:u w:val="none" w:color="auto"/>
                <w:lang w:val="en-US" w:eastAsia="zh-CN"/>
              </w:rPr>
              <w:t>不涉及重金属试剂的使用，</w:t>
            </w:r>
            <w:r>
              <w:rPr>
                <w:rFonts w:hint="default" w:ascii="Times New Roman" w:hAnsi="Times New Roman" w:cs="Times New Roman"/>
                <w:highlight w:val="none"/>
                <w:u w:val="none" w:color="auto"/>
                <w:lang w:eastAsia="zh-CN"/>
              </w:rPr>
              <w:t>用水量约为</w:t>
            </w:r>
            <w:r>
              <w:rPr>
                <w:rFonts w:hint="default" w:ascii="Times New Roman" w:hAnsi="Times New Roman" w:cs="Times New Roman"/>
                <w:highlight w:val="none"/>
                <w:u w:val="none" w:color="auto"/>
                <w:lang w:val="en-US" w:eastAsia="zh-CN"/>
              </w:rPr>
              <w:t>2t/a</w:t>
            </w:r>
            <w:r>
              <w:rPr>
                <w:rFonts w:hint="default" w:ascii="Times New Roman" w:hAnsi="Times New Roman" w:cs="Times New Roman"/>
                <w:highlight w:val="none"/>
                <w:u w:val="none" w:color="auto"/>
              </w:rPr>
              <w:t>。</w:t>
            </w:r>
          </w:p>
          <w:p>
            <w:pPr>
              <w:pStyle w:val="43"/>
              <w:bidi w:val="0"/>
              <w:rPr>
                <w:rFonts w:ascii="Times New Roman" w:hAnsi="Times New Roman" w:cs="Times New Roman"/>
                <w:u w:val="none" w:color="auto"/>
              </w:rPr>
            </w:pPr>
            <w:r>
              <w:rPr>
                <w:rFonts w:ascii="Times New Roman" w:hAnsi="Times New Roman" w:cs="Times New Roman"/>
                <w:u w:val="none" w:color="auto"/>
              </w:rPr>
              <w:t>表</w:t>
            </w: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lang w:val="en-US"/>
              </w:rPr>
              <w:t>-</w:t>
            </w:r>
            <w:r>
              <w:rPr>
                <w:rFonts w:hint="eastAsia" w:ascii="Times New Roman" w:hAnsi="Times New Roman" w:cs="Times New Roman"/>
                <w:u w:val="none" w:color="auto"/>
                <w:lang w:val="en-US" w:eastAsia="zh-CN"/>
              </w:rPr>
              <w:t>8</w:t>
            </w:r>
            <w:r>
              <w:rPr>
                <w:rFonts w:hint="default" w:ascii="Times New Roman" w:hAnsi="Times New Roman" w:cs="Times New Roman"/>
                <w:u w:val="none" w:color="auto"/>
                <w:lang w:val="en-US"/>
              </w:rPr>
              <w:t>：</w:t>
            </w:r>
            <w:r>
              <w:rPr>
                <w:rFonts w:ascii="Times New Roman" w:hAnsi="Times New Roman" w:cs="Times New Roman"/>
                <w:u w:val="none" w:color="auto"/>
              </w:rPr>
              <w:t>项目运营期用水一览表</w:t>
            </w:r>
          </w:p>
          <w:tbl>
            <w:tblPr>
              <w:tblStyle w:val="28"/>
              <w:tblW w:w="486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778"/>
              <w:gridCol w:w="355"/>
              <w:gridCol w:w="1143"/>
              <w:gridCol w:w="1158"/>
              <w:gridCol w:w="98"/>
              <w:gridCol w:w="1259"/>
              <w:gridCol w:w="927"/>
              <w:gridCol w:w="1344"/>
              <w:gridCol w:w="6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序号</w:t>
                  </w:r>
                </w:p>
              </w:tc>
              <w:tc>
                <w:tcPr>
                  <w:tcW w:w="47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类别</w:t>
                  </w:r>
                </w:p>
              </w:tc>
              <w:tc>
                <w:tcPr>
                  <w:tcW w:w="914" w:type="pct"/>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用水源</w:t>
                  </w:r>
                </w:p>
              </w:tc>
              <w:tc>
                <w:tcPr>
                  <w:tcW w:w="70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用水规模</w:t>
                  </w:r>
                </w:p>
              </w:tc>
              <w:tc>
                <w:tcPr>
                  <w:tcW w:w="828" w:type="pct"/>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用水系数</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用水量t/d</w:t>
                  </w:r>
                </w:p>
              </w:tc>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年用水量(m</w:t>
                  </w:r>
                  <w:r>
                    <w:rPr>
                      <w:rFonts w:hint="default" w:ascii="Times New Roman" w:hAnsi="Times New Roman" w:eastAsia="宋体" w:cs="Times New Roman"/>
                      <w:b/>
                      <w:bCs/>
                      <w:u w:val="none" w:color="auto"/>
                      <w:vertAlign w:val="superscript"/>
                      <w:lang w:val="en-US"/>
                    </w:rPr>
                    <w:t>3</w:t>
                  </w:r>
                  <w:r>
                    <w:rPr>
                      <w:rFonts w:hint="default" w:ascii="Times New Roman" w:hAnsi="Times New Roman" w:eastAsia="宋体" w:cs="Times New Roman"/>
                      <w:b/>
                      <w:bCs/>
                      <w:u w:val="none" w:color="auto"/>
                      <w:lang w:val="en-US"/>
                    </w:rPr>
                    <w:t>/a)</w:t>
                  </w:r>
                </w:p>
              </w:tc>
              <w:tc>
                <w:tcPr>
                  <w:tcW w:w="40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1</w:t>
                  </w:r>
                </w:p>
              </w:tc>
              <w:tc>
                <w:tcPr>
                  <w:tcW w:w="1390"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生活用水</w:t>
                  </w:r>
                </w:p>
              </w:tc>
              <w:tc>
                <w:tcPr>
                  <w:tcW w:w="70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1</w:t>
                  </w:r>
                  <w:r>
                    <w:rPr>
                      <w:rFonts w:hint="default" w:ascii="Times New Roman" w:hAnsi="Times New Roman" w:eastAsia="宋体" w:cs="Times New Roman"/>
                      <w:u w:val="none" w:color="auto"/>
                      <w:lang w:val="en-US"/>
                    </w:rPr>
                    <w:t>0人</w:t>
                  </w:r>
                </w:p>
              </w:tc>
              <w:tc>
                <w:tcPr>
                  <w:tcW w:w="828" w:type="pct"/>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38m</w:t>
                  </w:r>
                  <w:r>
                    <w:rPr>
                      <w:rFonts w:hint="default" w:ascii="Times New Roman" w:hAnsi="Times New Roman" w:eastAsia="宋体" w:cs="Times New Roman"/>
                      <w:u w:val="none" w:color="auto"/>
                      <w:vertAlign w:val="superscript"/>
                      <w:lang w:val="en-US"/>
                    </w:rPr>
                    <w:t>3</w:t>
                  </w:r>
                  <w:r>
                    <w:rPr>
                      <w:rFonts w:hint="default" w:ascii="Times New Roman" w:hAnsi="Times New Roman" w:eastAsia="宋体" w:cs="Times New Roman"/>
                      <w:u w:val="none" w:color="auto"/>
                      <w:lang w:val="en-US"/>
                    </w:rPr>
                    <w:t>/人·a</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1.06</w:t>
                  </w:r>
                </w:p>
              </w:tc>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380</w:t>
                  </w:r>
                </w:p>
              </w:tc>
              <w:tc>
                <w:tcPr>
                  <w:tcW w:w="40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用水时间按</w:t>
                  </w:r>
                </w:p>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3</w:t>
                  </w:r>
                  <w:r>
                    <w:rPr>
                      <w:rFonts w:hint="default" w:ascii="Times New Roman" w:hAnsi="Times New Roman" w:eastAsia="宋体" w:cs="Times New Roman"/>
                      <w:u w:val="none" w:color="auto"/>
                      <w:lang w:val="en-US" w:eastAsia="zh-CN"/>
                    </w:rPr>
                    <w:t>6</w:t>
                  </w:r>
                  <w:r>
                    <w:rPr>
                      <w:rFonts w:hint="default" w:ascii="Times New Roman" w:hAnsi="Times New Roman" w:eastAsia="宋体" w:cs="Times New Roman"/>
                      <w:u w:val="none" w:color="auto"/>
                      <w:lang w:val="en-US"/>
                    </w:rPr>
                    <w:t>0天计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2</w:t>
                  </w:r>
                </w:p>
              </w:tc>
              <w:tc>
                <w:tcPr>
                  <w:tcW w:w="1390"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米粉</w:t>
                  </w:r>
                  <w:r>
                    <w:rPr>
                      <w:rFonts w:hint="default" w:ascii="Times New Roman" w:hAnsi="Times New Roman" w:eastAsia="宋体" w:cs="Times New Roman"/>
                      <w:u w:val="none" w:color="auto"/>
                      <w:lang w:val="en-US"/>
                    </w:rPr>
                    <w:t>生产</w:t>
                  </w:r>
                  <w:r>
                    <w:rPr>
                      <w:rFonts w:hint="default" w:ascii="Times New Roman" w:hAnsi="Times New Roman" w:eastAsia="宋体" w:cs="Times New Roman"/>
                      <w:u w:val="none" w:color="auto"/>
                      <w:lang w:val="en-US" w:eastAsia="zh-CN"/>
                    </w:rPr>
                    <w:t>线生产</w:t>
                  </w:r>
                  <w:r>
                    <w:rPr>
                      <w:rFonts w:hint="default" w:ascii="Times New Roman" w:hAnsi="Times New Roman" w:eastAsia="宋体" w:cs="Times New Roman"/>
                      <w:u w:val="none" w:color="auto"/>
                      <w:lang w:val="en-US"/>
                    </w:rPr>
                    <w:t>用水</w:t>
                  </w:r>
                </w:p>
              </w:tc>
              <w:tc>
                <w:tcPr>
                  <w:tcW w:w="1535"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32.35</w:t>
                  </w:r>
                </w:p>
              </w:tc>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11647</w:t>
                  </w:r>
                </w:p>
              </w:tc>
              <w:tc>
                <w:tcPr>
                  <w:tcW w:w="4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3</w:t>
                  </w:r>
                </w:p>
              </w:tc>
              <w:tc>
                <w:tcPr>
                  <w:tcW w:w="1390"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湿米粉生产用水</w:t>
                  </w:r>
                </w:p>
              </w:tc>
              <w:tc>
                <w:tcPr>
                  <w:tcW w:w="1535"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2.5</w:t>
                  </w:r>
                </w:p>
              </w:tc>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900</w:t>
                  </w:r>
                </w:p>
              </w:tc>
              <w:tc>
                <w:tcPr>
                  <w:tcW w:w="4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4</w:t>
                  </w:r>
                </w:p>
              </w:tc>
              <w:tc>
                <w:tcPr>
                  <w:tcW w:w="692" w:type="pct"/>
                  <w:gridSpan w:val="2"/>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锅炉用水</w:t>
                  </w:r>
                </w:p>
              </w:tc>
              <w:tc>
                <w:tcPr>
                  <w:tcW w:w="69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清洗水</w:t>
                  </w:r>
                </w:p>
              </w:tc>
              <w:tc>
                <w:tcPr>
                  <w:tcW w:w="767" w:type="pct"/>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72次</w:t>
                  </w:r>
                </w:p>
              </w:tc>
              <w:tc>
                <w:tcPr>
                  <w:tcW w:w="76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0.1m</w:t>
                  </w:r>
                  <w:r>
                    <w:rPr>
                      <w:rFonts w:hint="default" w:ascii="Times New Roman" w:hAnsi="Times New Roman" w:eastAsia="宋体" w:cs="Times New Roman"/>
                      <w:u w:val="none" w:color="auto"/>
                      <w:vertAlign w:val="superscript"/>
                      <w:lang w:val="en-US" w:eastAsia="zh-CN"/>
                    </w:rPr>
                    <w:t>3</w:t>
                  </w:r>
                  <w:r>
                    <w:rPr>
                      <w:rFonts w:hint="default" w:ascii="Times New Roman" w:hAnsi="Times New Roman" w:eastAsia="宋体" w:cs="Times New Roman"/>
                      <w:u w:val="none" w:color="auto"/>
                      <w:lang w:val="en-US" w:eastAsia="zh-CN"/>
                    </w:rPr>
                    <w:t>/次</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0.02</w:t>
                  </w:r>
                </w:p>
              </w:tc>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7.2</w:t>
                  </w:r>
                </w:p>
              </w:tc>
              <w:tc>
                <w:tcPr>
                  <w:tcW w:w="4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p>
              </w:tc>
              <w:tc>
                <w:tcPr>
                  <w:tcW w:w="692" w:type="pct"/>
                  <w:gridSpan w:val="2"/>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p>
              </w:tc>
              <w:tc>
                <w:tcPr>
                  <w:tcW w:w="69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制备软水</w:t>
                  </w:r>
                </w:p>
              </w:tc>
              <w:tc>
                <w:tcPr>
                  <w:tcW w:w="1535"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5.25</w:t>
                  </w:r>
                </w:p>
              </w:tc>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1890</w:t>
                  </w:r>
                </w:p>
              </w:tc>
              <w:tc>
                <w:tcPr>
                  <w:tcW w:w="4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5</w:t>
                  </w:r>
                </w:p>
              </w:tc>
              <w:tc>
                <w:tcPr>
                  <w:tcW w:w="1390"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湿式除尘</w:t>
                  </w:r>
                  <w:r>
                    <w:rPr>
                      <w:rFonts w:hint="default" w:ascii="Times New Roman" w:hAnsi="Times New Roman" w:eastAsia="宋体" w:cs="Times New Roman"/>
                      <w:u w:val="none" w:color="auto"/>
                    </w:rPr>
                    <w:t>器用水</w:t>
                  </w:r>
                </w:p>
              </w:tc>
              <w:tc>
                <w:tcPr>
                  <w:tcW w:w="1535"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0.04</w:t>
                  </w:r>
                </w:p>
              </w:tc>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14.4</w:t>
                  </w:r>
                </w:p>
              </w:tc>
              <w:tc>
                <w:tcPr>
                  <w:tcW w:w="4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6</w:t>
                  </w:r>
                </w:p>
              </w:tc>
              <w:tc>
                <w:tcPr>
                  <w:tcW w:w="1390"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化验室用</w:t>
                  </w:r>
                  <w:r>
                    <w:rPr>
                      <w:rFonts w:hint="default" w:ascii="Times New Roman" w:hAnsi="Times New Roman" w:eastAsia="宋体" w:cs="Times New Roman"/>
                      <w:u w:val="none" w:color="auto"/>
                    </w:rPr>
                    <w:t>水</w:t>
                  </w:r>
                </w:p>
              </w:tc>
              <w:tc>
                <w:tcPr>
                  <w:tcW w:w="1535"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0.0056</w:t>
                  </w:r>
                </w:p>
              </w:tc>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2</w:t>
                  </w:r>
                </w:p>
              </w:tc>
              <w:tc>
                <w:tcPr>
                  <w:tcW w:w="40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209" w:type="pct"/>
                  <w:gridSpan w:val="7"/>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合计</w:t>
                  </w:r>
                </w:p>
              </w:tc>
              <w:tc>
                <w:tcPr>
                  <w:tcW w:w="56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41.2256</w:t>
                  </w:r>
                </w:p>
              </w:tc>
              <w:tc>
                <w:tcPr>
                  <w:tcW w:w="821" w:type="pct"/>
                  <w:tcBorders>
                    <w:tl2br w:val="nil"/>
                    <w:tr2bl w:val="nil"/>
                  </w:tcBorders>
                  <w:vAlign w:val="center"/>
                </w:tcPr>
                <w:p>
                  <w:pPr>
                    <w:keepNext w:val="0"/>
                    <w:keepLines w:val="0"/>
                    <w:widowControl/>
                    <w:suppressLineNumbers w:val="0"/>
                    <w:wordWrap/>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color="auto"/>
                      <w:lang w:val="en-US" w:eastAsia="zh-CN" w:bidi="zh-CN"/>
                    </w:rPr>
                  </w:pPr>
                  <w:r>
                    <w:rPr>
                      <w:rFonts w:hint="default" w:ascii="Times New Roman" w:hAnsi="Times New Roman" w:eastAsia="宋体" w:cs="Times New Roman"/>
                      <w:i w:val="0"/>
                      <w:iCs w:val="0"/>
                      <w:color w:val="000000"/>
                      <w:kern w:val="0"/>
                      <w:sz w:val="21"/>
                      <w:szCs w:val="21"/>
                      <w:u w:val="none" w:color="auto"/>
                      <w:lang w:val="en-US" w:eastAsia="zh-CN" w:bidi="ar"/>
                    </w:rPr>
                    <w:t>14840.6</w:t>
                  </w:r>
                </w:p>
              </w:tc>
              <w:tc>
                <w:tcPr>
                  <w:tcW w:w="40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w:t>
                  </w:r>
                </w:p>
              </w:tc>
            </w:tr>
          </w:tbl>
          <w:p>
            <w:pPr>
              <w:pStyle w:val="8"/>
              <w:keepNext w:val="0"/>
              <w:keepLines w:val="0"/>
              <w:wordWrap/>
              <w:overflowPunct w:val="0"/>
              <w:topLinePunct w:val="0"/>
              <w:autoSpaceDE w:val="0"/>
              <w:autoSpaceDN w:val="0"/>
              <w:ind w:firstLine="482"/>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lang w:val="en-US"/>
              </w:rPr>
              <w:t>.6.</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lang w:val="en-US"/>
              </w:rPr>
              <w:t>排水</w:t>
            </w:r>
          </w:p>
          <w:p>
            <w:pPr>
              <w:widowControl/>
              <w:wordWrap/>
              <w:ind w:firstLine="480"/>
              <w:rPr>
                <w:rFonts w:ascii="Times New Roman" w:hAnsi="Times New Roman" w:cs="Times New Roman"/>
                <w:u w:val="none" w:color="auto"/>
                <w:lang w:val="en-US"/>
              </w:rPr>
            </w:pPr>
            <w:r>
              <w:rPr>
                <w:rFonts w:hint="default" w:ascii="Times New Roman" w:hAnsi="Times New Roman" w:cs="Times New Roman"/>
                <w:u w:val="none" w:color="auto"/>
              </w:rPr>
              <w:t>（</w:t>
            </w:r>
            <w:r>
              <w:rPr>
                <w:rFonts w:hint="default" w:ascii="Times New Roman" w:hAnsi="Times New Roman" w:cs="Times New Roman"/>
                <w:u w:val="none" w:color="auto"/>
                <w:lang w:val="en-US"/>
              </w:rPr>
              <w:t>1</w:t>
            </w:r>
            <w:r>
              <w:rPr>
                <w:rFonts w:hint="default" w:ascii="Times New Roman" w:hAnsi="Times New Roman" w:cs="Times New Roman"/>
                <w:u w:val="none" w:color="auto"/>
              </w:rPr>
              <w:t>）</w:t>
            </w:r>
            <w:r>
              <w:rPr>
                <w:rFonts w:hint="default" w:ascii="Times New Roman" w:hAnsi="Times New Roman" w:cs="Times New Roman"/>
                <w:u w:val="none" w:color="auto"/>
                <w:lang w:val="en-US"/>
              </w:rPr>
              <w:t>生活废水</w:t>
            </w:r>
          </w:p>
          <w:p>
            <w:pPr>
              <w:widowControl/>
              <w:ind w:firstLine="480"/>
              <w:jc w:val="left"/>
              <w:rPr>
                <w:rFonts w:ascii="Times New Roman" w:hAnsi="Times New Roman" w:cs="Times New Roman"/>
                <w:u w:val="none" w:color="auto"/>
              </w:rPr>
            </w:pPr>
            <w:r>
              <w:rPr>
                <w:rFonts w:ascii="Times New Roman" w:hAnsi="Times New Roman" w:cs="Times New Roman"/>
                <w:u w:val="none" w:color="auto"/>
              </w:rPr>
              <w:t>项目</w:t>
            </w:r>
            <w:r>
              <w:rPr>
                <w:rFonts w:hint="default" w:ascii="Times New Roman" w:hAnsi="Times New Roman" w:cs="Times New Roman"/>
                <w:u w:val="none" w:color="auto"/>
              </w:rPr>
              <w:t>职工用水共计</w:t>
            </w:r>
            <w:r>
              <w:rPr>
                <w:rFonts w:hint="default" w:ascii="Times New Roman" w:hAnsi="Times New Roman" w:cs="Times New Roman"/>
                <w:u w:val="none" w:color="auto"/>
                <w:lang w:val="en-US" w:eastAsia="zh-CN"/>
              </w:rPr>
              <w:t>380</w:t>
            </w:r>
            <w:r>
              <w:rPr>
                <w:rFonts w:hint="default" w:ascii="Times New Roman" w:hAnsi="Times New Roman" w:cs="Times New Roman"/>
                <w:u w:val="none" w:color="auto"/>
                <w:lang w:val="en-US"/>
              </w:rPr>
              <w:t>m</w:t>
            </w:r>
            <w:r>
              <w:rPr>
                <w:rFonts w:hint="default" w:ascii="Times New Roman" w:hAnsi="Times New Roman" w:cs="Times New Roman"/>
                <w:u w:val="none" w:color="auto"/>
                <w:vertAlign w:val="superscript"/>
                <w:lang w:val="en-US"/>
              </w:rPr>
              <w:t>3</w:t>
            </w:r>
            <w:r>
              <w:rPr>
                <w:rFonts w:hint="default" w:ascii="Times New Roman" w:hAnsi="Times New Roman" w:cs="Times New Roman"/>
                <w:u w:val="none" w:color="auto"/>
                <w:lang w:val="en-US"/>
              </w:rPr>
              <w:t>/a</w:t>
            </w:r>
            <w:r>
              <w:rPr>
                <w:rFonts w:ascii="Times New Roman" w:hAnsi="Times New Roman" w:cs="Times New Roman"/>
                <w:u w:val="none" w:color="auto"/>
              </w:rPr>
              <w:t>，生活污水产生系数取0.</w:t>
            </w:r>
            <w:r>
              <w:rPr>
                <w:rFonts w:hint="default" w:ascii="Times New Roman" w:hAnsi="Times New Roman" w:cs="Times New Roman"/>
                <w:u w:val="none" w:color="auto"/>
                <w:lang w:val="en-US"/>
              </w:rPr>
              <w:t>9</w:t>
            </w:r>
            <w:r>
              <w:rPr>
                <w:rFonts w:ascii="Times New Roman" w:hAnsi="Times New Roman" w:cs="Times New Roman"/>
                <w:u w:val="none" w:color="auto"/>
              </w:rPr>
              <w:t>计，则生活污水产生量为</w:t>
            </w:r>
            <w:r>
              <w:rPr>
                <w:rFonts w:hint="default" w:ascii="Times New Roman" w:hAnsi="Times New Roman" w:cs="Times New Roman"/>
                <w:u w:val="none" w:color="auto"/>
                <w:lang w:val="en-US" w:eastAsia="zh-CN"/>
              </w:rPr>
              <w:t>342t</w:t>
            </w:r>
            <w:r>
              <w:rPr>
                <w:rFonts w:ascii="Times New Roman" w:hAnsi="Times New Roman" w:cs="Times New Roman"/>
                <w:u w:val="none" w:color="auto"/>
              </w:rPr>
              <w:t>/a。</w:t>
            </w:r>
          </w:p>
          <w:p>
            <w:pPr>
              <w:widowControl/>
              <w:wordWrap/>
              <w:ind w:firstLine="480"/>
              <w:rPr>
                <w:rFonts w:ascii="Times New Roman" w:hAnsi="Times New Roman" w:cs="Times New Roman"/>
                <w:u w:val="none" w:color="auto"/>
                <w:lang w:val="en-US"/>
              </w:rPr>
            </w:pPr>
            <w:r>
              <w:rPr>
                <w:rFonts w:hint="default" w:ascii="Times New Roman" w:hAnsi="Times New Roman" w:cs="Times New Roman"/>
                <w:u w:val="none" w:color="auto"/>
              </w:rPr>
              <w:t>（</w:t>
            </w:r>
            <w:r>
              <w:rPr>
                <w:rFonts w:hint="default" w:ascii="Times New Roman" w:hAnsi="Times New Roman" w:cs="Times New Roman"/>
                <w:u w:val="none" w:color="auto"/>
                <w:lang w:val="en-US"/>
              </w:rPr>
              <w:t>2</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米粉</w:t>
            </w:r>
            <w:r>
              <w:rPr>
                <w:rFonts w:hint="default" w:ascii="Times New Roman" w:hAnsi="Times New Roman" w:cs="Times New Roman"/>
                <w:u w:val="none" w:color="auto"/>
                <w:lang w:val="en-US"/>
              </w:rPr>
              <w:t>生产</w:t>
            </w:r>
            <w:r>
              <w:rPr>
                <w:rFonts w:hint="default" w:ascii="Times New Roman" w:hAnsi="Times New Roman" w:cs="Times New Roman"/>
                <w:u w:val="none" w:color="auto"/>
                <w:lang w:val="en-US" w:eastAsia="zh-CN"/>
              </w:rPr>
              <w:t>线废</w:t>
            </w:r>
            <w:r>
              <w:rPr>
                <w:rFonts w:hint="default" w:ascii="Times New Roman" w:hAnsi="Times New Roman" w:cs="Times New Roman"/>
                <w:u w:val="none" w:color="auto"/>
                <w:lang w:val="en-US"/>
              </w:rPr>
              <w:t>水</w:t>
            </w:r>
          </w:p>
          <w:p>
            <w:pPr>
              <w:keepNext w:val="0"/>
              <w:keepLines w:val="0"/>
              <w:widowControl/>
              <w:suppressLineNumbers w:val="0"/>
              <w:jc w:val="left"/>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米粉生产线废水主要为</w:t>
            </w:r>
            <w:r>
              <w:rPr>
                <w:rFonts w:hint="default" w:ascii="Times New Roman" w:hAnsi="Times New Roman" w:cs="Times New Roman"/>
                <w:u w:val="none" w:color="auto"/>
                <w:lang w:val="en-US"/>
              </w:rPr>
              <w:t>洗米</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浸泡</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磨浆</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蒸皮</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val="en-US"/>
              </w:rPr>
              <w:t>成型</w:t>
            </w:r>
            <w:r>
              <w:rPr>
                <w:rFonts w:hint="default" w:ascii="Times New Roman" w:hAnsi="Times New Roman" w:cs="Times New Roman"/>
                <w:u w:val="none" w:color="auto"/>
                <w:lang w:val="en-US" w:eastAsia="zh-CN"/>
              </w:rPr>
              <w:t>、老化</w:t>
            </w:r>
            <w:r>
              <w:rPr>
                <w:rFonts w:hint="default" w:ascii="Times New Roman" w:hAnsi="Times New Roman" w:cs="Times New Roman"/>
                <w:u w:val="none" w:color="auto"/>
                <w:lang w:val="en-US"/>
              </w:rPr>
              <w:t>水洗</w:t>
            </w:r>
            <w:r>
              <w:rPr>
                <w:rFonts w:hint="default" w:ascii="Times New Roman" w:hAnsi="Times New Roman" w:cs="Times New Roman"/>
                <w:u w:val="none" w:color="auto"/>
                <w:lang w:val="en-US" w:eastAsia="zh-CN"/>
              </w:rPr>
              <w:t>等工序</w:t>
            </w:r>
            <w:r>
              <w:rPr>
                <w:rFonts w:hint="eastAsia" w:cs="Times New Roman"/>
                <w:u w:val="none" w:color="auto"/>
                <w:lang w:val="en-US" w:eastAsia="zh-CN"/>
              </w:rPr>
              <w:t>，包括设备、地面的冲洗</w:t>
            </w:r>
            <w:r>
              <w:rPr>
                <w:rFonts w:hint="default" w:ascii="Times New Roman" w:hAnsi="Times New Roman" w:cs="Times New Roman"/>
                <w:u w:val="none" w:color="auto"/>
                <w:lang w:val="en-US" w:eastAsia="zh-CN"/>
              </w:rPr>
              <w:t>中产生，</w:t>
            </w:r>
            <w:r>
              <w:rPr>
                <w:rFonts w:hint="default" w:ascii="Times New Roman" w:hAnsi="Times New Roman" w:cs="Times New Roman"/>
                <w:u w:val="none" w:color="auto"/>
                <w:lang w:val="en-US"/>
              </w:rPr>
              <w:t>根据《排放源统计调查产排污核算方法和系数手册》</w:t>
            </w:r>
            <w:r>
              <w:rPr>
                <w:rFonts w:ascii="Times New Roman" w:hAnsi="Times New Roman" w:eastAsia="宋体" w:cs="Times New Roman"/>
                <w:sz w:val="24"/>
                <w:szCs w:val="24"/>
                <w:u w:val="none" w:color="auto"/>
              </w:rPr>
              <w:t>1431 米、面制品制造行业系数手册</w:t>
            </w:r>
            <w:r>
              <w:rPr>
                <w:rFonts w:hint="default" w:ascii="Times New Roman" w:hAnsi="Times New Roman" w:cs="Times New Roman"/>
                <w:u w:val="none" w:color="auto"/>
                <w:lang w:val="en-US"/>
              </w:rPr>
              <w:t>中行业系数表，本项目米粉生产废水产生量为</w:t>
            </w:r>
            <w:r>
              <w:rPr>
                <w:rFonts w:hint="default" w:ascii="Times New Roman" w:hAnsi="Times New Roman" w:cs="Times New Roman"/>
                <w:u w:val="none" w:color="auto"/>
                <w:lang w:val="en-US" w:eastAsia="zh-CN"/>
              </w:rPr>
              <w:t>5.5</w:t>
            </w:r>
            <w:r>
              <w:rPr>
                <w:rFonts w:hint="default" w:ascii="Times New Roman" w:hAnsi="Times New Roman" w:cs="Times New Roman"/>
                <w:u w:val="none" w:color="auto"/>
                <w:lang w:val="en-US"/>
              </w:rPr>
              <w:t>t/t·产品，本项目生产</w:t>
            </w:r>
            <w:r>
              <w:rPr>
                <w:rFonts w:hint="default" w:ascii="Times New Roman" w:hAnsi="Times New Roman" w:cs="Times New Roman"/>
                <w:u w:val="none" w:color="auto"/>
                <w:lang w:val="en-US" w:eastAsia="zh-CN"/>
              </w:rPr>
              <w:t>湿</w:t>
            </w:r>
            <w:r>
              <w:rPr>
                <w:rFonts w:hint="default" w:ascii="Times New Roman" w:hAnsi="Times New Roman" w:cs="Times New Roman"/>
                <w:u w:val="none" w:color="auto"/>
                <w:lang w:val="en-US"/>
              </w:rPr>
              <w:t>米粉</w:t>
            </w:r>
            <w:r>
              <w:rPr>
                <w:rFonts w:hint="eastAsia" w:cs="Times New Roman"/>
                <w:u w:val="none" w:color="auto"/>
                <w:lang w:val="en-US" w:eastAsia="zh-CN"/>
              </w:rPr>
              <w:t>1800</w:t>
            </w:r>
            <w:r>
              <w:rPr>
                <w:rFonts w:hint="default" w:ascii="Times New Roman" w:hAnsi="Times New Roman" w:cs="Times New Roman"/>
                <w:u w:val="none" w:color="auto"/>
                <w:lang w:val="en-US"/>
              </w:rPr>
              <w:t>t/a</w:t>
            </w:r>
            <w:r>
              <w:rPr>
                <w:rFonts w:hint="eastAsia" w:cs="Times New Roman"/>
                <w:u w:val="none" w:color="auto"/>
                <w:lang w:val="en-US" w:eastAsia="zh-CN"/>
              </w:rPr>
              <w:t>，</w:t>
            </w:r>
            <w:r>
              <w:rPr>
                <w:rFonts w:hint="default" w:ascii="Times New Roman" w:hAnsi="Times New Roman" w:cs="Times New Roman"/>
                <w:u w:val="none" w:color="auto"/>
                <w:lang w:val="en-US"/>
              </w:rPr>
              <w:t>则</w:t>
            </w:r>
            <w:r>
              <w:rPr>
                <w:rFonts w:hint="eastAsia" w:cs="Times New Roman"/>
                <w:u w:val="none" w:color="auto"/>
                <w:lang w:val="en-US" w:eastAsia="zh-CN"/>
              </w:rPr>
              <w:t>湿</w:t>
            </w:r>
            <w:r>
              <w:rPr>
                <w:rFonts w:hint="default" w:ascii="Times New Roman" w:hAnsi="Times New Roman" w:cs="Times New Roman"/>
                <w:u w:val="none" w:color="auto"/>
                <w:lang w:val="en-US"/>
              </w:rPr>
              <w:t>米粉生产线废水产生量为</w:t>
            </w:r>
            <w:r>
              <w:rPr>
                <w:rFonts w:hint="eastAsia" w:cs="Times New Roman"/>
                <w:u w:val="none" w:color="auto"/>
                <w:lang w:val="en-US" w:eastAsia="zh-CN"/>
              </w:rPr>
              <w:t>9900</w:t>
            </w:r>
            <w:r>
              <w:rPr>
                <w:rFonts w:hint="default" w:ascii="Times New Roman" w:hAnsi="Times New Roman" w:cs="Times New Roman"/>
                <w:u w:val="none" w:color="auto"/>
                <w:lang w:val="en-US"/>
              </w:rPr>
              <w:t>t/a（</w:t>
            </w:r>
            <w:r>
              <w:rPr>
                <w:rFonts w:hint="eastAsia" w:cs="Times New Roman"/>
                <w:u w:val="none" w:color="auto"/>
                <w:lang w:val="en-US" w:eastAsia="zh-CN"/>
              </w:rPr>
              <w:t>27.5</w:t>
            </w:r>
            <w:r>
              <w:rPr>
                <w:rFonts w:hint="default" w:ascii="Times New Roman" w:hAnsi="Times New Roman" w:cs="Times New Roman"/>
                <w:u w:val="none" w:color="auto"/>
                <w:lang w:val="en-US" w:eastAsia="zh-CN"/>
              </w:rPr>
              <w:t>t</w:t>
            </w:r>
            <w:r>
              <w:rPr>
                <w:rFonts w:hint="default" w:ascii="Times New Roman" w:hAnsi="Times New Roman" w:cs="Times New Roman"/>
                <w:u w:val="none" w:color="auto"/>
                <w:lang w:val="en-US"/>
              </w:rPr>
              <w:t>/d）。</w:t>
            </w:r>
          </w:p>
          <w:p>
            <w:pPr>
              <w:ind w:firstLine="480" w:firstLineChars="200"/>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lang w:val="en-US" w:eastAsia="zh-CN"/>
              </w:rPr>
              <w:t>（</w:t>
            </w:r>
            <w:r>
              <w:rPr>
                <w:rFonts w:hint="eastAsia" w:cs="Times New Roman"/>
                <w:highlight w:val="none"/>
                <w:u w:val="none" w:color="auto"/>
                <w:lang w:val="en-US" w:eastAsia="zh-CN"/>
              </w:rPr>
              <w:t>3</w:t>
            </w:r>
            <w:r>
              <w:rPr>
                <w:rFonts w:hint="default" w:ascii="Times New Roman" w:hAnsi="Times New Roman" w:cs="Times New Roman"/>
                <w:highlight w:val="none"/>
                <w:u w:val="none" w:color="auto"/>
                <w:lang w:val="en-US" w:eastAsia="zh-CN"/>
              </w:rPr>
              <w:t>）锅炉废水</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①清洗水（锅炉内排水）</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定期对锅炉进行清洗，约5天清洗一次，清洗用水</w:t>
            </w:r>
            <w:r>
              <w:rPr>
                <w:rFonts w:hint="eastAsia" w:cs="Times New Roman"/>
                <w:u w:val="none" w:color="auto"/>
                <w:lang w:val="en-US" w:eastAsia="zh-CN"/>
              </w:rPr>
              <w:t xml:space="preserve">  </w:t>
            </w:r>
            <w:r>
              <w:rPr>
                <w:rFonts w:hint="default" w:ascii="Times New Roman" w:hAnsi="Times New Roman" w:cs="Times New Roman"/>
                <w:u w:val="none" w:color="auto"/>
                <w:lang w:val="en-US" w:eastAsia="zh-CN"/>
              </w:rPr>
              <w:t>0.1m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/次，厂区年工作时间为360天，全年清洗次数为72次，清洗废水合计7.2m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/a（0.02m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②浓水（锅炉外排水）</w:t>
            </w:r>
          </w:p>
          <w:p>
            <w:pPr>
              <w:bidi w:val="0"/>
              <w:rPr>
                <w:rFonts w:hint="default" w:ascii="Times New Roman" w:hAnsi="Times New Roman" w:cs="Times New Roman"/>
                <w:u w:val="none" w:color="auto"/>
                <w:lang w:eastAsia="zh-CN"/>
              </w:rPr>
            </w:pPr>
            <w:r>
              <w:rPr>
                <w:rFonts w:hint="default" w:ascii="Times New Roman" w:hAnsi="Times New Roman" w:eastAsia="宋体" w:cs="Times New Roman"/>
                <w:u w:val="none" w:color="auto"/>
                <w:lang w:val="en-US" w:eastAsia="zh-CN"/>
              </w:rPr>
              <w:t>项目设置1台0.7t/h锅炉</w:t>
            </w:r>
            <w:r>
              <w:rPr>
                <w:rFonts w:hint="default" w:ascii="Times New Roman" w:hAnsi="Times New Roman" w:cs="Times New Roman"/>
                <w:u w:val="none" w:color="auto"/>
                <w:lang w:val="en-US" w:eastAsia="zh-CN"/>
              </w:rPr>
              <w:t>，配备1台软水设备，锅炉燃料为生物质颗粒，锅炉日运行5h，</w:t>
            </w:r>
            <w:r>
              <w:rPr>
                <w:rFonts w:hint="default" w:ascii="Times New Roman" w:hAnsi="Times New Roman" w:eastAsia="宋体" w:cs="Times New Roman"/>
                <w:u w:val="none" w:color="auto"/>
                <w:lang w:val="en-US" w:eastAsia="zh-CN"/>
              </w:rPr>
              <w:t>锅炉满负荷运行，锅炉蒸汽产量为4.2m</w:t>
            </w:r>
            <w:r>
              <w:rPr>
                <w:rFonts w:hint="default" w:ascii="Times New Roman" w:hAnsi="Times New Roman" w:eastAsia="宋体" w:cs="Times New Roman"/>
                <w:u w:val="none" w:color="auto"/>
                <w:vertAlign w:val="superscript"/>
                <w:lang w:val="en-US" w:eastAsia="zh-CN"/>
              </w:rPr>
              <w:t>3</w:t>
            </w:r>
            <w:r>
              <w:rPr>
                <w:rFonts w:hint="default" w:ascii="Times New Roman" w:hAnsi="Times New Roman" w:eastAsia="宋体" w:cs="Times New Roman"/>
                <w:u w:val="none" w:color="auto"/>
                <w:lang w:val="en-US" w:eastAsia="zh-CN"/>
              </w:rPr>
              <w:t>/d（1512m</w:t>
            </w:r>
            <w:r>
              <w:rPr>
                <w:rFonts w:hint="default" w:ascii="Times New Roman" w:hAnsi="Times New Roman" w:eastAsia="宋体" w:cs="Times New Roman"/>
                <w:u w:val="none" w:color="auto"/>
                <w:vertAlign w:val="superscript"/>
                <w:lang w:val="en-US" w:eastAsia="zh-CN"/>
              </w:rPr>
              <w:t>3</w:t>
            </w:r>
            <w:r>
              <w:rPr>
                <w:rFonts w:hint="default" w:ascii="Times New Roman" w:hAnsi="Times New Roman" w:eastAsia="宋体" w:cs="Times New Roman"/>
                <w:u w:val="none" w:color="auto"/>
                <w:lang w:val="en-US" w:eastAsia="zh-CN"/>
              </w:rPr>
              <w:t>/a）。</w:t>
            </w:r>
            <w:r>
              <w:rPr>
                <w:rFonts w:hint="default" w:ascii="Times New Roman" w:hAnsi="Times New Roman" w:cs="Times New Roman"/>
                <w:u w:val="none" w:color="auto"/>
                <w:lang w:val="en-US" w:eastAsia="zh-CN"/>
              </w:rPr>
              <w:t>锅炉软水系统转化率为80%，则锅炉新鲜水量为5.25m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/d（1890m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/a）。锅炉软水系统浓水产生率为用水量的20%，浓水产生量为1.05m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/d（378m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w:t>
            </w:r>
            <w:r>
              <w:rPr>
                <w:rFonts w:hint="default" w:ascii="Times New Roman" w:hAnsi="Times New Roman" w:cs="Times New Roman"/>
                <w:color w:val="auto"/>
                <w:u w:val="none" w:color="auto"/>
                <w:lang w:val="en-US" w:eastAsia="zh-CN"/>
              </w:rPr>
              <w:t>。</w:t>
            </w:r>
          </w:p>
          <w:p>
            <w:pPr>
              <w:bidi w:val="0"/>
              <w:rPr>
                <w:rFonts w:hint="default" w:ascii="Times New Roman" w:hAnsi="Times New Roman" w:cs="Times New Roman"/>
                <w:u w:val="none" w:color="auto"/>
                <w:lang w:eastAsia="zh-CN"/>
              </w:rPr>
            </w:pPr>
            <w:r>
              <w:rPr>
                <w:rFonts w:hint="default" w:ascii="Times New Roman" w:hAnsi="Times New Roman" w:cs="Times New Roman"/>
                <w:color w:val="auto"/>
                <w:u w:val="none" w:color="auto"/>
                <w:lang w:val="en-US" w:eastAsia="zh-CN"/>
              </w:rPr>
              <w:t>锅炉总废水为734.4m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val="en-US" w:eastAsia="zh-CN"/>
              </w:rPr>
              <w:t>/a（1.07m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val="en-US" w:eastAsia="zh-CN"/>
              </w:rPr>
              <w:t>/d）</w:t>
            </w:r>
            <w:r>
              <w:rPr>
                <w:rFonts w:hint="default" w:ascii="Times New Roman" w:hAnsi="Times New Roman" w:cs="Times New Roman"/>
                <w:color w:val="auto"/>
                <w:u w:val="none" w:color="auto"/>
                <w:vertAlign w:val="baseline"/>
                <w:lang w:val="en-US" w:eastAsia="zh-CN"/>
              </w:rPr>
              <w:t>，废水中含污染物较少，可经排水管排入污水处理站</w:t>
            </w:r>
            <w:r>
              <w:rPr>
                <w:rFonts w:hint="default" w:ascii="Times New Roman" w:hAnsi="Times New Roman" w:cs="Times New Roman"/>
                <w:color w:val="auto"/>
                <w:u w:val="none" w:color="auto"/>
                <w:lang w:val="en-US" w:eastAsia="zh-CN"/>
              </w:rPr>
              <w:t>。</w:t>
            </w:r>
          </w:p>
          <w:p>
            <w:pPr>
              <w:bidi w:val="0"/>
              <w:rPr>
                <w:rFonts w:ascii="Times New Roman" w:hAnsi="Times New Roman" w:cs="Times New Roman"/>
                <w:u w:val="none" w:color="auto"/>
              </w:rPr>
            </w:pPr>
            <w:r>
              <w:rPr>
                <w:rFonts w:hint="default" w:ascii="Times New Roman" w:hAnsi="Times New Roman" w:cs="Times New Roman"/>
                <w:u w:val="none" w:color="auto"/>
                <w:lang w:eastAsia="zh-CN"/>
              </w:rPr>
              <w:t>（</w:t>
            </w:r>
            <w:r>
              <w:rPr>
                <w:rFonts w:hint="eastAsia" w:cs="Times New Roman"/>
                <w:u w:val="none" w:color="auto"/>
                <w:lang w:val="en-US" w:eastAsia="zh-CN"/>
              </w:rPr>
              <w:t>4</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湿式除尘</w:t>
            </w:r>
            <w:r>
              <w:rPr>
                <w:rFonts w:ascii="Times New Roman" w:hAnsi="Times New Roman" w:cs="Times New Roman"/>
                <w:u w:val="none" w:color="auto"/>
              </w:rPr>
              <w:t>器</w:t>
            </w:r>
            <w:r>
              <w:rPr>
                <w:rFonts w:hint="default" w:ascii="Times New Roman" w:hAnsi="Times New Roman" w:cs="Times New Roman"/>
                <w:u w:val="none" w:color="auto"/>
              </w:rPr>
              <w:t>用水：</w:t>
            </w:r>
            <w:r>
              <w:rPr>
                <w:rFonts w:ascii="Times New Roman" w:hAnsi="Times New Roman" w:cs="Times New Roman"/>
                <w:u w:val="none" w:color="auto"/>
              </w:rPr>
              <w:t>根据业主提供的</w:t>
            </w:r>
            <w:r>
              <w:rPr>
                <w:rFonts w:hint="default" w:ascii="Times New Roman" w:hAnsi="Times New Roman" w:cs="Times New Roman"/>
                <w:u w:val="none" w:color="auto"/>
                <w:lang w:val="en-US" w:eastAsia="zh-CN"/>
              </w:rPr>
              <w:t>除尘器</w:t>
            </w:r>
            <w:r>
              <w:rPr>
                <w:rFonts w:ascii="Times New Roman" w:hAnsi="Times New Roman" w:cs="Times New Roman"/>
                <w:u w:val="none" w:color="auto"/>
              </w:rPr>
              <w:t>技术资料，项目</w:t>
            </w:r>
            <w:r>
              <w:rPr>
                <w:rFonts w:hint="default" w:ascii="Times New Roman" w:hAnsi="Times New Roman" w:cs="Times New Roman"/>
                <w:u w:val="none" w:color="auto"/>
                <w:lang w:val="en-US" w:eastAsia="zh-CN"/>
              </w:rPr>
              <w:t>除尘</w:t>
            </w:r>
            <w:r>
              <w:rPr>
                <w:rFonts w:ascii="Times New Roman" w:hAnsi="Times New Roman" w:cs="Times New Roman"/>
                <w:u w:val="none" w:color="auto"/>
              </w:rPr>
              <w:t>器的</w:t>
            </w:r>
            <w:r>
              <w:rPr>
                <w:rFonts w:hint="default" w:ascii="Times New Roman" w:hAnsi="Times New Roman" w:cs="Times New Roman"/>
                <w:u w:val="none" w:color="auto"/>
                <w:lang w:val="en-US" w:eastAsia="zh-CN"/>
              </w:rPr>
              <w:t>水箱容积为0.2m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w:t>
            </w:r>
            <w:r>
              <w:rPr>
                <w:rFonts w:ascii="Times New Roman" w:hAnsi="Times New Roman" w:cs="Times New Roman"/>
                <w:u w:val="none" w:color="auto"/>
              </w:rPr>
              <w:t>所用水循环利用，不外排，损耗按20%计算</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定期补充新鲜水</w:t>
            </w:r>
            <w:r>
              <w:rPr>
                <w:rFonts w:ascii="Times New Roman" w:hAnsi="Times New Roman" w:cs="Times New Roman"/>
                <w:u w:val="none" w:color="auto"/>
              </w:rPr>
              <w:t>；</w:t>
            </w:r>
          </w:p>
          <w:p>
            <w:pPr>
              <w:bidi w:val="0"/>
              <w:rPr>
                <w:rFonts w:hint="default" w:ascii="Times New Roman" w:hAnsi="Times New Roman" w:cs="Times New Roman"/>
                <w:u w:val="none" w:color="auto"/>
                <w:lang w:val="en-US"/>
              </w:rPr>
            </w:pPr>
            <w:r>
              <w:rPr>
                <w:rFonts w:hint="default" w:ascii="Times New Roman" w:hAnsi="Times New Roman" w:cs="Times New Roman"/>
                <w:u w:val="none" w:color="auto"/>
                <w:lang w:eastAsia="zh-CN"/>
              </w:rPr>
              <w:t>（</w:t>
            </w:r>
            <w:r>
              <w:rPr>
                <w:rFonts w:hint="eastAsia" w:cs="Times New Roman"/>
                <w:u w:val="none" w:color="auto"/>
                <w:lang w:val="en-US" w:eastAsia="zh-CN"/>
              </w:rPr>
              <w:t>5</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化验室用</w:t>
            </w:r>
            <w:r>
              <w:rPr>
                <w:rFonts w:ascii="Times New Roman" w:hAnsi="Times New Roman" w:cs="Times New Roman"/>
                <w:u w:val="none" w:color="auto"/>
              </w:rPr>
              <w:t>水</w:t>
            </w:r>
            <w:r>
              <w:rPr>
                <w:rFonts w:hint="default" w:ascii="Times New Roman" w:hAnsi="Times New Roman" w:cs="Times New Roman"/>
                <w:u w:val="none" w:color="auto"/>
                <w:lang w:eastAsia="zh-CN"/>
              </w:rPr>
              <w:t>：检验室主要利用仪器检测产品</w:t>
            </w:r>
            <w:r>
              <w:rPr>
                <w:rFonts w:hint="default" w:ascii="Times New Roman" w:hAnsi="Times New Roman" w:cs="Times New Roman"/>
                <w:u w:val="none" w:color="auto"/>
                <w:lang w:val="en-US" w:eastAsia="zh-CN"/>
              </w:rPr>
              <w:t>的</w:t>
            </w:r>
            <w:r>
              <w:rPr>
                <w:rFonts w:hint="default" w:ascii="Times New Roman" w:hAnsi="Times New Roman" w:cs="Times New Roman"/>
                <w:u w:val="none" w:color="auto"/>
              </w:rPr>
              <w:t>感官、水分、酸碱度、微生物菌落总数、大肠菌群等指标</w:t>
            </w:r>
            <w:r>
              <w:rPr>
                <w:rFonts w:hint="default" w:ascii="Times New Roman" w:hAnsi="Times New Roman" w:cs="Times New Roman"/>
                <w:u w:val="none" w:color="auto"/>
                <w:lang w:eastAsia="zh-CN"/>
              </w:rPr>
              <w:t>，用水量约为</w:t>
            </w:r>
            <w:r>
              <w:rPr>
                <w:rFonts w:hint="default" w:ascii="Times New Roman" w:hAnsi="Times New Roman" w:cs="Times New Roman"/>
                <w:u w:val="none" w:color="auto"/>
                <w:lang w:val="en-US" w:eastAsia="zh-CN"/>
              </w:rPr>
              <w:t>2t/a，</w:t>
            </w:r>
            <w:r>
              <w:rPr>
                <w:rFonts w:ascii="Times New Roman" w:hAnsi="Times New Roman" w:cs="Times New Roman"/>
                <w:u w:val="none" w:color="auto"/>
              </w:rPr>
              <w:t>损耗按20%计算</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则化验室废水为1.6t/a</w:t>
            </w:r>
            <w:r>
              <w:rPr>
                <w:rFonts w:hint="default" w:ascii="Times New Roman" w:hAnsi="Times New Roman" w:cs="Times New Roman"/>
                <w:u w:val="none" w:color="auto"/>
              </w:rPr>
              <w:t>。</w:t>
            </w:r>
          </w:p>
          <w:p>
            <w:pPr>
              <w:ind w:firstLine="480"/>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项目</w:t>
            </w:r>
            <w:r>
              <w:rPr>
                <w:rFonts w:hint="default" w:ascii="Times New Roman" w:hAnsi="Times New Roman" w:cs="Times New Roman"/>
                <w:u w:val="none" w:color="auto"/>
              </w:rPr>
              <w:t>生活</w:t>
            </w:r>
            <w:r>
              <w:rPr>
                <w:rFonts w:ascii="Times New Roman" w:hAnsi="Times New Roman" w:cs="Times New Roman"/>
                <w:u w:val="none" w:color="auto"/>
              </w:rPr>
              <w:t>污水</w:t>
            </w:r>
            <w:r>
              <w:rPr>
                <w:rFonts w:hint="default" w:ascii="Times New Roman" w:hAnsi="Times New Roman" w:cs="Times New Roman"/>
                <w:u w:val="none" w:color="auto"/>
                <w:lang w:val="en-US" w:eastAsia="zh-CN"/>
              </w:rPr>
              <w:t>同</w:t>
            </w:r>
            <w:r>
              <w:rPr>
                <w:rFonts w:hint="default" w:ascii="Times New Roman" w:hAnsi="Times New Roman" w:cs="Times New Roman"/>
                <w:u w:val="none" w:color="auto"/>
              </w:rPr>
              <w:t>生产废水</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地面冲洗废水、设备冲洗废水、锅炉废水、化验室废水</w:t>
            </w:r>
            <w:r>
              <w:rPr>
                <w:rFonts w:hint="default" w:ascii="Times New Roman" w:hAnsi="Times New Roman" w:cs="Times New Roman"/>
                <w:u w:val="none" w:color="auto"/>
              </w:rPr>
              <w:t>进入</w:t>
            </w:r>
            <w:r>
              <w:rPr>
                <w:rFonts w:hint="default" w:ascii="Times New Roman" w:hAnsi="Times New Roman" w:cs="Times New Roman"/>
                <w:u w:val="none" w:color="auto"/>
                <w:lang w:eastAsia="zh-CN"/>
              </w:rPr>
              <w:t>污水处理站处理后达到</w:t>
            </w:r>
            <w:r>
              <w:rPr>
                <w:rFonts w:hint="default" w:ascii="Times New Roman" w:hAnsi="Times New Roman" w:cs="Times New Roman"/>
                <w:highlight w:val="none"/>
                <w:u w:val="none" w:color="auto"/>
                <w:lang w:eastAsia="zh-CN"/>
              </w:rPr>
              <w:t>《农田灌溉水质标准》（GB5084-20</w:t>
            </w:r>
            <w:r>
              <w:rPr>
                <w:rFonts w:hint="default" w:ascii="Times New Roman" w:hAnsi="Times New Roman" w:cs="Times New Roman"/>
                <w:highlight w:val="none"/>
                <w:u w:val="none" w:color="auto"/>
                <w:lang w:val="en-US" w:eastAsia="zh-CN"/>
              </w:rPr>
              <w:t>21</w:t>
            </w:r>
            <w:r>
              <w:rPr>
                <w:rFonts w:hint="default" w:ascii="Times New Roman" w:hAnsi="Times New Roman" w:cs="Times New Roman"/>
                <w:highlight w:val="none"/>
                <w:u w:val="none" w:color="auto"/>
                <w:lang w:eastAsia="zh-CN"/>
              </w:rPr>
              <w:t>）中的</w:t>
            </w:r>
            <w:r>
              <w:rPr>
                <w:rFonts w:hint="default" w:ascii="Times New Roman" w:hAnsi="Times New Roman" w:cs="Times New Roman"/>
                <w:highlight w:val="none"/>
                <w:u w:val="none" w:color="auto"/>
                <w:lang w:val="en-US" w:eastAsia="zh-CN"/>
              </w:rPr>
              <w:t>水田</w:t>
            </w:r>
            <w:r>
              <w:rPr>
                <w:rFonts w:hint="default" w:ascii="Times New Roman" w:hAnsi="Times New Roman" w:cs="Times New Roman"/>
                <w:highlight w:val="none"/>
                <w:u w:val="none" w:color="auto"/>
                <w:lang w:eastAsia="zh-CN"/>
              </w:rPr>
              <w:t>标准后</w:t>
            </w:r>
            <w:r>
              <w:rPr>
                <w:rFonts w:hint="default" w:ascii="Times New Roman" w:hAnsi="Times New Roman" w:cs="Times New Roman"/>
                <w:highlight w:val="none"/>
                <w:u w:val="none" w:color="auto"/>
              </w:rPr>
              <w:t>用于</w:t>
            </w:r>
            <w:r>
              <w:rPr>
                <w:rFonts w:hint="default" w:ascii="Times New Roman" w:hAnsi="Times New Roman" w:cs="Times New Roman"/>
                <w:highlight w:val="none"/>
                <w:u w:val="none" w:color="auto"/>
                <w:lang w:val="en-US" w:eastAsia="zh-CN"/>
              </w:rPr>
              <w:t>水田、</w:t>
            </w:r>
            <w:r>
              <w:rPr>
                <w:rFonts w:hint="default" w:ascii="Times New Roman" w:hAnsi="Times New Roman" w:cs="Times New Roman"/>
                <w:highlight w:val="none"/>
                <w:u w:val="none" w:color="auto"/>
                <w:lang w:eastAsia="zh-CN"/>
              </w:rPr>
              <w:t>旱</w:t>
            </w:r>
            <w:r>
              <w:rPr>
                <w:rFonts w:hint="eastAsia" w:cs="Times New Roman"/>
                <w:highlight w:val="none"/>
                <w:u w:val="none" w:color="auto"/>
                <w:lang w:val="en-US" w:eastAsia="zh-CN"/>
              </w:rPr>
              <w:t>地</w:t>
            </w:r>
            <w:r>
              <w:rPr>
                <w:rFonts w:hint="default" w:ascii="Times New Roman" w:hAnsi="Times New Roman" w:cs="Times New Roman"/>
                <w:highlight w:val="none"/>
                <w:u w:val="none" w:color="auto"/>
                <w:lang w:val="en-US" w:eastAsia="zh-CN"/>
              </w:rPr>
              <w:t>的灌溉</w:t>
            </w:r>
            <w:r>
              <w:rPr>
                <w:rFonts w:hint="default" w:ascii="Times New Roman" w:hAnsi="Times New Roman" w:cs="Times New Roman"/>
                <w:highlight w:val="none"/>
                <w:u w:val="none" w:color="auto"/>
              </w:rPr>
              <w:t>，不</w:t>
            </w:r>
            <w:r>
              <w:rPr>
                <w:rFonts w:hint="default" w:ascii="Times New Roman" w:hAnsi="Times New Roman" w:cs="Times New Roman"/>
                <w:u w:val="none" w:color="auto"/>
              </w:rPr>
              <w:t>外排</w:t>
            </w:r>
            <w:r>
              <w:rPr>
                <w:rFonts w:hint="default" w:ascii="Times New Roman" w:hAnsi="Times New Roman" w:cs="Times New Roman"/>
                <w:u w:val="none" w:color="auto"/>
                <w:lang w:eastAsia="zh-CN"/>
              </w:rPr>
              <w:t>。</w:t>
            </w:r>
          </w:p>
          <w:p>
            <w:pPr>
              <w:pStyle w:val="43"/>
              <w:bidi w:val="0"/>
              <w:rPr>
                <w:rFonts w:ascii="Times New Roman" w:hAnsi="Times New Roman" w:cs="Times New Roman"/>
                <w:u w:val="none" w:color="auto"/>
              </w:rPr>
            </w:pPr>
            <w:r>
              <w:rPr>
                <w:rFonts w:ascii="Times New Roman" w:hAnsi="Times New Roman" w:cs="Times New Roman"/>
                <w:u w:val="none" w:color="auto"/>
              </w:rPr>
              <w:t>表</w:t>
            </w:r>
            <w:r>
              <w:rPr>
                <w:rFonts w:hint="default" w:ascii="Times New Roman" w:hAnsi="Times New Roman" w:cs="Times New Roman"/>
                <w:u w:val="none" w:color="auto"/>
                <w:lang w:val="en-US" w:eastAsia="zh-CN"/>
              </w:rPr>
              <w:t>2.4-</w:t>
            </w:r>
            <w:r>
              <w:rPr>
                <w:rFonts w:hint="eastAsia" w:ascii="Times New Roman" w:hAnsi="Times New Roman" w:cs="Times New Roman"/>
                <w:u w:val="none" w:color="auto"/>
                <w:lang w:val="en-US" w:eastAsia="zh-CN"/>
              </w:rPr>
              <w:t>9</w:t>
            </w:r>
            <w:r>
              <w:rPr>
                <w:rFonts w:ascii="Times New Roman" w:hAnsi="Times New Roman" w:cs="Times New Roman"/>
                <w:u w:val="none" w:color="auto"/>
              </w:rPr>
              <w:t xml:space="preserve"> 项目运营期生产生活给排水平衡表一览表</w:t>
            </w:r>
          </w:p>
          <w:tbl>
            <w:tblPr>
              <w:tblStyle w:val="28"/>
              <w:tblW w:w="498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1516"/>
              <w:gridCol w:w="1187"/>
              <w:gridCol w:w="1004"/>
              <w:gridCol w:w="917"/>
              <w:gridCol w:w="1018"/>
              <w:gridCol w:w="961"/>
              <w:gridCol w:w="13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58" w:type="pct"/>
                  <w:vMerge w:val="restart"/>
                  <w:noWrap w:val="0"/>
                  <w:vAlign w:val="center"/>
                </w:tcPr>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序号</w:t>
                  </w:r>
                </w:p>
              </w:tc>
              <w:tc>
                <w:tcPr>
                  <w:tcW w:w="904" w:type="pct"/>
                  <w:vMerge w:val="restart"/>
                  <w:noWrap w:val="0"/>
                  <w:vAlign w:val="center"/>
                </w:tcPr>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用水单位</w:t>
                  </w:r>
                </w:p>
              </w:tc>
              <w:tc>
                <w:tcPr>
                  <w:tcW w:w="1854" w:type="pct"/>
                  <w:gridSpan w:val="3"/>
                  <w:noWrap w:val="0"/>
                  <w:vAlign w:val="center"/>
                </w:tcPr>
                <w:p>
                  <w:pPr>
                    <w:pStyle w:val="39"/>
                    <w:bidi w:val="0"/>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rPr>
                    <w:t>用 水 量</w:t>
                  </w:r>
                  <w:r>
                    <w:rPr>
                      <w:rFonts w:hint="default" w:ascii="Times New Roman" w:hAnsi="Times New Roman" w:eastAsia="宋体" w:cs="Times New Roman"/>
                      <w:b/>
                      <w:bCs/>
                      <w:u w:val="none" w:color="auto"/>
                      <w:lang w:val="en-US" w:eastAsia="zh-CN"/>
                    </w:rPr>
                    <w:t>t</w:t>
                  </w:r>
                  <w:r>
                    <w:rPr>
                      <w:rFonts w:hint="default" w:ascii="Times New Roman" w:hAnsi="Times New Roman" w:eastAsia="宋体" w:cs="Times New Roman"/>
                      <w:b/>
                      <w:bCs/>
                      <w:u w:val="none" w:color="auto"/>
                    </w:rPr>
                    <w:t>/</w:t>
                  </w:r>
                  <w:r>
                    <w:rPr>
                      <w:rFonts w:hint="default" w:ascii="Times New Roman" w:hAnsi="Times New Roman" w:eastAsia="宋体" w:cs="Times New Roman"/>
                      <w:b/>
                      <w:bCs/>
                      <w:u w:val="none" w:color="auto"/>
                      <w:lang w:val="en-US" w:eastAsia="zh-CN"/>
                    </w:rPr>
                    <w:t>a</w:t>
                  </w:r>
                </w:p>
              </w:tc>
              <w:tc>
                <w:tcPr>
                  <w:tcW w:w="607" w:type="pct"/>
                  <w:vMerge w:val="restart"/>
                  <w:noWrap w:val="0"/>
                  <w:vAlign w:val="center"/>
                </w:tcPr>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消耗水</w:t>
                  </w:r>
                  <w:r>
                    <w:rPr>
                      <w:rFonts w:hint="default" w:ascii="Times New Roman" w:hAnsi="Times New Roman" w:eastAsia="宋体" w:cs="Times New Roman"/>
                      <w:b/>
                      <w:bCs/>
                      <w:u w:val="none" w:color="auto"/>
                      <w:lang w:val="en-US" w:eastAsia="zh-CN"/>
                    </w:rPr>
                    <w:t>t</w:t>
                  </w:r>
                  <w:r>
                    <w:rPr>
                      <w:rFonts w:hint="default" w:ascii="Times New Roman" w:hAnsi="Times New Roman" w:eastAsia="宋体" w:cs="Times New Roman"/>
                      <w:b/>
                      <w:bCs/>
                      <w:u w:val="none" w:color="auto"/>
                    </w:rPr>
                    <w:t>/</w:t>
                  </w:r>
                  <w:r>
                    <w:rPr>
                      <w:rFonts w:hint="default" w:ascii="Times New Roman" w:hAnsi="Times New Roman" w:eastAsia="宋体" w:cs="Times New Roman"/>
                      <w:b/>
                      <w:bCs/>
                      <w:u w:val="none" w:color="auto"/>
                      <w:lang w:val="en-US" w:eastAsia="zh-CN"/>
                    </w:rPr>
                    <w:t>a</w:t>
                  </w:r>
                </w:p>
              </w:tc>
              <w:tc>
                <w:tcPr>
                  <w:tcW w:w="573" w:type="pct"/>
                  <w:vMerge w:val="restart"/>
                  <w:noWrap w:val="0"/>
                  <w:vAlign w:val="center"/>
                </w:tcPr>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废水产生量</w:t>
                  </w:r>
                </w:p>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lang w:val="en-US" w:eastAsia="zh-CN"/>
                    </w:rPr>
                    <w:t>t</w:t>
                  </w:r>
                  <w:r>
                    <w:rPr>
                      <w:rFonts w:hint="default" w:ascii="Times New Roman" w:hAnsi="Times New Roman" w:eastAsia="宋体" w:cs="Times New Roman"/>
                      <w:b/>
                      <w:bCs/>
                      <w:u w:val="none" w:color="auto"/>
                    </w:rPr>
                    <w:t>/</w:t>
                  </w:r>
                  <w:r>
                    <w:rPr>
                      <w:rFonts w:hint="default" w:ascii="Times New Roman" w:hAnsi="Times New Roman" w:eastAsia="宋体" w:cs="Times New Roman"/>
                      <w:b/>
                      <w:bCs/>
                      <w:u w:val="none" w:color="auto"/>
                      <w:lang w:val="en-US" w:eastAsia="zh-CN"/>
                    </w:rPr>
                    <w:t>a</w:t>
                  </w:r>
                </w:p>
              </w:tc>
              <w:tc>
                <w:tcPr>
                  <w:tcW w:w="802" w:type="pct"/>
                  <w:vMerge w:val="restart"/>
                  <w:noWrap w:val="0"/>
                  <w:vAlign w:val="center"/>
                </w:tcPr>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排水去向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8" w:type="pct"/>
                  <w:vMerge w:val="continue"/>
                  <w:noWrap w:val="0"/>
                  <w:vAlign w:val="center"/>
                </w:tcPr>
                <w:p>
                  <w:pPr>
                    <w:pStyle w:val="39"/>
                    <w:bidi w:val="0"/>
                    <w:rPr>
                      <w:rFonts w:hint="default" w:ascii="Times New Roman" w:hAnsi="Times New Roman" w:eastAsia="宋体" w:cs="Times New Roman"/>
                      <w:u w:val="none" w:color="auto"/>
                    </w:rPr>
                  </w:pPr>
                </w:p>
              </w:tc>
              <w:tc>
                <w:tcPr>
                  <w:tcW w:w="904" w:type="pct"/>
                  <w:vMerge w:val="continue"/>
                  <w:noWrap w:val="0"/>
                  <w:vAlign w:val="center"/>
                </w:tcPr>
                <w:p>
                  <w:pPr>
                    <w:pStyle w:val="39"/>
                    <w:bidi w:val="0"/>
                    <w:rPr>
                      <w:rFonts w:hint="default" w:ascii="Times New Roman" w:hAnsi="Times New Roman" w:eastAsia="宋体" w:cs="Times New Roman"/>
                      <w:u w:val="none" w:color="auto"/>
                    </w:rPr>
                  </w:pPr>
                </w:p>
              </w:tc>
              <w:tc>
                <w:tcPr>
                  <w:tcW w:w="708" w:type="pct"/>
                  <w:noWrap w:val="0"/>
                  <w:vAlign w:val="center"/>
                </w:tcPr>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总用水量</w:t>
                  </w:r>
                </w:p>
              </w:tc>
              <w:tc>
                <w:tcPr>
                  <w:tcW w:w="599" w:type="pct"/>
                  <w:noWrap w:val="0"/>
                  <w:vAlign w:val="center"/>
                </w:tcPr>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新水</w:t>
                  </w:r>
                </w:p>
              </w:tc>
              <w:tc>
                <w:tcPr>
                  <w:tcW w:w="547" w:type="pct"/>
                  <w:noWrap w:val="0"/>
                  <w:vAlign w:val="center"/>
                </w:tcPr>
                <w:p>
                  <w:pPr>
                    <w:pStyle w:val="39"/>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循环水</w:t>
                  </w:r>
                </w:p>
              </w:tc>
              <w:tc>
                <w:tcPr>
                  <w:tcW w:w="607" w:type="pct"/>
                  <w:vMerge w:val="continue"/>
                  <w:noWrap w:val="0"/>
                  <w:vAlign w:val="center"/>
                </w:tcPr>
                <w:p>
                  <w:pPr>
                    <w:pStyle w:val="39"/>
                    <w:bidi w:val="0"/>
                    <w:rPr>
                      <w:rFonts w:hint="default" w:ascii="Times New Roman" w:hAnsi="Times New Roman" w:eastAsia="宋体" w:cs="Times New Roman"/>
                      <w:u w:val="none" w:color="auto"/>
                    </w:rPr>
                  </w:pPr>
                </w:p>
              </w:tc>
              <w:tc>
                <w:tcPr>
                  <w:tcW w:w="573" w:type="pct"/>
                  <w:vMerge w:val="continue"/>
                  <w:noWrap w:val="0"/>
                  <w:vAlign w:val="center"/>
                </w:tcPr>
                <w:p>
                  <w:pPr>
                    <w:pStyle w:val="39"/>
                    <w:bidi w:val="0"/>
                    <w:rPr>
                      <w:rFonts w:hint="default" w:ascii="Times New Roman" w:hAnsi="Times New Roman" w:eastAsia="宋体" w:cs="Times New Roman"/>
                      <w:u w:val="none" w:color="auto"/>
                    </w:rPr>
                  </w:pPr>
                </w:p>
              </w:tc>
              <w:tc>
                <w:tcPr>
                  <w:tcW w:w="802" w:type="pct"/>
                  <w:vMerge w:val="continue"/>
                  <w:noWrap w:val="0"/>
                  <w:vAlign w:val="center"/>
                </w:tcPr>
                <w:p>
                  <w:pPr>
                    <w:pStyle w:val="39"/>
                    <w:bidi w:val="0"/>
                    <w:rPr>
                      <w:rFonts w:hint="default" w:ascii="Times New Roman" w:hAnsi="Times New Roman" w:eastAsia="宋体" w:cs="Times New Roman"/>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8" w:type="pct"/>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rPr>
                    <w:t>1</w:t>
                  </w:r>
                </w:p>
              </w:tc>
              <w:tc>
                <w:tcPr>
                  <w:tcW w:w="904"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rPr>
                    <w:t>生活用水</w:t>
                  </w:r>
                </w:p>
              </w:tc>
              <w:tc>
                <w:tcPr>
                  <w:tcW w:w="708"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eastAsia="zh-CN"/>
                    </w:rPr>
                    <w:t>380</w:t>
                  </w:r>
                </w:p>
              </w:tc>
              <w:tc>
                <w:tcPr>
                  <w:tcW w:w="599"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380</w:t>
                  </w:r>
                </w:p>
              </w:tc>
              <w:tc>
                <w:tcPr>
                  <w:tcW w:w="547" w:type="pct"/>
                  <w:noWrap w:val="0"/>
                  <w:vAlign w:val="center"/>
                </w:tcPr>
                <w:p>
                  <w:pPr>
                    <w:pStyle w:val="39"/>
                    <w:bidi w:val="0"/>
                    <w:rPr>
                      <w:rFonts w:hint="default" w:ascii="Times New Roman" w:hAnsi="Times New Roman" w:eastAsia="宋体" w:cs="Times New Roman"/>
                      <w:u w:val="none" w:color="auto"/>
                      <w:lang w:eastAsia="zh-CN"/>
                    </w:rPr>
                  </w:pPr>
                  <w:r>
                    <w:rPr>
                      <w:rFonts w:hint="default" w:ascii="Times New Roman" w:hAnsi="Times New Roman" w:eastAsia="宋体" w:cs="Times New Roman"/>
                      <w:u w:val="none" w:color="auto"/>
                      <w:lang w:val="en-US" w:eastAsia="zh-CN"/>
                    </w:rPr>
                    <w:t>0</w:t>
                  </w:r>
                </w:p>
              </w:tc>
              <w:tc>
                <w:tcPr>
                  <w:tcW w:w="607"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38</w:t>
                  </w:r>
                </w:p>
              </w:tc>
              <w:tc>
                <w:tcPr>
                  <w:tcW w:w="573"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342</w:t>
                  </w:r>
                </w:p>
              </w:tc>
              <w:tc>
                <w:tcPr>
                  <w:tcW w:w="802"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污水处理站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58" w:type="pct"/>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rPr>
                    <w:t>2</w:t>
                  </w:r>
                </w:p>
              </w:tc>
              <w:tc>
                <w:tcPr>
                  <w:tcW w:w="904"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eastAsia="zh-CN"/>
                    </w:rPr>
                    <w:t>米粉</w:t>
                  </w:r>
                  <w:r>
                    <w:rPr>
                      <w:rFonts w:hint="default" w:ascii="Times New Roman" w:hAnsi="Times New Roman" w:eastAsia="宋体" w:cs="Times New Roman"/>
                      <w:u w:val="none" w:color="auto"/>
                      <w:lang w:val="en-US"/>
                    </w:rPr>
                    <w:t>生产</w:t>
                  </w:r>
                  <w:r>
                    <w:rPr>
                      <w:rFonts w:hint="default" w:ascii="Times New Roman" w:hAnsi="Times New Roman" w:eastAsia="宋体" w:cs="Times New Roman"/>
                      <w:u w:val="none" w:color="auto"/>
                      <w:lang w:val="en-US" w:eastAsia="zh-CN"/>
                    </w:rPr>
                    <w:t>线生产</w:t>
                  </w:r>
                  <w:r>
                    <w:rPr>
                      <w:rFonts w:hint="default" w:ascii="Times New Roman" w:hAnsi="Times New Roman" w:eastAsia="宋体" w:cs="Times New Roman"/>
                      <w:u w:val="none" w:color="auto"/>
                      <w:lang w:val="en-US"/>
                    </w:rPr>
                    <w:t>用水</w:t>
                  </w:r>
                </w:p>
              </w:tc>
              <w:tc>
                <w:tcPr>
                  <w:tcW w:w="708"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eastAsia="zh-CN"/>
                    </w:rPr>
                    <w:t>11647</w:t>
                  </w:r>
                </w:p>
              </w:tc>
              <w:tc>
                <w:tcPr>
                  <w:tcW w:w="599"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11647</w:t>
                  </w:r>
                </w:p>
              </w:tc>
              <w:tc>
                <w:tcPr>
                  <w:tcW w:w="547" w:type="pct"/>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rPr>
                    <w:t>0</w:t>
                  </w:r>
                </w:p>
              </w:tc>
              <w:tc>
                <w:tcPr>
                  <w:tcW w:w="607"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1747</w:t>
                  </w:r>
                </w:p>
              </w:tc>
              <w:tc>
                <w:tcPr>
                  <w:tcW w:w="573" w:type="pct"/>
                  <w:noWrap w:val="0"/>
                  <w:vAlign w:val="center"/>
                </w:tcPr>
                <w:p>
                  <w:pPr>
                    <w:pStyle w:val="39"/>
                    <w:bidi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9900</w:t>
                  </w:r>
                </w:p>
              </w:tc>
              <w:tc>
                <w:tcPr>
                  <w:tcW w:w="802" w:type="pct"/>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eastAsia="zh-CN"/>
                    </w:rPr>
                    <w:t>污水处理站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8"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3</w:t>
                  </w:r>
                </w:p>
              </w:tc>
              <w:tc>
                <w:tcPr>
                  <w:tcW w:w="904"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eastAsia="zh-CN"/>
                    </w:rPr>
                    <w:t>米粉生产用水</w:t>
                  </w:r>
                </w:p>
              </w:tc>
              <w:tc>
                <w:tcPr>
                  <w:tcW w:w="708"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eastAsia="zh-CN"/>
                    </w:rPr>
                    <w:t>900</w:t>
                  </w:r>
                </w:p>
              </w:tc>
              <w:tc>
                <w:tcPr>
                  <w:tcW w:w="599"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900</w:t>
                  </w:r>
                </w:p>
              </w:tc>
              <w:tc>
                <w:tcPr>
                  <w:tcW w:w="547" w:type="pct"/>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rPr>
                    <w:t>0</w:t>
                  </w:r>
                </w:p>
              </w:tc>
              <w:tc>
                <w:tcPr>
                  <w:tcW w:w="607"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900</w:t>
                  </w:r>
                </w:p>
              </w:tc>
              <w:tc>
                <w:tcPr>
                  <w:tcW w:w="573"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0</w:t>
                  </w:r>
                </w:p>
              </w:tc>
              <w:tc>
                <w:tcPr>
                  <w:tcW w:w="802" w:type="pct"/>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eastAsia="zh-CN"/>
                    </w:rPr>
                    <w:t>进入产品中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8"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rPr>
                    <w:t>4</w:t>
                  </w:r>
                </w:p>
              </w:tc>
              <w:tc>
                <w:tcPr>
                  <w:tcW w:w="904"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sz w:val="21"/>
                      <w:szCs w:val="21"/>
                      <w:u w:val="none" w:color="auto"/>
                      <w:lang w:val="en-US" w:eastAsia="zh-CN" w:bidi="zh-CN"/>
                    </w:rPr>
                  </w:pPr>
                  <w:r>
                    <w:rPr>
                      <w:rFonts w:hint="default" w:ascii="Times New Roman" w:hAnsi="Times New Roman" w:eastAsia="宋体" w:cs="Times New Roman"/>
                      <w:u w:val="none" w:color="auto"/>
                      <w:lang w:val="en-US" w:eastAsia="zh-CN"/>
                    </w:rPr>
                    <w:t>锅炉用水</w:t>
                  </w:r>
                </w:p>
              </w:tc>
              <w:tc>
                <w:tcPr>
                  <w:tcW w:w="708"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sz w:val="21"/>
                      <w:szCs w:val="21"/>
                      <w:u w:val="none" w:color="auto"/>
                      <w:lang w:val="en-US" w:eastAsia="zh-CN" w:bidi="zh-CN"/>
                    </w:rPr>
                  </w:pPr>
                  <w:r>
                    <w:rPr>
                      <w:rFonts w:hint="default" w:ascii="Times New Roman" w:hAnsi="Times New Roman" w:eastAsia="宋体" w:cs="Times New Roman"/>
                      <w:u w:val="none" w:color="auto"/>
                      <w:lang w:val="en-US" w:eastAsia="zh-CN"/>
                    </w:rPr>
                    <w:t>1897.2</w:t>
                  </w:r>
                </w:p>
              </w:tc>
              <w:tc>
                <w:tcPr>
                  <w:tcW w:w="599"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1897.2</w:t>
                  </w:r>
                </w:p>
              </w:tc>
              <w:tc>
                <w:tcPr>
                  <w:tcW w:w="547"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0</w:t>
                  </w:r>
                </w:p>
              </w:tc>
              <w:tc>
                <w:tcPr>
                  <w:tcW w:w="607"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1162.8</w:t>
                  </w:r>
                </w:p>
              </w:tc>
              <w:tc>
                <w:tcPr>
                  <w:tcW w:w="573"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734.4</w:t>
                  </w:r>
                </w:p>
              </w:tc>
              <w:tc>
                <w:tcPr>
                  <w:tcW w:w="802"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污水处理站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8"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rPr>
                    <w:t>5</w:t>
                  </w:r>
                </w:p>
              </w:tc>
              <w:tc>
                <w:tcPr>
                  <w:tcW w:w="904"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sz w:val="21"/>
                      <w:szCs w:val="21"/>
                      <w:u w:val="none" w:color="auto"/>
                      <w:lang w:val="en-US" w:eastAsia="zh-CN" w:bidi="zh-CN"/>
                    </w:rPr>
                  </w:pPr>
                  <w:r>
                    <w:rPr>
                      <w:rFonts w:hint="default" w:ascii="Times New Roman" w:hAnsi="Times New Roman" w:eastAsia="宋体" w:cs="Times New Roman"/>
                      <w:u w:val="none" w:color="auto"/>
                      <w:lang w:val="en-US" w:eastAsia="zh-CN"/>
                    </w:rPr>
                    <w:t>湿式除尘</w:t>
                  </w:r>
                  <w:r>
                    <w:rPr>
                      <w:rFonts w:hint="default" w:ascii="Times New Roman" w:hAnsi="Times New Roman" w:eastAsia="宋体" w:cs="Times New Roman"/>
                      <w:u w:val="none" w:color="auto"/>
                    </w:rPr>
                    <w:t>器用水</w:t>
                  </w:r>
                </w:p>
              </w:tc>
              <w:tc>
                <w:tcPr>
                  <w:tcW w:w="708"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sz w:val="21"/>
                      <w:szCs w:val="21"/>
                      <w:u w:val="none" w:color="auto"/>
                      <w:lang w:val="en-US" w:eastAsia="zh-CN" w:bidi="zh-CN"/>
                    </w:rPr>
                  </w:pPr>
                  <w:r>
                    <w:rPr>
                      <w:rFonts w:hint="default" w:ascii="Times New Roman" w:hAnsi="Times New Roman" w:eastAsia="宋体" w:cs="Times New Roman"/>
                      <w:u w:val="none" w:color="auto"/>
                      <w:lang w:val="en-US" w:eastAsia="zh-CN"/>
                    </w:rPr>
                    <w:t>72</w:t>
                  </w:r>
                </w:p>
              </w:tc>
              <w:tc>
                <w:tcPr>
                  <w:tcW w:w="599"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14.4</w:t>
                  </w:r>
                </w:p>
              </w:tc>
              <w:tc>
                <w:tcPr>
                  <w:tcW w:w="547"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57.6</w:t>
                  </w:r>
                </w:p>
              </w:tc>
              <w:tc>
                <w:tcPr>
                  <w:tcW w:w="607"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14.4</w:t>
                  </w:r>
                </w:p>
              </w:tc>
              <w:tc>
                <w:tcPr>
                  <w:tcW w:w="573"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rPr>
                    <w:t>0</w:t>
                  </w:r>
                </w:p>
              </w:tc>
              <w:tc>
                <w:tcPr>
                  <w:tcW w:w="802"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rPr>
                    <w:t>循环使用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8"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6</w:t>
                  </w:r>
                </w:p>
              </w:tc>
              <w:tc>
                <w:tcPr>
                  <w:tcW w:w="904"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sz w:val="21"/>
                      <w:szCs w:val="21"/>
                      <w:u w:val="none" w:color="auto"/>
                      <w:lang w:val="en-US" w:eastAsia="zh-CN" w:bidi="zh-CN"/>
                    </w:rPr>
                  </w:pPr>
                  <w:r>
                    <w:rPr>
                      <w:rFonts w:hint="default" w:ascii="Times New Roman" w:hAnsi="Times New Roman" w:eastAsia="宋体" w:cs="Times New Roman"/>
                      <w:u w:val="none" w:color="auto"/>
                      <w:lang w:val="en-US" w:eastAsia="zh-CN"/>
                    </w:rPr>
                    <w:t>化验室用</w:t>
                  </w:r>
                  <w:r>
                    <w:rPr>
                      <w:rFonts w:hint="default" w:ascii="Times New Roman" w:hAnsi="Times New Roman" w:eastAsia="宋体" w:cs="Times New Roman"/>
                      <w:u w:val="none" w:color="auto"/>
                    </w:rPr>
                    <w:t>水</w:t>
                  </w:r>
                </w:p>
              </w:tc>
              <w:tc>
                <w:tcPr>
                  <w:tcW w:w="708" w:type="pct"/>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sz w:val="21"/>
                      <w:szCs w:val="21"/>
                      <w:u w:val="none" w:color="auto"/>
                      <w:lang w:val="en-US" w:eastAsia="zh-CN" w:bidi="zh-CN"/>
                    </w:rPr>
                  </w:pPr>
                  <w:r>
                    <w:rPr>
                      <w:rFonts w:hint="default" w:ascii="Times New Roman" w:hAnsi="Times New Roman" w:eastAsia="宋体" w:cs="Times New Roman"/>
                      <w:u w:val="none" w:color="auto"/>
                      <w:lang w:val="en-US" w:eastAsia="zh-CN"/>
                    </w:rPr>
                    <w:t>2</w:t>
                  </w:r>
                </w:p>
              </w:tc>
              <w:tc>
                <w:tcPr>
                  <w:tcW w:w="599"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2</w:t>
                  </w:r>
                </w:p>
              </w:tc>
              <w:tc>
                <w:tcPr>
                  <w:tcW w:w="547"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rPr>
                    <w:t>0</w:t>
                  </w:r>
                </w:p>
              </w:tc>
              <w:tc>
                <w:tcPr>
                  <w:tcW w:w="607"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0.4</w:t>
                  </w:r>
                </w:p>
              </w:tc>
              <w:tc>
                <w:tcPr>
                  <w:tcW w:w="573"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1.6</w:t>
                  </w:r>
                </w:p>
              </w:tc>
              <w:tc>
                <w:tcPr>
                  <w:tcW w:w="802"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en-US" w:eastAsia="zh-CN" w:bidi="zh-CN"/>
                    </w:rPr>
                  </w:pPr>
                  <w:r>
                    <w:rPr>
                      <w:rFonts w:hint="default" w:ascii="Times New Roman" w:hAnsi="Times New Roman" w:eastAsia="宋体" w:cs="Times New Roman"/>
                      <w:u w:val="none" w:color="auto"/>
                      <w:lang w:val="en-US" w:eastAsia="zh-CN"/>
                    </w:rPr>
                    <w:t>污水处理站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8" w:type="pct"/>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7</w:t>
                  </w:r>
                </w:p>
              </w:tc>
              <w:tc>
                <w:tcPr>
                  <w:tcW w:w="904"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zh-CN" w:eastAsia="zh-CN" w:bidi="zh-CN"/>
                    </w:rPr>
                  </w:pPr>
                  <w:r>
                    <w:rPr>
                      <w:rFonts w:hint="default" w:ascii="Times New Roman" w:hAnsi="Times New Roman" w:eastAsia="宋体" w:cs="Times New Roman"/>
                      <w:u w:val="none" w:color="auto"/>
                    </w:rPr>
                    <w:t>总计</w:t>
                  </w:r>
                </w:p>
              </w:tc>
              <w:tc>
                <w:tcPr>
                  <w:tcW w:w="1228" w:type="dxa"/>
                  <w:noWrap w:val="0"/>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14898.2</w:t>
                  </w:r>
                </w:p>
              </w:tc>
              <w:tc>
                <w:tcPr>
                  <w:tcW w:w="1039" w:type="dxa"/>
                  <w:noWrap w:val="0"/>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14840.6</w:t>
                  </w:r>
                </w:p>
              </w:tc>
              <w:tc>
                <w:tcPr>
                  <w:tcW w:w="949" w:type="dxa"/>
                  <w:noWrap w:val="0"/>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57.6</w:t>
                  </w:r>
                </w:p>
              </w:tc>
              <w:tc>
                <w:tcPr>
                  <w:tcW w:w="1053" w:type="dxa"/>
                  <w:noWrap w:val="0"/>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3862.6</w:t>
                  </w:r>
                </w:p>
              </w:tc>
              <w:tc>
                <w:tcPr>
                  <w:tcW w:w="994" w:type="dxa"/>
                  <w:noWrap w:val="0"/>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10978</w:t>
                  </w:r>
                </w:p>
              </w:tc>
              <w:tc>
                <w:tcPr>
                  <w:tcW w:w="802" w:type="pct"/>
                  <w:noWrap w:val="0"/>
                  <w:vAlign w:val="center"/>
                </w:tcPr>
                <w:p>
                  <w:pPr>
                    <w:pStyle w:val="39"/>
                    <w:bidi w:val="0"/>
                    <w:ind w:firstLine="0" w:firstLineChars="0"/>
                    <w:rPr>
                      <w:rFonts w:hint="default" w:ascii="Times New Roman" w:hAnsi="Times New Roman" w:eastAsia="宋体" w:cs="Times New Roman"/>
                      <w:sz w:val="21"/>
                      <w:szCs w:val="20"/>
                      <w:u w:val="none" w:color="auto"/>
                      <w:lang w:val="zh-CN" w:eastAsia="zh-CN" w:bidi="zh-CN"/>
                    </w:rPr>
                  </w:pPr>
                  <w:r>
                    <w:rPr>
                      <w:rFonts w:hint="default" w:ascii="Times New Roman" w:hAnsi="Times New Roman" w:eastAsia="宋体" w:cs="Times New Roman"/>
                      <w:u w:val="none" w:color="auto"/>
                    </w:rPr>
                    <w:t>/</w:t>
                  </w:r>
                </w:p>
              </w:tc>
            </w:tr>
          </w:tbl>
          <w:p>
            <w:pPr>
              <w:ind w:firstLine="480"/>
              <w:rPr>
                <w:rFonts w:ascii="Times New Roman" w:hAnsi="Times New Roman" w:cs="Times New Roman"/>
                <w:u w:val="none" w:color="auto"/>
                <w:lang w:val="en-US"/>
              </w:rPr>
            </w:pPr>
            <w:r>
              <w:rPr>
                <w:rFonts w:hint="default" w:ascii="Times New Roman" w:hAnsi="Times New Roman" w:cs="Times New Roman"/>
                <w:u w:val="none" w:color="auto"/>
                <w:lang w:val="en-US"/>
              </w:rPr>
              <w:t>项目水平衡情况如下图所示：</w:t>
            </w:r>
          </w:p>
          <w:p>
            <w:pPr>
              <w:ind w:firstLine="0" w:firstLineChars="0"/>
              <w:jc w:val="center"/>
              <w:rPr>
                <w:rFonts w:hint="default" w:ascii="Times New Roman" w:hAnsi="Times New Roman" w:cs="Times New Roman"/>
                <w:u w:val="none" w:color="auto"/>
                <w:lang w:val="en-US" w:eastAsia="zh-CN"/>
              </w:rPr>
            </w:pPr>
            <w:r>
              <w:rPr>
                <w:u w:val="none" w:color="auto"/>
              </w:rPr>
              <w:drawing>
                <wp:inline distT="0" distB="0" distL="114300" distR="114300">
                  <wp:extent cx="5350510" cy="3649980"/>
                  <wp:effectExtent l="0" t="0" r="2540" b="762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5"/>
                          <a:stretch>
                            <a:fillRect/>
                          </a:stretch>
                        </pic:blipFill>
                        <pic:spPr>
                          <a:xfrm>
                            <a:off x="0" y="0"/>
                            <a:ext cx="5350510" cy="3649980"/>
                          </a:xfrm>
                          <a:prstGeom prst="rect">
                            <a:avLst/>
                          </a:prstGeom>
                          <a:noFill/>
                          <a:ln>
                            <a:noFill/>
                          </a:ln>
                        </pic:spPr>
                      </pic:pic>
                    </a:graphicData>
                  </a:graphic>
                </wp:inline>
              </w:drawing>
            </w:r>
          </w:p>
          <w:p>
            <w:pPr>
              <w:pStyle w:val="71"/>
              <w:bidi w:val="0"/>
              <w:rPr>
                <w:rFonts w:hint="default" w:ascii="Times New Roman" w:hAnsi="Times New Roman" w:cs="Times New Roman"/>
                <w:highlight w:val="none"/>
                <w:u w:val="none" w:color="auto"/>
                <w:lang w:val="en-US" w:eastAsia="zh-CN"/>
              </w:rPr>
            </w:pPr>
            <w:r>
              <w:rPr>
                <w:rFonts w:hint="default" w:ascii="Times New Roman" w:hAnsi="Times New Roman" w:cs="Times New Roman"/>
                <w:u w:val="none" w:color="auto"/>
                <w:lang w:val="en-US"/>
              </w:rPr>
              <w:t>图2-1</w:t>
            </w:r>
            <w:r>
              <w:rPr>
                <w:rFonts w:hint="default" w:ascii="Times New Roman" w:hAnsi="Times New Roman" w:cs="Times New Roman"/>
                <w:highlight w:val="none"/>
                <w:u w:val="none" w:color="auto"/>
                <w:lang w:val="en-US"/>
              </w:rPr>
              <w:t xml:space="preserve">：项目水平衡图 </w:t>
            </w:r>
            <w:r>
              <w:rPr>
                <w:rFonts w:hint="eastAsia" w:cs="Times New Roman"/>
                <w:highlight w:val="none"/>
                <w:u w:val="none" w:color="auto"/>
                <w:lang w:val="en-US" w:eastAsia="zh-CN"/>
              </w:rPr>
              <w:t>，</w:t>
            </w:r>
            <w:r>
              <w:rPr>
                <w:rFonts w:hint="default" w:ascii="Times New Roman" w:hAnsi="Times New Roman" w:cs="Times New Roman"/>
                <w:highlight w:val="none"/>
                <w:u w:val="none" w:color="auto"/>
                <w:lang w:val="en-US"/>
              </w:rPr>
              <w:t xml:space="preserve"> 单位</w:t>
            </w:r>
            <w:r>
              <w:rPr>
                <w:rFonts w:hint="eastAsia" w:cs="Times New Roman"/>
                <w:highlight w:val="none"/>
                <w:u w:val="none" w:color="auto"/>
                <w:lang w:val="en-US" w:eastAsia="zh-CN"/>
              </w:rPr>
              <w:t>：</w:t>
            </w:r>
            <w:r>
              <w:rPr>
                <w:rFonts w:hint="default" w:ascii="Times New Roman" w:hAnsi="Times New Roman" w:cs="Times New Roman"/>
                <w:highlight w:val="none"/>
                <w:u w:val="none" w:color="auto"/>
                <w:lang w:val="en-US" w:eastAsia="zh-CN"/>
              </w:rPr>
              <w:t>t</w:t>
            </w:r>
            <w:r>
              <w:rPr>
                <w:rFonts w:hint="default" w:ascii="Times New Roman" w:hAnsi="Times New Roman" w:cs="Times New Roman"/>
                <w:highlight w:val="none"/>
                <w:u w:val="none" w:color="auto"/>
                <w:lang w:val="en-US"/>
              </w:rPr>
              <w:t>/</w:t>
            </w:r>
            <w:r>
              <w:rPr>
                <w:rFonts w:hint="default" w:ascii="Times New Roman" w:hAnsi="Times New Roman" w:cs="Times New Roman"/>
                <w:highlight w:val="none"/>
                <w:u w:val="none" w:color="auto"/>
                <w:lang w:val="en-US" w:eastAsia="zh-CN"/>
              </w:rPr>
              <w:t>a</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lang w:val="en-US"/>
              </w:rPr>
              <w:t>.</w:t>
            </w:r>
            <w:r>
              <w:rPr>
                <w:rFonts w:hint="default" w:ascii="Times New Roman" w:hAnsi="Times New Roman" w:cs="Times New Roman"/>
                <w:u w:val="none" w:color="auto"/>
                <w:lang w:val="en-US" w:eastAsia="zh-CN"/>
              </w:rPr>
              <w:t>7</w:t>
            </w:r>
            <w:r>
              <w:rPr>
                <w:rFonts w:hint="default" w:ascii="Times New Roman" w:hAnsi="Times New Roman" w:cs="Times New Roman"/>
                <w:u w:val="none" w:color="auto"/>
                <w:lang w:val="en-US"/>
              </w:rPr>
              <w:t>平面布置</w:t>
            </w:r>
          </w:p>
          <w:p>
            <w:pPr>
              <w:wordWrap/>
              <w:overflowPunct w:val="0"/>
              <w:topLinePunct w:val="0"/>
              <w:autoSpaceDE w:val="0"/>
              <w:autoSpaceDN w:val="0"/>
              <w:ind w:firstLine="480"/>
              <w:rPr>
                <w:rFonts w:ascii="Times New Roman" w:hAnsi="Times New Roman" w:cs="Times New Roman"/>
                <w:u w:val="none" w:color="auto"/>
              </w:rPr>
            </w:pPr>
            <w:r>
              <w:rPr>
                <w:rFonts w:hint="default" w:ascii="Times New Roman" w:hAnsi="Times New Roman" w:cs="Times New Roman"/>
                <w:u w:val="none" w:color="auto"/>
                <w:lang w:val="en-US" w:eastAsia="zh-CN"/>
              </w:rPr>
              <w:t>本项目占地845m</w:t>
            </w:r>
            <w:r>
              <w:rPr>
                <w:rFonts w:hint="default" w:ascii="Times New Roman" w:hAnsi="Times New Roman" w:cs="Times New Roman"/>
                <w:u w:val="none" w:color="auto"/>
                <w:vertAlign w:val="superscript"/>
                <w:lang w:val="en-US" w:eastAsia="zh-CN"/>
              </w:rPr>
              <w:t>2</w:t>
            </w:r>
            <w:r>
              <w:rPr>
                <w:rFonts w:hint="default" w:ascii="Times New Roman" w:hAnsi="Times New Roman" w:cs="Times New Roman"/>
                <w:u w:val="none" w:color="auto"/>
                <w:lang w:val="en-US" w:eastAsia="zh-CN"/>
              </w:rPr>
              <w:t>，</w:t>
            </w:r>
            <w:r>
              <w:rPr>
                <w:rFonts w:hint="default" w:ascii="Times New Roman" w:hAnsi="Times New Roman" w:cs="Times New Roman"/>
                <w:u w:val="none" w:color="auto"/>
              </w:rPr>
              <w:t>根据</w:t>
            </w:r>
            <w:r>
              <w:rPr>
                <w:rFonts w:hint="default" w:ascii="Times New Roman" w:hAnsi="Times New Roman" w:cs="Times New Roman"/>
                <w:u w:val="none" w:color="auto"/>
                <w:lang w:val="en-US"/>
              </w:rPr>
              <w:t>项目的</w:t>
            </w:r>
            <w:r>
              <w:rPr>
                <w:rFonts w:hint="default" w:ascii="Times New Roman" w:hAnsi="Times New Roman" w:cs="Times New Roman"/>
                <w:u w:val="none" w:color="auto"/>
              </w:rPr>
              <w:t>工艺特点按功能分区，划分为生产区、</w:t>
            </w:r>
            <w:r>
              <w:rPr>
                <w:rFonts w:hint="default" w:ascii="Times New Roman" w:hAnsi="Times New Roman" w:cs="Times New Roman"/>
                <w:u w:val="none" w:color="auto"/>
                <w:lang w:val="en-US"/>
              </w:rPr>
              <w:t>辅助区</w:t>
            </w:r>
            <w:r>
              <w:rPr>
                <w:rFonts w:hint="default" w:ascii="Times New Roman" w:hAnsi="Times New Roman" w:cs="Times New Roman"/>
                <w:u w:val="none" w:color="auto"/>
                <w:lang w:val="en-US" w:eastAsia="zh-CN"/>
              </w:rPr>
              <w:t>。设置有1栋钢架棚厂房为生产区</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包括湿米粉生产线</w:t>
            </w:r>
            <w:r>
              <w:rPr>
                <w:rFonts w:hint="default" w:ascii="Times New Roman" w:hAnsi="Times New Roman" w:cs="Times New Roman"/>
                <w:u w:val="none" w:color="auto"/>
                <w:lang w:val="en-US"/>
              </w:rPr>
              <w:t>1条</w:t>
            </w:r>
            <w:r>
              <w:rPr>
                <w:rFonts w:hint="default" w:ascii="Times New Roman" w:hAnsi="Times New Roman" w:cs="Times New Roman"/>
                <w:u w:val="none" w:color="auto"/>
                <w:lang w:val="en-US" w:eastAsia="zh-CN"/>
              </w:rPr>
              <w:t>，并设有大米仓库、淀粉暂存区、包材室、化验室等。</w:t>
            </w:r>
            <w:r>
              <w:rPr>
                <w:rFonts w:hint="default" w:ascii="Times New Roman" w:hAnsi="Times New Roman" w:cs="Times New Roman"/>
                <w:u w:val="none" w:color="auto"/>
                <w:lang w:val="en-US"/>
              </w:rPr>
              <w:t>辅助区</w:t>
            </w:r>
            <w:r>
              <w:rPr>
                <w:rFonts w:hint="default" w:ascii="Times New Roman" w:hAnsi="Times New Roman" w:cs="Times New Roman"/>
                <w:u w:val="none" w:color="auto"/>
                <w:lang w:val="en-US" w:eastAsia="zh-CN"/>
              </w:rPr>
              <w:t>紧挨生产区，设置有配电间、设备间、办公室、员工休息室，其中备有柴油发电机放置于配电间中。污水处理设施设置于生产车间西南侧，位于厂区下风向，</w:t>
            </w:r>
            <w:r>
              <w:rPr>
                <w:rFonts w:hint="default" w:ascii="Times New Roman" w:hAnsi="Times New Roman" w:cs="Times New Roman"/>
                <w:u w:val="none" w:color="auto"/>
                <w:lang w:val="en-US"/>
              </w:rPr>
              <w:t>项目分区明确，各功能区相辅相成，厂区的平面布置是合理的。项目平面布置</w:t>
            </w:r>
            <w:r>
              <w:rPr>
                <w:rFonts w:hint="default" w:ascii="Times New Roman" w:hAnsi="Times New Roman" w:cs="Times New Roman"/>
                <w:u w:val="none" w:color="auto"/>
              </w:rPr>
              <w:t>详见附图</w:t>
            </w:r>
            <w:r>
              <w:rPr>
                <w:rFonts w:hint="default" w:ascii="Times New Roman" w:hAnsi="Times New Roman" w:cs="Times New Roman"/>
                <w:u w:val="none" w:color="auto"/>
                <w:lang w:val="en-US"/>
              </w:rPr>
              <w:t>3：项目平面布置图</w:t>
            </w:r>
            <w:r>
              <w:rPr>
                <w:rFonts w:ascii="Times New Roman" w:hAnsi="Times New Roman" w:cs="Times New Roman"/>
                <w:u w:val="none" w:color="auto"/>
              </w:rPr>
              <w:t>。</w:t>
            </w:r>
          </w:p>
          <w:p>
            <w:pPr>
              <w:pStyle w:val="6"/>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2.4.8项目用地情况</w:t>
            </w:r>
          </w:p>
          <w:p>
            <w:pPr>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eastAsia="zh-CN"/>
              </w:rPr>
              <w:t>湘西福辛米粉有限责任公司</w:t>
            </w:r>
            <w:r>
              <w:rPr>
                <w:rFonts w:hint="default" w:ascii="Times New Roman" w:hAnsi="Times New Roman" w:cs="Times New Roman"/>
                <w:u w:val="none" w:color="auto"/>
                <w:lang w:val="en-US" w:eastAsia="zh-CN"/>
              </w:rPr>
              <w:t>与泸溪县白沙镇天然饮料厂合资，于泸溪县武溪镇红土溪村即泸溪县白沙天然饮料厂旧址上新建泸溪特色米粉加工项目，经了解悉知，泸溪县白沙镇天然饮料厂建成于2004年，生产产品为桶装饮用水，于2014年停产至今，原有设备已搬往旧址对面的新饮料厂，旧饮料厂内无设施设备，无生产行为，生产车间荒废已久，车间内部采取地面硬化，未发生过污染事故，不</w:t>
            </w:r>
            <w:r>
              <w:rPr>
                <w:rFonts w:hint="default" w:ascii="Times New Roman" w:hAnsi="Times New Roman" w:cs="Times New Roman"/>
                <w:u w:val="none" w:color="auto"/>
              </w:rPr>
              <w:t>存在环境污染纠纷及环保投诉</w:t>
            </w:r>
            <w:r>
              <w:rPr>
                <w:rFonts w:hint="default" w:ascii="Times New Roman" w:hAnsi="Times New Roman" w:cs="Times New Roman"/>
                <w:u w:val="none" w:color="auto"/>
                <w:lang w:val="en-US" w:eastAsia="zh-CN"/>
              </w:rPr>
              <w:t>。泸溪县白沙天然饮料厂旧址国有土地使用证于2014年11月1日终止到期，于2022年6月15日成功续期，相关证明详见附件3：用地文件。因土地证为泸溪县白沙镇天然饮料厂所有，在报建过程中住建局要求土地所有者与备案建设单位主体相一致，为使该项目尽快落地，于2022年11月7日对泸溪特色米粉加工项目变更了建设单位及法人</w:t>
            </w:r>
            <w:r>
              <w:rPr>
                <w:rFonts w:hint="default" w:ascii="Times New Roman" w:hAnsi="Times New Roman" w:cs="Times New Roman"/>
                <w:u w:val="none" w:color="auto"/>
                <w:lang w:eastAsia="zh-CN"/>
              </w:rPr>
              <w:t>。</w:t>
            </w:r>
          </w:p>
          <w:p>
            <w:pPr>
              <w:rPr>
                <w:rFonts w:ascii="Times New Roman" w:hAnsi="Times New Roman" w:cs="Times New Roman"/>
                <w:u w:val="none" w:color="auto"/>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862"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line="242" w:lineRule="auto"/>
              <w:ind w:right="79"/>
              <w:jc w:val="both"/>
              <w:rPr>
                <w:rFonts w:ascii="Times New Roman" w:hAnsi="Times New Roman" w:cs="Times New Roman"/>
                <w:sz w:val="21"/>
                <w:u w:val="none" w:color="auto"/>
              </w:rPr>
            </w:pPr>
            <w:r>
              <w:rPr>
                <w:rFonts w:ascii="Times New Roman" w:hAnsi="Times New Roman" w:cs="Times New Roman"/>
                <w:b/>
                <w:bCs/>
                <w:sz w:val="30"/>
                <w:szCs w:val="30"/>
                <w:u w:val="none" w:color="auto"/>
              </w:rPr>
              <w:t>工艺流程和产排污环节</w:t>
            </w:r>
          </w:p>
        </w:tc>
        <w:tc>
          <w:tcPr>
            <w:tcW w:w="8257" w:type="dxa"/>
            <w:tcBorders>
              <w:top w:val="single" w:color="000000" w:sz="4" w:space="0"/>
              <w:left w:val="single" w:color="000000" w:sz="4" w:space="0"/>
              <w:bottom w:val="single" w:color="000000" w:sz="4" w:space="0"/>
            </w:tcBorders>
            <w:vAlign w:val="center"/>
          </w:tcPr>
          <w:p>
            <w:pPr>
              <w:pStyle w:val="6"/>
              <w:keepNext w:val="0"/>
              <w:keepLines w:val="0"/>
              <w:wordWrap/>
              <w:overflowPunct w:val="0"/>
              <w:topLinePunct w:val="0"/>
              <w:autoSpaceDE w:val="0"/>
              <w:autoSpaceDN w:val="0"/>
              <w:ind w:firstLine="0" w:firstLineChars="0"/>
              <w:rPr>
                <w:rFonts w:ascii="Times New Roman" w:hAnsi="Times New Roman" w:cs="Times New Roman"/>
                <w:u w:val="none" w:color="auto"/>
              </w:rPr>
            </w:pPr>
            <w:bookmarkStart w:id="62" w:name="_Toc11805"/>
            <w:bookmarkStart w:id="63" w:name="_Toc17258"/>
            <w:bookmarkStart w:id="64" w:name="_Toc7056"/>
            <w:bookmarkStart w:id="65" w:name="_Toc9340"/>
            <w:bookmarkStart w:id="66" w:name="_Toc21105"/>
            <w:bookmarkStart w:id="67" w:name="_Toc23355"/>
            <w:bookmarkStart w:id="68" w:name="_Toc10131"/>
            <w:bookmarkStart w:id="69" w:name="_Toc15296"/>
            <w:bookmarkStart w:id="70" w:name="_Toc32584"/>
            <w:bookmarkStart w:id="71" w:name="_Toc31743"/>
            <w:bookmarkStart w:id="72" w:name="_Toc18655"/>
            <w:bookmarkStart w:id="73" w:name="_Toc8817"/>
            <w:bookmarkStart w:id="74" w:name="_Toc11818"/>
            <w:bookmarkStart w:id="75" w:name="_Toc22199"/>
            <w:bookmarkStart w:id="76" w:name="_Toc22059"/>
            <w:bookmarkStart w:id="77" w:name="_Toc20658"/>
            <w:bookmarkStart w:id="78" w:name="_Toc31355"/>
            <w:bookmarkStart w:id="79" w:name="_Toc4690"/>
            <w:bookmarkStart w:id="80" w:name="_Toc1974"/>
            <w:bookmarkStart w:id="81" w:name="_Toc3301"/>
            <w:bookmarkStart w:id="82" w:name="_Toc4663"/>
            <w:bookmarkStart w:id="83" w:name="_Toc20591"/>
            <w:bookmarkStart w:id="84" w:name="_Toc32424"/>
            <w:bookmarkStart w:id="85" w:name="_Toc20112"/>
            <w:bookmarkStart w:id="86" w:name="_Toc2386"/>
            <w:bookmarkStart w:id="87" w:name="_Toc31468"/>
            <w:bookmarkStart w:id="88" w:name="_Toc12550"/>
            <w:bookmarkStart w:id="89" w:name="_Toc18103"/>
            <w:bookmarkStart w:id="90" w:name="_Toc8882"/>
            <w:bookmarkStart w:id="91" w:name="_Toc3143"/>
            <w:bookmarkStart w:id="92" w:name="_Toc18568"/>
            <w:bookmarkStart w:id="93" w:name="_Toc3431"/>
            <w:bookmarkStart w:id="94" w:name="_Toc12494"/>
            <w:bookmarkStart w:id="95" w:name="_Toc12359"/>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5</w:t>
            </w:r>
            <w:r>
              <w:rPr>
                <w:rFonts w:hint="default" w:ascii="Times New Roman" w:hAnsi="Times New Roman" w:cs="Times New Roman"/>
                <w:u w:val="none" w:color="auto"/>
              </w:rPr>
              <w:t>建设项目工艺流程</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default" w:ascii="Times New Roman" w:hAnsi="Times New Roman" w:cs="Times New Roman"/>
                <w:u w:val="none" w:color="auto"/>
              </w:rPr>
              <w:t>及产污节点</w:t>
            </w:r>
          </w:p>
          <w:p>
            <w:pPr>
              <w:pStyle w:val="6"/>
              <w:bidi w:val="0"/>
              <w:rPr>
                <w:rFonts w:ascii="Times New Roman" w:hAnsi="Times New Roman" w:cs="Times New Roman"/>
                <w:u w:val="single" w:color="auto"/>
                <w:lang w:val="en-US"/>
              </w:rPr>
            </w:pPr>
            <w:r>
              <w:rPr>
                <w:rFonts w:hint="default" w:ascii="Times New Roman" w:hAnsi="Times New Roman" w:cs="Times New Roman"/>
                <w:u w:val="single" w:color="auto"/>
                <w:lang w:val="en-US"/>
              </w:rPr>
              <w:t>2.</w:t>
            </w:r>
            <w:r>
              <w:rPr>
                <w:rFonts w:hint="default" w:ascii="Times New Roman" w:hAnsi="Times New Roman" w:cs="Times New Roman"/>
                <w:u w:val="single" w:color="auto"/>
                <w:lang w:val="en-US" w:eastAsia="zh-CN"/>
              </w:rPr>
              <w:t>5</w:t>
            </w:r>
            <w:r>
              <w:rPr>
                <w:rFonts w:hint="default" w:ascii="Times New Roman" w:hAnsi="Times New Roman" w:cs="Times New Roman"/>
                <w:u w:val="single" w:color="auto"/>
                <w:lang w:val="en-US"/>
              </w:rPr>
              <w:t>.1</w:t>
            </w:r>
            <w:r>
              <w:rPr>
                <w:rFonts w:ascii="Times New Roman" w:hAnsi="Times New Roman" w:cs="Times New Roman"/>
                <w:u w:val="single" w:color="auto"/>
              </w:rPr>
              <w:t>施工期</w:t>
            </w:r>
            <w:r>
              <w:rPr>
                <w:rFonts w:hint="default" w:ascii="Times New Roman" w:hAnsi="Times New Roman" w:cs="Times New Roman"/>
                <w:u w:val="single" w:color="auto"/>
              </w:rPr>
              <w:t>工艺流程及产污节点</w:t>
            </w:r>
          </w:p>
          <w:p>
            <w:pPr>
              <w:ind w:firstLine="480"/>
              <w:rPr>
                <w:rFonts w:hint="eastAsia"/>
                <w:color w:val="auto"/>
                <w:highlight w:val="none"/>
                <w:u w:val="single" w:color="auto"/>
              </w:rPr>
            </w:pPr>
            <w:r>
              <w:rPr>
                <w:rFonts w:hint="eastAsia"/>
                <w:color w:val="auto"/>
                <w:highlight w:val="none"/>
                <w:u w:val="single" w:color="auto"/>
                <w:lang w:val="en-US" w:eastAsia="zh-CN"/>
              </w:rPr>
              <w:t>项目主体工程</w:t>
            </w:r>
            <w:r>
              <w:rPr>
                <w:rFonts w:hint="eastAsia"/>
                <w:color w:val="auto"/>
                <w:highlight w:val="none"/>
                <w:u w:val="single" w:color="auto"/>
              </w:rPr>
              <w:t>现已建成，</w:t>
            </w:r>
            <w:r>
              <w:rPr>
                <w:rFonts w:hint="eastAsia"/>
                <w:color w:val="auto"/>
                <w:highlight w:val="none"/>
                <w:u w:val="single" w:color="auto"/>
                <w:lang w:val="en-US" w:eastAsia="zh-CN"/>
              </w:rPr>
              <w:t>除锅炉房设备尚未进场，预计2023年11月进场安装，进行调试，2023年12月投入生产，施工工期为1个月，施工行为仅为简单的设备组装安装，环境影响甚微，且</w:t>
            </w:r>
            <w:r>
              <w:rPr>
                <w:color w:val="auto"/>
                <w:highlight w:val="none"/>
                <w:u w:val="single" w:color="auto"/>
              </w:rPr>
              <w:t>本</w:t>
            </w:r>
            <w:r>
              <w:rPr>
                <w:rFonts w:hint="eastAsia"/>
                <w:color w:val="auto"/>
                <w:highlight w:val="none"/>
                <w:u w:val="single" w:color="auto"/>
              </w:rPr>
              <w:t>次变更</w:t>
            </w:r>
            <w:r>
              <w:rPr>
                <w:color w:val="auto"/>
                <w:highlight w:val="none"/>
                <w:u w:val="single" w:color="auto"/>
              </w:rPr>
              <w:t>不新增用地</w:t>
            </w:r>
            <w:r>
              <w:rPr>
                <w:rFonts w:hint="eastAsia"/>
                <w:color w:val="auto"/>
                <w:highlight w:val="none"/>
                <w:u w:val="single" w:color="auto"/>
              </w:rPr>
              <w:t>及工程内容</w:t>
            </w:r>
            <w:r>
              <w:rPr>
                <w:color w:val="auto"/>
                <w:highlight w:val="none"/>
                <w:u w:val="single" w:color="auto"/>
              </w:rPr>
              <w:t>，</w:t>
            </w:r>
            <w:r>
              <w:rPr>
                <w:rFonts w:hint="eastAsia"/>
                <w:color w:val="auto"/>
                <w:highlight w:val="none"/>
                <w:u w:val="single" w:color="auto"/>
                <w:lang w:val="en-US" w:eastAsia="zh-CN"/>
              </w:rPr>
              <w:t>主体工程</w:t>
            </w:r>
            <w:r>
              <w:rPr>
                <w:rFonts w:hint="eastAsia"/>
                <w:color w:val="auto"/>
                <w:highlight w:val="none"/>
                <w:u w:val="single" w:color="auto"/>
              </w:rPr>
              <w:t>施工期间严格实行原环评提出的施工期污染防治措施，施工期未收到投诉，因此</w:t>
            </w:r>
            <w:r>
              <w:rPr>
                <w:rFonts w:hint="eastAsia"/>
                <w:color w:val="auto"/>
                <w:highlight w:val="none"/>
                <w:u w:val="single" w:color="auto"/>
                <w:lang w:val="en-US" w:eastAsia="zh-CN"/>
              </w:rPr>
              <w:t>不</w:t>
            </w:r>
            <w:r>
              <w:rPr>
                <w:rFonts w:hint="eastAsia"/>
                <w:color w:val="auto"/>
                <w:highlight w:val="none"/>
                <w:u w:val="single" w:color="auto"/>
              </w:rPr>
              <w:t>再对施工期进行重复分析。</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5</w:t>
            </w:r>
            <w:r>
              <w:rPr>
                <w:rFonts w:hint="default" w:ascii="Times New Roman" w:hAnsi="Times New Roman" w:cs="Times New Roman"/>
                <w:u w:val="none" w:color="auto"/>
                <w:lang w:val="en-US"/>
              </w:rPr>
              <w:t>.2运营期期工艺流程及产污节点</w:t>
            </w:r>
          </w:p>
          <w:p>
            <w:pPr>
              <w:ind w:firstLine="480"/>
              <w:rPr>
                <w:rFonts w:hint="default" w:ascii="Times New Roman" w:hAnsi="Times New Roman" w:eastAsia="宋体" w:cs="Times New Roman"/>
                <w:highlight w:val="none"/>
                <w:u w:val="none" w:color="auto"/>
                <w:lang w:eastAsia="zh-CN"/>
              </w:rPr>
            </w:pPr>
            <w:r>
              <w:rPr>
                <w:rFonts w:hint="default" w:ascii="Times New Roman" w:hAnsi="Times New Roman" w:cs="Times New Roman"/>
                <w:highlight w:val="none"/>
                <w:u w:val="none" w:color="auto"/>
                <w:lang w:eastAsia="zh-CN"/>
              </w:rPr>
              <w:t>变更前后项目产品、生产工艺不变，</w:t>
            </w:r>
            <w:r>
              <w:rPr>
                <w:rFonts w:hint="default" w:ascii="Times New Roman" w:hAnsi="Times New Roman" w:cs="Times New Roman"/>
                <w:u w:val="none" w:color="auto"/>
                <w:lang w:val="en-US" w:eastAsia="zh-CN"/>
              </w:rPr>
              <w:t>考虑到市场需求以及场地的限制，干米粉生产线不在本次评价范围之内，远期另行征地建设。</w:t>
            </w:r>
            <w:r>
              <w:rPr>
                <w:rFonts w:hint="default" w:ascii="Times New Roman" w:hAnsi="Times New Roman" w:cs="Times New Roman"/>
                <w:highlight w:val="none"/>
                <w:u w:val="none" w:color="auto"/>
                <w:lang w:eastAsia="zh-CN"/>
              </w:rPr>
              <w:t>仅由</w:t>
            </w:r>
            <w:r>
              <w:rPr>
                <w:rFonts w:hint="default" w:ascii="Times New Roman" w:hAnsi="Times New Roman" w:cs="Times New Roman"/>
                <w:highlight w:val="none"/>
                <w:u w:val="none" w:color="auto"/>
                <w:lang w:val="en-US" w:eastAsia="zh-CN"/>
              </w:rPr>
              <w:t>2台1.0t/h的电蒸汽发生器变更为1台0.7t/h的生物质蒸汽发生器</w:t>
            </w:r>
            <w:r>
              <w:rPr>
                <w:rFonts w:hint="default" w:ascii="Times New Roman" w:hAnsi="Times New Roman" w:cs="Times New Roman"/>
                <w:highlight w:val="none"/>
                <w:u w:val="none" w:color="auto"/>
                <w:lang w:eastAsia="zh-CN"/>
              </w:rPr>
              <w:t>。</w:t>
            </w:r>
          </w:p>
          <w:p>
            <w:pPr>
              <w:wordWrap/>
              <w:overflowPunct w:val="0"/>
              <w:topLinePunct w:val="0"/>
              <w:autoSpaceDE w:val="0"/>
              <w:autoSpaceDN w:val="0"/>
              <w:ind w:firstLine="480"/>
              <w:rPr>
                <w:rFonts w:ascii="Times New Roman" w:hAnsi="Times New Roman" w:cs="Times New Roman"/>
                <w:u w:val="none" w:color="auto"/>
                <w:lang w:val="en-US"/>
              </w:rPr>
            </w:pPr>
            <w:r>
              <w:rPr>
                <w:rFonts w:hint="default" w:ascii="Times New Roman" w:hAnsi="Times New Roman" w:cs="Times New Roman"/>
                <w:u w:val="none" w:color="auto"/>
                <w:lang w:val="en-US"/>
              </w:rPr>
              <w:t>本项目的主要产品为</w:t>
            </w:r>
            <w:r>
              <w:rPr>
                <w:rFonts w:hint="default" w:ascii="Times New Roman" w:hAnsi="Times New Roman" w:cs="Times New Roman"/>
                <w:u w:val="none" w:color="auto"/>
                <w:lang w:val="en-US" w:eastAsia="zh-CN"/>
              </w:rPr>
              <w:t>湿米粉</w:t>
            </w:r>
            <w:r>
              <w:rPr>
                <w:rFonts w:hint="default" w:ascii="Times New Roman" w:hAnsi="Times New Roman" w:cs="Times New Roman"/>
                <w:u w:val="none" w:color="auto"/>
                <w:lang w:val="en-US"/>
              </w:rPr>
              <w:t>，产品的具体工艺流程及产物节点如下图所示：</w:t>
            </w:r>
          </w:p>
          <w:p>
            <w:pPr>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drawing>
                <wp:inline distT="0" distB="0" distL="114300" distR="114300">
                  <wp:extent cx="4229100" cy="5067300"/>
                  <wp:effectExtent l="0" t="0" r="0" b="0"/>
                  <wp:docPr id="7" name="图片 7" descr="泸溪米粉厂湿米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泸溪米粉厂湿米粉"/>
                          <pic:cNvPicPr>
                            <a:picLocks noChangeAspect="1"/>
                          </pic:cNvPicPr>
                        </pic:nvPicPr>
                        <pic:blipFill>
                          <a:blip r:embed="rId26"/>
                          <a:stretch>
                            <a:fillRect/>
                          </a:stretch>
                        </pic:blipFill>
                        <pic:spPr>
                          <a:xfrm>
                            <a:off x="0" y="0"/>
                            <a:ext cx="4229100" cy="5067300"/>
                          </a:xfrm>
                          <a:prstGeom prst="rect">
                            <a:avLst/>
                          </a:prstGeom>
                        </pic:spPr>
                      </pic:pic>
                    </a:graphicData>
                  </a:graphic>
                </wp:inline>
              </w:drawing>
            </w:r>
          </w:p>
          <w:p>
            <w:pPr>
              <w:pStyle w:val="71"/>
              <w:bidi w:val="0"/>
              <w:rPr>
                <w:rFonts w:ascii="Times New Roman" w:hAnsi="Times New Roman" w:cs="Times New Roman"/>
                <w:highlight w:val="yellow"/>
                <w:u w:val="none" w:color="auto"/>
              </w:rPr>
            </w:pPr>
            <w:r>
              <w:rPr>
                <w:rFonts w:hint="default" w:ascii="Times New Roman" w:hAnsi="Times New Roman" w:cs="Times New Roman"/>
                <w:u w:val="none" w:color="auto"/>
              </w:rPr>
              <w:t>图</w:t>
            </w:r>
            <w:r>
              <w:rPr>
                <w:rFonts w:hint="default" w:ascii="Times New Roman" w:hAnsi="Times New Roman" w:cs="Times New Roman"/>
                <w:u w:val="none" w:color="auto"/>
                <w:lang w:val="en-US"/>
              </w:rPr>
              <w:t>2</w:t>
            </w:r>
            <w:r>
              <w:rPr>
                <w:rFonts w:ascii="Times New Roman" w:hAnsi="Times New Roman" w:cs="Times New Roman"/>
                <w:u w:val="none" w:color="auto"/>
              </w:rPr>
              <w:t>-</w:t>
            </w:r>
            <w:r>
              <w:rPr>
                <w:rFonts w:hint="eastAsia" w:cs="Times New Roman"/>
                <w:u w:val="none" w:color="auto"/>
                <w:lang w:val="en-US" w:eastAsia="zh-CN"/>
              </w:rPr>
              <w:t>2</w:t>
            </w:r>
            <w:r>
              <w:rPr>
                <w:rFonts w:hint="default" w:ascii="Times New Roman" w:hAnsi="Times New Roman" w:cs="Times New Roman"/>
                <w:u w:val="none" w:color="auto"/>
              </w:rPr>
              <w:t>：</w:t>
            </w:r>
            <w:r>
              <w:rPr>
                <w:rFonts w:hint="default" w:ascii="Times New Roman" w:hAnsi="Times New Roman" w:cs="Times New Roman"/>
                <w:highlight w:val="none"/>
                <w:u w:val="none" w:color="auto"/>
                <w:lang w:val="en-US" w:eastAsia="zh-CN"/>
              </w:rPr>
              <w:t>湿米粉</w:t>
            </w:r>
            <w:r>
              <w:rPr>
                <w:rFonts w:hint="default" w:ascii="Times New Roman" w:hAnsi="Times New Roman" w:cs="Times New Roman"/>
                <w:highlight w:val="none"/>
                <w:u w:val="none" w:color="auto"/>
                <w:lang w:val="en-US"/>
              </w:rPr>
              <w:t>生产线生产</w:t>
            </w:r>
            <w:r>
              <w:rPr>
                <w:rFonts w:hint="default" w:ascii="Times New Roman" w:hAnsi="Times New Roman" w:cs="Times New Roman"/>
                <w:highlight w:val="none"/>
                <w:u w:val="none" w:color="auto"/>
              </w:rPr>
              <w:t>工艺流程及产污节点图</w:t>
            </w:r>
          </w:p>
          <w:p>
            <w:pPr>
              <w:ind w:firstLine="480"/>
              <w:rPr>
                <w:rFonts w:ascii="Times New Roman" w:hAnsi="Times New Roman" w:cs="Times New Roman"/>
                <w:u w:val="none" w:color="auto"/>
                <w:lang w:val="en-US"/>
              </w:rPr>
            </w:pPr>
            <w:r>
              <w:rPr>
                <w:rFonts w:hint="default" w:ascii="Times New Roman" w:hAnsi="Times New Roman" w:cs="Times New Roman"/>
                <w:u w:val="none" w:color="auto"/>
                <w:lang w:val="en-US"/>
              </w:rPr>
              <w:t>生产工艺及产物节点简述：</w:t>
            </w:r>
          </w:p>
          <w:p>
            <w:pPr>
              <w:bidi w:val="0"/>
              <w:ind w:firstLine="480" w:firstLineChars="200"/>
              <w:rPr>
                <w:rFonts w:hint="default" w:ascii="Times New Roman" w:hAnsi="Times New Roman" w:cs="Times New Roman"/>
                <w:u w:val="none" w:color="auto"/>
              </w:rPr>
            </w:pPr>
            <w:r>
              <w:rPr>
                <w:rFonts w:hint="default" w:ascii="Times New Roman" w:hAnsi="Times New Roman" w:cs="Times New Roman"/>
                <w:u w:val="none" w:color="auto"/>
                <w:lang w:eastAsia="zh-CN"/>
              </w:rPr>
              <w:t>①</w:t>
            </w:r>
            <w:r>
              <w:rPr>
                <w:rFonts w:hint="default" w:ascii="Times New Roman" w:hAnsi="Times New Roman" w:cs="Times New Roman"/>
                <w:u w:val="none" w:color="auto"/>
              </w:rPr>
              <w:t xml:space="preserve">洗米工序 </w:t>
            </w:r>
          </w:p>
          <w:p>
            <w:pPr>
              <w:bidi w:val="0"/>
              <w:rPr>
                <w:rFonts w:ascii="Times New Roman" w:hAnsi="Times New Roman" w:cs="Times New Roman"/>
                <w:u w:val="none" w:color="auto"/>
              </w:rPr>
            </w:pPr>
            <w:r>
              <w:rPr>
                <w:rFonts w:hint="default" w:ascii="Times New Roman" w:hAnsi="Times New Roman" w:cs="Times New Roman"/>
                <w:u w:val="none" w:color="auto"/>
              </w:rPr>
              <w:t>洗米的目的是除去米粒表面的糠粉及杂质，使米粒干净卫生，以保证产品的质量。洗涤要求一般以洗米水变清、无浑浊为准。大米浸泡的目的是使大米充分吸水膨胀、软化，便于磨浆。浸米的水量一般要求高出物料表面5厘米以上；浸泡时间通常为20分钟，冬天为半小时，本项目共清洗、浸泡两次，</w:t>
            </w:r>
            <w:r>
              <w:rPr>
                <w:rFonts w:hint="default" w:ascii="Times New Roman" w:hAnsi="Times New Roman" w:cs="Times New Roman"/>
                <w:u w:val="none" w:color="auto"/>
                <w:lang w:eastAsia="zh-CN"/>
              </w:rPr>
              <w:t>每次清洗、浸泡用水量约等于大米用量，</w:t>
            </w:r>
            <w:r>
              <w:rPr>
                <w:rFonts w:hint="default" w:ascii="Times New Roman" w:hAnsi="Times New Roman" w:cs="Times New Roman"/>
                <w:u w:val="none" w:color="auto"/>
              </w:rPr>
              <w:t>浸泡到能用手指把米粒捏碎为准。</w:t>
            </w:r>
          </w:p>
          <w:p>
            <w:pPr>
              <w:bidi w:val="0"/>
              <w:rPr>
                <w:rFonts w:ascii="Times New Roman" w:hAnsi="Times New Roman" w:cs="Times New Roman"/>
                <w:u w:val="none" w:color="auto"/>
              </w:rPr>
            </w:pPr>
            <w:r>
              <w:rPr>
                <w:rFonts w:hint="default" w:ascii="Times New Roman" w:hAnsi="Times New Roman" w:cs="Times New Roman"/>
                <w:u w:val="none" w:color="auto"/>
                <w:lang w:eastAsia="zh-CN"/>
              </w:rPr>
              <w:t>②</w:t>
            </w:r>
            <w:r>
              <w:rPr>
                <w:rFonts w:ascii="Times New Roman" w:hAnsi="Times New Roman" w:cs="Times New Roman"/>
                <w:u w:val="none" w:color="auto"/>
              </w:rPr>
              <w:t xml:space="preserve">磨浆工序 </w:t>
            </w:r>
          </w:p>
          <w:p>
            <w:pPr>
              <w:bidi w:val="0"/>
              <w:rPr>
                <w:rFonts w:ascii="Times New Roman" w:hAnsi="Times New Roman" w:cs="Times New Roman"/>
                <w:u w:val="none" w:color="auto"/>
              </w:rPr>
            </w:pPr>
            <w:r>
              <w:rPr>
                <w:rFonts w:ascii="Times New Roman" w:hAnsi="Times New Roman" w:cs="Times New Roman"/>
                <w:u w:val="none" w:color="auto"/>
              </w:rPr>
              <w:t>磨浆是把浸泡好的大米，加水混合磨成介于固体与液体之间的可流动的糊状米浆。磨浆要求进料进水均匀，磨浆的含水量为50~60%；磨浆粗细以通过100目筛</w:t>
            </w:r>
            <w:r>
              <w:rPr>
                <w:rFonts w:hint="default" w:ascii="Times New Roman" w:hAnsi="Times New Roman" w:cs="Times New Roman"/>
                <w:u w:val="none" w:color="auto"/>
                <w:lang w:eastAsia="zh-CN"/>
              </w:rPr>
              <w:t>准</w:t>
            </w:r>
            <w:r>
              <w:rPr>
                <w:rFonts w:ascii="Times New Roman" w:hAnsi="Times New Roman" w:cs="Times New Roman"/>
                <w:u w:val="none" w:color="auto"/>
              </w:rPr>
              <w:t>。</w:t>
            </w:r>
          </w:p>
          <w:p>
            <w:pPr>
              <w:bidi w:val="0"/>
              <w:rPr>
                <w:rFonts w:ascii="Times New Roman" w:hAnsi="Times New Roman" w:cs="Times New Roman"/>
                <w:u w:val="none" w:color="auto"/>
              </w:rPr>
            </w:pPr>
            <w:r>
              <w:rPr>
                <w:rFonts w:hint="default" w:ascii="Times New Roman" w:hAnsi="Times New Roman" w:cs="Times New Roman"/>
                <w:u w:val="none" w:color="auto"/>
                <w:lang w:eastAsia="zh-CN"/>
              </w:rPr>
              <w:t>③</w:t>
            </w:r>
            <w:r>
              <w:rPr>
                <w:rFonts w:hint="default" w:ascii="Times New Roman" w:hAnsi="Times New Roman" w:cs="Times New Roman"/>
                <w:u w:val="none" w:color="auto"/>
              </w:rPr>
              <w:t xml:space="preserve">调和工序 </w:t>
            </w:r>
          </w:p>
          <w:p>
            <w:pPr>
              <w:bidi w:val="0"/>
              <w:rPr>
                <w:rFonts w:ascii="Times New Roman" w:hAnsi="Times New Roman" w:cs="Times New Roman"/>
                <w:u w:val="none" w:color="auto"/>
              </w:rPr>
            </w:pPr>
            <w:r>
              <w:rPr>
                <w:rFonts w:hint="default" w:ascii="Times New Roman" w:hAnsi="Times New Roman" w:cs="Times New Roman"/>
                <w:u w:val="none" w:color="auto"/>
              </w:rPr>
              <w:t>在机械化米粉生产中，因为时间短，直链淀粉渗出的数量有限，影响米粉的韧性度，可采取加入调和的方法，进一步提高米粉的质地。调和就是把磨好的米浆加入少部分的水</w:t>
            </w:r>
            <w:r>
              <w:rPr>
                <w:rFonts w:hint="default" w:ascii="Times New Roman" w:hAnsi="Times New Roman" w:cs="Times New Roman"/>
                <w:u w:val="none" w:color="auto"/>
                <w:lang w:val="en-US" w:eastAsia="zh-CN"/>
              </w:rPr>
              <w:t>、</w:t>
            </w:r>
            <w:r>
              <w:rPr>
                <w:rFonts w:hint="default" w:ascii="Times New Roman" w:hAnsi="Times New Roman" w:cs="Times New Roman"/>
                <w:u w:val="none" w:color="auto"/>
              </w:rPr>
              <w:t>玉米淀粉。</w:t>
            </w:r>
          </w:p>
          <w:p>
            <w:pPr>
              <w:bidi w:val="0"/>
              <w:rPr>
                <w:rFonts w:ascii="Times New Roman" w:hAnsi="Times New Roman" w:cs="Times New Roman"/>
                <w:u w:val="none" w:color="auto"/>
              </w:rPr>
            </w:pPr>
            <w:r>
              <w:rPr>
                <w:rFonts w:hint="default" w:ascii="Times New Roman" w:hAnsi="Times New Roman" w:cs="Times New Roman"/>
                <w:u w:val="none" w:color="auto"/>
                <w:lang w:val="en-US" w:eastAsia="zh-CN"/>
              </w:rPr>
              <w:t>④</w:t>
            </w:r>
            <w:r>
              <w:rPr>
                <w:rFonts w:hint="default" w:ascii="Times New Roman" w:hAnsi="Times New Roman" w:cs="Times New Roman"/>
                <w:u w:val="none" w:color="auto"/>
                <w:lang w:eastAsia="zh-CN"/>
              </w:rPr>
              <w:t>自熟挤丝</w:t>
            </w:r>
            <w:r>
              <w:rPr>
                <w:rFonts w:hint="default" w:ascii="Times New Roman" w:hAnsi="Times New Roman" w:cs="Times New Roman"/>
                <w:u w:val="none" w:color="auto"/>
              </w:rPr>
              <w:t xml:space="preserve">工序 </w:t>
            </w:r>
          </w:p>
          <w:p>
            <w:pPr>
              <w:widowControl/>
              <w:bidi w:val="0"/>
              <w:ind w:firstLine="480" w:firstLineChars="200"/>
              <w:jc w:val="left"/>
              <w:rPr>
                <w:rFonts w:hint="default" w:ascii="Times New Roman" w:hAnsi="Times New Roman" w:cs="Times New Roman"/>
                <w:u w:val="none" w:color="auto"/>
                <w:lang w:eastAsia="zh-CN"/>
              </w:rPr>
            </w:pPr>
            <w:r>
              <w:rPr>
                <w:rFonts w:hint="default" w:ascii="Times New Roman" w:hAnsi="Times New Roman" w:eastAsia="宋体" w:cs="Times New Roman"/>
                <w:color w:val="000000"/>
                <w:kern w:val="0"/>
                <w:sz w:val="24"/>
                <w:szCs w:val="24"/>
                <w:u w:val="none" w:color="auto"/>
                <w:lang w:val="en-US" w:eastAsia="zh-CN" w:bidi="ar"/>
              </w:rPr>
              <w:t>和料后的粉料通过传送带送分料平台，由分料平台连续、均匀的经喂料斗送至醒料、自熟、挤丝自动一体机中，挤压成丝。该环节产生少量的废气及噪声。</w:t>
            </w:r>
          </w:p>
          <w:p>
            <w:pPr>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⑥</w:t>
            </w:r>
            <w:r>
              <w:rPr>
                <w:rFonts w:hint="default" w:ascii="Times New Roman" w:hAnsi="Times New Roman" w:eastAsia="宋体" w:cs="Times New Roman"/>
                <w:u w:val="none" w:color="auto"/>
                <w:lang w:val="en-US" w:eastAsia="zh-CN"/>
              </w:rPr>
              <w:t>蒸煮</w:t>
            </w:r>
          </w:p>
          <w:p>
            <w:pPr>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eastAsia="zh-CN"/>
              </w:rPr>
              <w:t>此步骤主要是对米粉进行糊化，</w:t>
            </w:r>
            <w:r>
              <w:rPr>
                <w:rFonts w:hint="default" w:ascii="Times New Roman" w:hAnsi="Times New Roman" w:cs="Times New Roman"/>
                <w:u w:val="none" w:color="auto"/>
              </w:rPr>
              <w:t>糊化是淀粉分子在自由水分子的作用下，从有序到无序的过程。蒸粉时间要适当，时间过短，温度太低，则粉条糊化不完全，会产生白心，易碎断；温度过高，会引起过分糊化，表面产生糊液</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由生物质蒸汽发生器提供蒸汽进行蒸煮</w:t>
            </w:r>
            <w:r>
              <w:rPr>
                <w:rFonts w:hint="default" w:ascii="Times New Roman" w:hAnsi="Times New Roman" w:cs="Times New Roman"/>
                <w:u w:val="none" w:color="auto"/>
              </w:rPr>
              <w:t>。</w:t>
            </w:r>
          </w:p>
          <w:p>
            <w:pPr>
              <w:bidi w:val="0"/>
              <w:rPr>
                <w:rFonts w:ascii="Times New Roman" w:hAnsi="Times New Roman" w:cs="Times New Roman"/>
                <w:u w:val="none" w:color="auto"/>
              </w:rPr>
            </w:pPr>
            <w:r>
              <w:rPr>
                <w:rFonts w:hint="default" w:ascii="Times New Roman" w:hAnsi="Times New Roman" w:cs="Times New Roman"/>
                <w:u w:val="none" w:color="auto"/>
                <w:lang w:eastAsia="zh-CN"/>
              </w:rPr>
              <w:t>⑦自动喷淋清洗</w:t>
            </w:r>
          </w:p>
          <w:p>
            <w:pPr>
              <w:bidi w:val="0"/>
              <w:rPr>
                <w:rFonts w:ascii="Times New Roman" w:hAnsi="Times New Roman" w:cs="Times New Roman"/>
                <w:u w:val="none" w:color="auto"/>
              </w:rPr>
            </w:pPr>
            <w:r>
              <w:rPr>
                <w:rFonts w:hint="default" w:ascii="Times New Roman" w:hAnsi="Times New Roman" w:cs="Times New Roman"/>
                <w:u w:val="none" w:color="auto"/>
              </w:rPr>
              <w:t>进入</w:t>
            </w:r>
            <w:r>
              <w:rPr>
                <w:rFonts w:hint="default" w:ascii="Times New Roman" w:hAnsi="Times New Roman" w:cs="Times New Roman"/>
                <w:u w:val="none" w:color="auto"/>
                <w:lang w:eastAsia="zh-CN"/>
              </w:rPr>
              <w:t>水洗</w:t>
            </w:r>
            <w:r>
              <w:rPr>
                <w:rFonts w:hint="default" w:ascii="Times New Roman" w:hAnsi="Times New Roman" w:cs="Times New Roman"/>
                <w:u w:val="none" w:color="auto"/>
              </w:rPr>
              <w:t>区后，米粉的整过制作过程基本完成，米粉降温过快，造成表面温度过低，内部温度高，内部部分水份不易排出，同样会造成气泡粉，也就是常说的花粉，米粉也容易爆断，煮粉的过程中容易断粉，因此本区间是一个温度递减的过程，根据气候状况和米粉的实际干湿状况来控制温度。项目通过自然冷却处理。</w:t>
            </w:r>
          </w:p>
          <w:p>
            <w:pPr>
              <w:bidi w:val="0"/>
              <w:rPr>
                <w:rFonts w:ascii="Times New Roman" w:hAnsi="Times New Roman" w:cs="Times New Roman"/>
                <w:u w:val="none" w:color="auto"/>
              </w:rPr>
            </w:pPr>
            <w:r>
              <w:rPr>
                <w:rFonts w:hint="default" w:ascii="Times New Roman" w:hAnsi="Times New Roman" w:cs="Times New Roman"/>
                <w:u w:val="none" w:color="auto"/>
                <w:lang w:eastAsia="zh-CN"/>
              </w:rPr>
              <w:t>⑧</w:t>
            </w:r>
            <w:r>
              <w:rPr>
                <w:rFonts w:hint="default" w:ascii="Times New Roman" w:hAnsi="Times New Roman" w:cs="Times New Roman"/>
                <w:u w:val="none" w:color="auto"/>
              </w:rPr>
              <w:t>包装</w:t>
            </w:r>
          </w:p>
          <w:p>
            <w:pPr>
              <w:bidi w:val="0"/>
              <w:rPr>
                <w:rFonts w:hint="default" w:ascii="Times New Roman" w:hAnsi="Times New Roman" w:cs="Times New Roman"/>
                <w:u w:val="none" w:color="auto"/>
              </w:rPr>
            </w:pPr>
            <w:r>
              <w:rPr>
                <w:rFonts w:hint="default" w:ascii="Times New Roman" w:hAnsi="Times New Roman" w:cs="Times New Roman"/>
                <w:u w:val="none" w:color="auto"/>
              </w:rPr>
              <w:t>米粉通过干燥冷却后即可入库。产品需经过紫外线杀菌处理，并经过专用的通道进入</w:t>
            </w:r>
            <w:r>
              <w:rPr>
                <w:rFonts w:hint="default" w:ascii="Times New Roman" w:hAnsi="Times New Roman" w:cs="Times New Roman"/>
                <w:u w:val="none" w:color="auto"/>
                <w:lang w:val="en-US" w:eastAsia="zh-CN"/>
              </w:rPr>
              <w:t>产品库</w:t>
            </w:r>
            <w:r>
              <w:rPr>
                <w:rFonts w:hint="default" w:ascii="Times New Roman" w:hAnsi="Times New Roman" w:cs="Times New Roman"/>
                <w:u w:val="none" w:color="auto"/>
              </w:rPr>
              <w:t>，避免交叉感染。</w:t>
            </w:r>
          </w:p>
          <w:p>
            <w:pPr>
              <w:pStyle w:val="6"/>
              <w:rPr>
                <w:rFonts w:hint="default" w:ascii="Times New Roman" w:hAnsi="Times New Roman" w:cs="Times New Roman"/>
                <w:u w:val="none" w:color="auto"/>
                <w:lang w:val="en-US" w:eastAsia="zh-CN"/>
              </w:rPr>
            </w:pPr>
            <w:r>
              <w:rPr>
                <w:rFonts w:hint="eastAsia" w:ascii="Times New Roman" w:hAnsi="Times New Roman" w:cs="Times New Roman"/>
                <w:u w:val="none" w:color="auto"/>
                <w:lang w:val="en-US" w:eastAsia="zh-CN"/>
              </w:rPr>
              <w:t xml:space="preserve">2.5.3 </w:t>
            </w:r>
            <w:r>
              <w:rPr>
                <w:rFonts w:hint="default" w:ascii="Times New Roman" w:hAnsi="Times New Roman" w:cs="Times New Roman"/>
                <w:u w:val="none" w:color="auto"/>
                <w:lang w:val="en-US" w:eastAsia="zh-CN"/>
              </w:rPr>
              <w:t>锅炉生产工艺流程</w:t>
            </w:r>
          </w:p>
          <w:p>
            <w:pPr>
              <w:pStyle w:val="9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drawing>
                <wp:inline distT="0" distB="0" distL="114300" distR="114300">
                  <wp:extent cx="4578985" cy="2061210"/>
                  <wp:effectExtent l="0" t="0" r="12065" b="15240"/>
                  <wp:docPr id="16" name="图片 16" descr="泸溪米粉厂锅炉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泸溪米粉厂锅炉工艺"/>
                          <pic:cNvPicPr>
                            <a:picLocks noChangeAspect="1"/>
                          </pic:cNvPicPr>
                        </pic:nvPicPr>
                        <pic:blipFill>
                          <a:blip r:embed="rId27"/>
                          <a:stretch>
                            <a:fillRect/>
                          </a:stretch>
                        </pic:blipFill>
                        <pic:spPr>
                          <a:xfrm>
                            <a:off x="0" y="0"/>
                            <a:ext cx="4578985" cy="2061210"/>
                          </a:xfrm>
                          <a:prstGeom prst="rect">
                            <a:avLst/>
                          </a:prstGeom>
                        </pic:spPr>
                      </pic:pic>
                    </a:graphicData>
                  </a:graphic>
                </wp:inline>
              </w:drawing>
            </w:r>
          </w:p>
          <w:p>
            <w:pPr>
              <w:pStyle w:val="97"/>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图</w:t>
            </w:r>
            <w:r>
              <w:rPr>
                <w:rFonts w:hint="eastAsia" w:ascii="Times New Roman" w:hAnsi="Times New Roman" w:cs="Times New Roman"/>
                <w:u w:val="none" w:color="auto"/>
                <w:lang w:val="en-US" w:eastAsia="zh-CN"/>
              </w:rPr>
              <w:t>2-</w:t>
            </w:r>
            <w:r>
              <w:rPr>
                <w:rFonts w:hint="eastAsia" w:cs="Times New Roman"/>
                <w:u w:val="none" w:color="auto"/>
                <w:lang w:val="en-US" w:eastAsia="zh-CN"/>
              </w:rPr>
              <w:t>3</w:t>
            </w:r>
            <w:r>
              <w:rPr>
                <w:rFonts w:hint="default" w:ascii="Times New Roman" w:hAnsi="Times New Roman" w:cs="Times New Roman"/>
                <w:u w:val="none" w:color="auto"/>
                <w:lang w:val="en-US" w:eastAsia="zh-CN"/>
              </w:rPr>
              <w:t>：锅炉生产工艺流程及产</w:t>
            </w:r>
            <w:r>
              <w:rPr>
                <w:rFonts w:hint="default" w:ascii="Times New Roman" w:hAnsi="Times New Roman" w:cs="Times New Roman"/>
                <w:highlight w:val="none"/>
                <w:u w:val="none" w:color="auto"/>
                <w:lang w:val="en-US" w:eastAsia="zh-CN"/>
              </w:rPr>
              <w:t>污环节图</w:t>
            </w:r>
          </w:p>
          <w:p>
            <w:pPr>
              <w:pStyle w:val="96"/>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①软水：</w:t>
            </w:r>
          </w:p>
          <w:p>
            <w:pPr>
              <w:pStyle w:val="96"/>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项目生产过程中所需软水由配套建设的1套0.7t/h 软水制备设施提供。该软水制备设施采用反渗透制备软水，软水得率在80%左右，其制备工艺为：自来水→多介质过滤器→活性炭吸附器→保安过滤→反渗透过滤→软水水箱→用水点。该工艺是利用物理拦截作用对水中的盐分进行浓缩的过程。此过程会产生浓水。</w:t>
            </w:r>
          </w:p>
          <w:p>
            <w:pPr>
              <w:pStyle w:val="96"/>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②生物质颗粒燃烧</w:t>
            </w:r>
          </w:p>
          <w:p>
            <w:pPr>
              <w:pStyle w:val="96"/>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生物质颗粒来源于外购。由输料皮带送至锅炉燃烧将化学能转变为热能，锅炉产生的蒸汽送往需热工序。锅炉燃烧产生的烟气经过除尘系统，最终通过20m 高烟囱高空排放。生物质颗粒燃烧后产生炉渣和燃烧烟气。</w:t>
            </w:r>
          </w:p>
          <w:p>
            <w:pPr>
              <w:pStyle w:val="96"/>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③除尘系统</w:t>
            </w:r>
          </w:p>
          <w:p>
            <w:pPr>
              <w:ind w:firstLine="48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锅炉烟气进入除尘系统，除尘系统采用旋风除尘器，除尘系统产生收尘灰。</w:t>
            </w:r>
          </w:p>
          <w:p>
            <w:pPr>
              <w:pStyle w:val="6"/>
              <w:rPr>
                <w:rFonts w:hint="default" w:ascii="Times New Roman" w:hAnsi="Times New Roman" w:cs="Times New Roman"/>
                <w:u w:val="single" w:color="auto"/>
                <w:lang w:val="en-US" w:eastAsia="zh-CN"/>
              </w:rPr>
            </w:pPr>
            <w:r>
              <w:rPr>
                <w:rFonts w:hint="eastAsia" w:ascii="Times New Roman" w:hAnsi="Times New Roman" w:cs="Times New Roman"/>
                <w:u w:val="single" w:color="auto"/>
                <w:lang w:val="en-US" w:eastAsia="zh-CN"/>
              </w:rPr>
              <w:t>2.5.</w:t>
            </w:r>
            <w:r>
              <w:rPr>
                <w:rFonts w:hint="eastAsia" w:cs="Times New Roman"/>
                <w:u w:val="single" w:color="auto"/>
                <w:lang w:val="en-US" w:eastAsia="zh-CN"/>
              </w:rPr>
              <w:t>4</w:t>
            </w:r>
            <w:r>
              <w:rPr>
                <w:rFonts w:hint="eastAsia" w:ascii="Times New Roman" w:hAnsi="Times New Roman" w:cs="Times New Roman"/>
                <w:u w:val="single" w:color="auto"/>
                <w:lang w:val="en-US" w:eastAsia="zh-CN"/>
              </w:rPr>
              <w:t xml:space="preserve"> </w:t>
            </w:r>
            <w:r>
              <w:rPr>
                <w:rFonts w:hint="eastAsia" w:cs="Times New Roman"/>
                <w:u w:val="single" w:color="auto"/>
                <w:lang w:val="en-US" w:eastAsia="zh-CN"/>
              </w:rPr>
              <w:t>检验室化验流程</w:t>
            </w:r>
          </w:p>
          <w:p>
            <w:pPr>
              <w:rPr>
                <w:rFonts w:hint="default" w:eastAsia="宋体"/>
                <w:highlight w:val="yellow"/>
                <w:u w:val="single" w:color="auto"/>
                <w:lang w:val="en-US" w:eastAsia="zh-CN"/>
              </w:rPr>
            </w:pPr>
            <w:r>
              <w:rPr>
                <w:rFonts w:hint="default" w:ascii="Times New Roman" w:hAnsi="Times New Roman" w:cs="Times New Roman"/>
                <w:highlight w:val="none"/>
                <w:u w:val="single" w:color="auto"/>
                <w:lang w:eastAsia="zh-CN"/>
              </w:rPr>
              <w:t>检验室主要利用仪器检测产品</w:t>
            </w:r>
            <w:r>
              <w:rPr>
                <w:rFonts w:hint="default" w:ascii="Times New Roman" w:hAnsi="Times New Roman" w:cs="Times New Roman"/>
                <w:highlight w:val="none"/>
                <w:u w:val="single" w:color="auto"/>
                <w:lang w:val="en-US" w:eastAsia="zh-CN"/>
              </w:rPr>
              <w:t>的</w:t>
            </w:r>
            <w:r>
              <w:rPr>
                <w:rFonts w:hint="default" w:ascii="Times New Roman" w:hAnsi="Times New Roman" w:cs="Times New Roman"/>
                <w:highlight w:val="none"/>
                <w:u w:val="single" w:color="auto"/>
              </w:rPr>
              <w:t>感官、水分、酸碱度、微生物菌落总数、大肠菌群等指标</w:t>
            </w:r>
            <w:r>
              <w:rPr>
                <w:rFonts w:hint="default" w:ascii="Times New Roman" w:hAnsi="Times New Roman" w:cs="Times New Roman"/>
                <w:highlight w:val="none"/>
                <w:u w:val="single" w:color="auto"/>
                <w:lang w:eastAsia="zh-CN"/>
              </w:rPr>
              <w:t>，</w:t>
            </w:r>
            <w:r>
              <w:rPr>
                <w:rFonts w:hint="eastAsia" w:cs="Times New Roman"/>
                <w:highlight w:val="none"/>
                <w:u w:val="single" w:color="auto"/>
                <w:lang w:val="en-US" w:eastAsia="zh-CN"/>
              </w:rPr>
              <w:t>不涉及重金属试剂的使用。使用烘干设备检测产品的水分；酸碱度则采用pH试纸进行检测；针对</w:t>
            </w:r>
            <w:r>
              <w:rPr>
                <w:rFonts w:hint="default" w:ascii="Times New Roman" w:hAnsi="Times New Roman" w:cs="Times New Roman"/>
                <w:highlight w:val="none"/>
                <w:u w:val="single" w:color="auto"/>
              </w:rPr>
              <w:t>微生物菌落总数、大肠菌群等</w:t>
            </w:r>
            <w:r>
              <w:rPr>
                <w:rFonts w:hint="eastAsia" w:cs="Times New Roman"/>
                <w:highlight w:val="none"/>
                <w:u w:val="single" w:color="auto"/>
                <w:lang w:val="en-US" w:eastAsia="zh-CN"/>
              </w:rPr>
              <w:t>菌落指标，则采用琼脂培养基进行检测，培养基经过高温灭活之后可按一般固废处置，含酸碱废试剂的废液产生量极小，按危废处置，而产生的实验室设备清洗废水检验室内收集桶收集后进行酸碱中和，再运至污水处理站处理达标后用于农灌。</w:t>
            </w:r>
          </w:p>
          <w:p>
            <w:pPr>
              <w:pStyle w:val="5"/>
              <w:rPr>
                <w:u w:val="none" w:color="auto"/>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9" w:hRule="atLeast"/>
        </w:trPr>
        <w:tc>
          <w:tcPr>
            <w:tcW w:w="862" w:type="dxa"/>
            <w:tcBorders>
              <w:top w:val="single" w:color="000000" w:sz="4" w:space="0"/>
              <w:right w:val="single" w:color="000000" w:sz="4" w:space="0"/>
            </w:tcBorders>
            <w:vAlign w:val="center"/>
          </w:tcPr>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与项</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目有</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关的</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原有</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环境</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污染</w:t>
            </w:r>
          </w:p>
          <w:p>
            <w:pPr>
              <w:pStyle w:val="49"/>
              <w:wordWrap/>
              <w:overflowPunct w:val="0"/>
              <w:topLinePunct w:val="0"/>
              <w:autoSpaceDE w:val="0"/>
              <w:autoSpaceDN w:val="0"/>
              <w:spacing w:line="242" w:lineRule="auto"/>
              <w:ind w:right="79"/>
              <w:jc w:val="center"/>
              <w:rPr>
                <w:rFonts w:ascii="Times New Roman" w:hAnsi="Times New Roman" w:cs="Times New Roman"/>
                <w:sz w:val="21"/>
                <w:u w:val="none" w:color="auto"/>
              </w:rPr>
            </w:pPr>
            <w:r>
              <w:rPr>
                <w:rFonts w:ascii="Times New Roman" w:hAnsi="Times New Roman" w:cs="Times New Roman"/>
                <w:b/>
                <w:bCs/>
                <w:sz w:val="30"/>
                <w:szCs w:val="30"/>
                <w:u w:val="none" w:color="auto"/>
              </w:rPr>
              <w:t>问题</w:t>
            </w:r>
          </w:p>
        </w:tc>
        <w:tc>
          <w:tcPr>
            <w:tcW w:w="8257" w:type="dxa"/>
            <w:tcBorders>
              <w:top w:val="single" w:color="000000" w:sz="4" w:space="0"/>
              <w:left w:val="single" w:color="000000" w:sz="4" w:space="0"/>
            </w:tcBorders>
            <w:vAlign w:val="top"/>
          </w:tcPr>
          <w:p>
            <w:pPr>
              <w:pStyle w:val="6"/>
              <w:keepNext w:val="0"/>
              <w:keepLines w:val="0"/>
              <w:pageBreakBefore w:val="0"/>
              <w:widowControl w:val="0"/>
              <w:kinsoku/>
              <w:wordWrap/>
              <w:overflowPunct w:val="0"/>
              <w:topLinePunct w:val="0"/>
              <w:autoSpaceDE w:val="0"/>
              <w:autoSpaceDN w:val="0"/>
              <w:bidi w:val="0"/>
              <w:adjustRightInd/>
              <w:snapToGrid/>
              <w:spacing w:line="360" w:lineRule="auto"/>
              <w:ind w:firstLine="0" w:firstLineChars="0"/>
              <w:jc w:val="both"/>
              <w:textAlignment w:val="auto"/>
              <w:rPr>
                <w:rFonts w:ascii="Times New Roman" w:hAnsi="Times New Roman" w:cs="Times New Roman"/>
                <w:u w:val="none" w:color="auto"/>
                <w:lang w:val="en-US"/>
              </w:rPr>
            </w:pPr>
            <w:r>
              <w:rPr>
                <w:rFonts w:hint="default" w:ascii="Times New Roman" w:hAnsi="Times New Roman" w:cs="Times New Roman"/>
                <w:u w:val="none" w:color="auto"/>
                <w:lang w:val="en-US"/>
              </w:rPr>
              <w:t>2.</w:t>
            </w:r>
            <w:r>
              <w:rPr>
                <w:rFonts w:hint="default" w:ascii="Times New Roman" w:hAnsi="Times New Roman" w:cs="Times New Roman"/>
                <w:u w:val="none" w:color="auto"/>
                <w:lang w:val="en-US" w:eastAsia="zh-CN"/>
              </w:rPr>
              <w:t xml:space="preserve">6 </w:t>
            </w:r>
            <w:r>
              <w:rPr>
                <w:rFonts w:hint="default" w:ascii="Times New Roman" w:hAnsi="Times New Roman" w:cs="Times New Roman"/>
                <w:u w:val="none" w:color="auto"/>
                <w:lang w:val="en-US"/>
              </w:rPr>
              <w:t>与本项目有关的原有污染情况及主要环境问题：</w:t>
            </w:r>
          </w:p>
          <w:p>
            <w:pPr>
              <w:adjustRightInd w:val="0"/>
              <w:snapToGrid w:val="0"/>
              <w:spacing w:line="360" w:lineRule="auto"/>
              <w:ind w:firstLine="480" w:firstLineChars="200"/>
              <w:rPr>
                <w:rFonts w:hint="default" w:ascii="Times New Roman" w:hAnsi="Times New Roman" w:cs="Times New Roman"/>
                <w:u w:val="none" w:color="auto"/>
              </w:rPr>
            </w:pPr>
            <w:r>
              <w:rPr>
                <w:rFonts w:hint="default" w:ascii="Times New Roman" w:hAnsi="Times New Roman" w:cs="Times New Roman"/>
                <w:u w:val="none" w:color="auto"/>
              </w:rPr>
              <w:t>（1）原有污染情况</w:t>
            </w:r>
          </w:p>
          <w:p>
            <w:pPr>
              <w:adjustRightInd w:val="0"/>
              <w:snapToGrid w:val="0"/>
              <w:spacing w:line="360" w:lineRule="auto"/>
              <w:ind w:firstLine="480" w:firstLineChars="200"/>
              <w:rPr>
                <w:rFonts w:hint="default" w:ascii="Times New Roman" w:hAnsi="Times New Roman" w:cs="Times New Roman"/>
                <w:u w:val="none" w:color="auto"/>
              </w:rPr>
            </w:pPr>
            <w:r>
              <w:rPr>
                <w:rFonts w:hint="default" w:ascii="Times New Roman" w:hAnsi="Times New Roman" w:cs="Times New Roman"/>
                <w:u w:val="none" w:color="auto"/>
                <w:lang w:val="en-US" w:eastAsia="zh-CN"/>
              </w:rPr>
              <w:t>原泸溪县白沙天然饮料厂已于2014年停产至今，原有设备已搬往旧址对面的新水厂，旧水厂内无设施设备，无生产行为，生产车间荒废已久，车间内部采取地面硬化，未发生过污染事故，不</w:t>
            </w:r>
            <w:r>
              <w:rPr>
                <w:rFonts w:hint="default" w:ascii="Times New Roman" w:hAnsi="Times New Roman" w:cs="Times New Roman"/>
                <w:u w:val="none" w:color="auto"/>
              </w:rPr>
              <w:t>存在环境污染纠纷及环保投诉</w:t>
            </w:r>
            <w:r>
              <w:rPr>
                <w:rFonts w:hint="default" w:ascii="Times New Roman" w:hAnsi="Times New Roman" w:cs="Times New Roman"/>
                <w:u w:val="none" w:color="auto"/>
                <w:lang w:val="en-US" w:eastAsia="zh-CN"/>
              </w:rPr>
              <w:t>。</w:t>
            </w:r>
          </w:p>
          <w:p>
            <w:pPr>
              <w:adjustRightInd w:val="0"/>
              <w:snapToGrid w:val="0"/>
              <w:spacing w:line="360" w:lineRule="auto"/>
              <w:ind w:firstLine="480" w:firstLineChars="200"/>
              <w:rPr>
                <w:rFonts w:hint="default" w:ascii="Times New Roman" w:hAnsi="Times New Roman" w:cs="Times New Roman"/>
                <w:u w:val="none" w:color="auto"/>
              </w:rPr>
            </w:pPr>
            <w:r>
              <w:rPr>
                <w:rFonts w:hint="default" w:ascii="Times New Roman" w:hAnsi="Times New Roman" w:cs="Times New Roman"/>
                <w:u w:val="none" w:color="auto"/>
              </w:rPr>
              <w:t>（2）周边排污企业情况</w:t>
            </w:r>
          </w:p>
          <w:p>
            <w:pPr>
              <w:wordWrap/>
              <w:overflowPunct w:val="0"/>
              <w:topLinePunct w:val="0"/>
              <w:autoSpaceDE w:val="0"/>
              <w:autoSpaceDN w:val="0"/>
              <w:ind w:firstLine="480"/>
              <w:jc w:val="both"/>
              <w:rPr>
                <w:rFonts w:hint="default" w:ascii="Times New Roman" w:hAnsi="Times New Roman" w:cs="Times New Roman"/>
                <w:u w:val="none" w:color="auto"/>
              </w:rPr>
            </w:pPr>
            <w:r>
              <w:rPr>
                <w:rFonts w:hint="default" w:ascii="Times New Roman" w:hAnsi="Times New Roman" w:cs="Times New Roman"/>
                <w:u w:val="none" w:color="auto"/>
              </w:rPr>
              <w:t>本项目位于</w:t>
            </w:r>
            <w:r>
              <w:rPr>
                <w:rFonts w:hint="default" w:ascii="Times New Roman" w:hAnsi="Times New Roman" w:cs="Times New Roman"/>
                <w:u w:val="none" w:color="auto"/>
                <w:lang w:val="en-US" w:eastAsia="zh-CN"/>
              </w:rPr>
              <w:t>泸溪县武溪镇红土溪村</w:t>
            </w:r>
            <w:r>
              <w:rPr>
                <w:rFonts w:hint="default" w:ascii="Times New Roman" w:hAnsi="Times New Roman" w:cs="Times New Roman"/>
                <w:u w:val="none" w:color="auto"/>
              </w:rPr>
              <w:t>，项目占地类型为工业用地，</w:t>
            </w:r>
            <w:r>
              <w:rPr>
                <w:rFonts w:hint="default" w:ascii="Times New Roman" w:hAnsi="Times New Roman" w:cs="Times New Roman"/>
                <w:u w:val="none" w:color="auto"/>
                <w:lang w:val="en-US" w:eastAsia="zh-CN"/>
              </w:rPr>
              <w:t>占地面积为845m</w:t>
            </w:r>
            <w:r>
              <w:rPr>
                <w:rFonts w:hint="default" w:ascii="Times New Roman" w:hAnsi="Times New Roman" w:cs="Times New Roman"/>
                <w:u w:val="none" w:color="auto"/>
                <w:vertAlign w:val="superscript"/>
                <w:lang w:val="en-US" w:eastAsia="zh-CN"/>
              </w:rPr>
              <w:t>2</w:t>
            </w:r>
            <w:r>
              <w:rPr>
                <w:rFonts w:hint="default" w:ascii="Times New Roman" w:hAnsi="Times New Roman" w:cs="Times New Roman"/>
                <w:u w:val="none" w:color="auto"/>
                <w:lang w:val="en-US" w:eastAsia="zh-CN"/>
              </w:rPr>
              <w:t>，</w:t>
            </w:r>
            <w:r>
              <w:rPr>
                <w:rFonts w:hint="default" w:ascii="Times New Roman" w:hAnsi="Times New Roman" w:cs="Times New Roman"/>
                <w:u w:val="none" w:color="auto"/>
              </w:rPr>
              <w:t>根据现场勘察，项目周边主要污染源为</w:t>
            </w:r>
            <w:r>
              <w:rPr>
                <w:rFonts w:hint="default" w:ascii="Times New Roman" w:hAnsi="Times New Roman" w:cs="Times New Roman"/>
                <w:u w:val="none" w:color="auto"/>
                <w:lang w:val="en-US" w:eastAsia="zh-CN"/>
              </w:rPr>
              <w:t>项目</w:t>
            </w:r>
            <w:r>
              <w:rPr>
                <w:rFonts w:hint="default" w:ascii="Times New Roman" w:hAnsi="Times New Roman" w:cs="Times New Roman"/>
                <w:u w:val="none" w:color="auto"/>
              </w:rPr>
              <w:t>附近企业运营过程中一定量的废气、废水、固体废物以及噪声污染，详见下表。</w:t>
            </w:r>
          </w:p>
          <w:p>
            <w:pPr>
              <w:keepNext w:val="0"/>
              <w:keepLines w:val="0"/>
              <w:pageBreakBefore w:val="0"/>
              <w:widowControl w:val="0"/>
              <w:kinsoku/>
              <w:wordWrap w:val="0"/>
              <w:overflowPunct/>
              <w:topLinePunct/>
              <w:autoSpaceDE w:val="0"/>
              <w:autoSpaceDN w:val="0"/>
              <w:bidi w:val="0"/>
              <w:adjustRightInd w:val="0"/>
              <w:snapToGrid/>
              <w:ind w:firstLine="0" w:firstLineChars="0"/>
              <w:jc w:val="center"/>
              <w:textAlignment w:val="auto"/>
              <w:rPr>
                <w:rFonts w:hint="default" w:ascii="Times New Roman" w:hAnsi="Times New Roman" w:eastAsia="宋体" w:cs="Times New Roman"/>
                <w:b/>
                <w:bCs/>
                <w:sz w:val="21"/>
                <w:szCs w:val="21"/>
                <w:highlight w:val="none"/>
                <w:u w:val="none" w:color="auto"/>
              </w:rPr>
            </w:pPr>
            <w:r>
              <w:rPr>
                <w:rFonts w:hint="default" w:ascii="Times New Roman" w:hAnsi="Times New Roman" w:eastAsia="宋体" w:cs="Times New Roman"/>
                <w:b/>
                <w:bCs/>
                <w:sz w:val="21"/>
                <w:szCs w:val="21"/>
                <w:highlight w:val="none"/>
                <w:u w:val="none" w:color="auto"/>
              </w:rPr>
              <w:t>表</w:t>
            </w:r>
            <w:r>
              <w:rPr>
                <w:rFonts w:hint="default" w:ascii="Times New Roman" w:hAnsi="Times New Roman" w:cs="Times New Roman"/>
                <w:b/>
                <w:bCs/>
                <w:sz w:val="21"/>
                <w:szCs w:val="21"/>
                <w:highlight w:val="none"/>
                <w:u w:val="none" w:color="auto"/>
                <w:lang w:val="en-US" w:eastAsia="zh-CN"/>
              </w:rPr>
              <w:t>2.6-1</w:t>
            </w:r>
            <w:r>
              <w:rPr>
                <w:rFonts w:hint="default" w:ascii="Times New Roman" w:hAnsi="Times New Roman" w:eastAsia="宋体" w:cs="Times New Roman"/>
                <w:b/>
                <w:bCs/>
                <w:sz w:val="21"/>
                <w:szCs w:val="21"/>
                <w:highlight w:val="none"/>
                <w:u w:val="none" w:color="auto"/>
              </w:rPr>
              <w:t xml:space="preserve">  项目临近企业概况</w:t>
            </w:r>
          </w:p>
          <w:tbl>
            <w:tblPr>
              <w:tblStyle w:val="28"/>
              <w:tblW w:w="4946" w:type="pct"/>
              <w:jc w:val="center"/>
              <w:tblBorders>
                <w:top w:val="single" w:color="auto" w:sz="4" w:space="0"/>
                <w:left w:val="single" w:color="auto" w:sz="4" w:space="0"/>
                <w:bottom w:val="single" w:color="auto" w:sz="6" w:space="0"/>
                <w:right w:val="single" w:color="auto" w:sz="4" w:space="0"/>
                <w:insideH w:val="single" w:color="auto" w:sz="4" w:space="0"/>
                <w:insideV w:val="single" w:color="auto" w:sz="6" w:space="0"/>
              </w:tblBorders>
              <w:tblLayout w:type="autofit"/>
              <w:tblCellMar>
                <w:top w:w="0" w:type="dxa"/>
                <w:left w:w="0" w:type="dxa"/>
                <w:bottom w:w="0" w:type="dxa"/>
                <w:right w:w="0" w:type="dxa"/>
              </w:tblCellMar>
            </w:tblPr>
            <w:tblGrid>
              <w:gridCol w:w="373"/>
              <w:gridCol w:w="1172"/>
              <w:gridCol w:w="1157"/>
              <w:gridCol w:w="995"/>
              <w:gridCol w:w="1274"/>
              <w:gridCol w:w="955"/>
              <w:gridCol w:w="739"/>
              <w:gridCol w:w="673"/>
              <w:gridCol w:w="991"/>
            </w:tblGrid>
            <w:tr>
              <w:tblPrEx>
                <w:tblBorders>
                  <w:top w:val="single" w:color="auto" w:sz="4" w:space="0"/>
                  <w:left w:val="single" w:color="auto" w:sz="4" w:space="0"/>
                  <w:bottom w:val="single" w:color="auto" w:sz="6"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345" w:hRule="atLeast"/>
                <w:jc w:val="center"/>
              </w:trPr>
              <w:tc>
                <w:tcPr>
                  <w:tcW w:w="224"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序号</w:t>
                  </w:r>
                </w:p>
              </w:tc>
              <w:tc>
                <w:tcPr>
                  <w:tcW w:w="703"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企业名称</w:t>
                  </w:r>
                </w:p>
              </w:tc>
              <w:tc>
                <w:tcPr>
                  <w:tcW w:w="694"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产品</w:t>
                  </w:r>
                </w:p>
              </w:tc>
              <w:tc>
                <w:tcPr>
                  <w:tcW w:w="597"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产量（t/a）</w:t>
                  </w:r>
                </w:p>
              </w:tc>
              <w:tc>
                <w:tcPr>
                  <w:tcW w:w="764"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与本项目的相对位置</w:t>
                  </w:r>
                </w:p>
              </w:tc>
              <w:tc>
                <w:tcPr>
                  <w:tcW w:w="573"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目前生产情况</w:t>
                  </w:r>
                </w:p>
              </w:tc>
              <w:tc>
                <w:tcPr>
                  <w:tcW w:w="443"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COD</w:t>
                  </w:r>
                </w:p>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（t/a）</w:t>
                  </w:r>
                </w:p>
              </w:tc>
              <w:tc>
                <w:tcPr>
                  <w:tcW w:w="403"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SO</w:t>
                  </w:r>
                  <w:r>
                    <w:rPr>
                      <w:rFonts w:hint="default" w:ascii="Times New Roman" w:hAnsi="Times New Roman" w:eastAsia="宋体" w:cs="Times New Roman"/>
                      <w:b/>
                      <w:bCs/>
                      <w:sz w:val="21"/>
                      <w:szCs w:val="21"/>
                      <w:u w:val="none" w:color="auto"/>
                      <w:vertAlign w:val="subscript"/>
                      <w:lang w:val="en-US" w:eastAsia="zh-CN"/>
                    </w:rPr>
                    <w:t>2</w:t>
                  </w:r>
                </w:p>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（t/a）</w:t>
                  </w:r>
                </w:p>
              </w:tc>
              <w:tc>
                <w:tcPr>
                  <w:tcW w:w="594" w:type="pct"/>
                  <w:tcBorders>
                    <w:tl2br w:val="nil"/>
                    <w:tr2bl w:val="nil"/>
                  </w:tcBorders>
                  <w:noWrap w:val="0"/>
                  <w:vAlign w:val="center"/>
                </w:tcPr>
                <w:p>
                  <w:pPr>
                    <w:pStyle w:val="39"/>
                    <w:bidi w:val="0"/>
                    <w:rPr>
                      <w:rFonts w:hint="default" w:ascii="Times New Roman" w:hAnsi="Times New Roman" w:eastAsia="宋体" w:cs="Times New Roman"/>
                      <w:b/>
                      <w:bCs/>
                      <w:sz w:val="21"/>
                      <w:szCs w:val="21"/>
                      <w:u w:val="none" w:color="auto"/>
                      <w:lang w:val="en-US" w:eastAsia="zh-CN"/>
                    </w:rPr>
                  </w:pPr>
                  <w:r>
                    <w:rPr>
                      <w:rFonts w:hint="default" w:ascii="Times New Roman" w:hAnsi="Times New Roman" w:eastAsia="宋体" w:cs="Times New Roman"/>
                      <w:b/>
                      <w:bCs/>
                      <w:sz w:val="21"/>
                      <w:szCs w:val="21"/>
                      <w:u w:val="none" w:color="auto"/>
                      <w:lang w:val="en-US" w:eastAsia="zh-CN"/>
                    </w:rPr>
                    <w:t>污染物名称</w:t>
                  </w:r>
                </w:p>
              </w:tc>
            </w:tr>
            <w:tr>
              <w:tblPrEx>
                <w:tblBorders>
                  <w:top w:val="single" w:color="auto" w:sz="4" w:space="0"/>
                  <w:left w:val="single" w:color="auto" w:sz="4" w:space="0"/>
                  <w:bottom w:val="single" w:color="auto" w:sz="6"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345" w:hRule="atLeast"/>
                <w:jc w:val="center"/>
              </w:trPr>
              <w:tc>
                <w:tcPr>
                  <w:tcW w:w="224"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1</w:t>
                  </w:r>
                </w:p>
              </w:tc>
              <w:tc>
                <w:tcPr>
                  <w:tcW w:w="703"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泸溪县白沙天然饮料厂</w:t>
                  </w:r>
                </w:p>
              </w:tc>
              <w:tc>
                <w:tcPr>
                  <w:tcW w:w="694"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桶装水</w:t>
                  </w:r>
                </w:p>
              </w:tc>
              <w:tc>
                <w:tcPr>
                  <w:tcW w:w="597"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w:t>
                  </w:r>
                </w:p>
              </w:tc>
              <w:tc>
                <w:tcPr>
                  <w:tcW w:w="764"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南侧，31m</w:t>
                  </w:r>
                </w:p>
              </w:tc>
              <w:tc>
                <w:tcPr>
                  <w:tcW w:w="573"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生产</w:t>
                  </w:r>
                </w:p>
              </w:tc>
              <w:tc>
                <w:tcPr>
                  <w:tcW w:w="443"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w:t>
                  </w:r>
                </w:p>
              </w:tc>
              <w:tc>
                <w:tcPr>
                  <w:tcW w:w="403"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w:t>
                  </w:r>
                </w:p>
              </w:tc>
              <w:tc>
                <w:tcPr>
                  <w:tcW w:w="594" w:type="pct"/>
                  <w:tcBorders>
                    <w:tl2br w:val="nil"/>
                    <w:tr2bl w:val="nil"/>
                  </w:tcBorders>
                  <w:noWrap w:val="0"/>
                  <w:vAlign w:val="center"/>
                </w:tcPr>
                <w:p>
                  <w:pPr>
                    <w:pStyle w:val="39"/>
                    <w:bidi w:val="0"/>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噪声、废气、固废</w:t>
                  </w:r>
                </w:p>
              </w:tc>
            </w:tr>
          </w:tbl>
          <w:p>
            <w:pPr>
              <w:bidi w:val="0"/>
              <w:rPr>
                <w:rFonts w:hint="default" w:ascii="Times New Roman" w:hAnsi="Times New Roman" w:cs="Times New Roman"/>
                <w:u w:val="none" w:color="auto"/>
                <w:lang w:val="en-US" w:eastAsia="zh-CN"/>
              </w:rPr>
            </w:pPr>
          </w:p>
        </w:tc>
      </w:tr>
    </w:tbl>
    <w:p>
      <w:pPr>
        <w:wordWrap/>
        <w:overflowPunct w:val="0"/>
        <w:topLinePunct w:val="0"/>
        <w:autoSpaceDE w:val="0"/>
        <w:autoSpaceDN w:val="0"/>
        <w:ind w:firstLine="420"/>
        <w:jc w:val="left"/>
        <w:rPr>
          <w:sz w:val="21"/>
        </w:rPr>
        <w:sectPr>
          <w:pgSz w:w="11910" w:h="16840"/>
          <w:pgMar w:top="1580" w:right="1320" w:bottom="1000" w:left="1340" w:header="0" w:footer="1043" w:gutter="0"/>
          <w:pgBorders>
            <w:top w:val="none" w:sz="0" w:space="0"/>
            <w:left w:val="none" w:sz="0" w:space="0"/>
            <w:bottom w:val="none" w:sz="0" w:space="0"/>
            <w:right w:val="none" w:sz="0" w:space="0"/>
          </w:pgBorders>
          <w:pgNumType w:fmt="decimal"/>
          <w:cols w:space="720" w:num="1"/>
        </w:sectPr>
      </w:pPr>
    </w:p>
    <w:p>
      <w:pPr>
        <w:pStyle w:val="13"/>
        <w:wordWrap/>
        <w:overflowPunct w:val="0"/>
        <w:topLinePunct w:val="0"/>
        <w:autoSpaceDE w:val="0"/>
        <w:autoSpaceDN w:val="0"/>
        <w:spacing w:before="58"/>
        <w:ind w:right="653" w:firstLine="0" w:firstLineChars="0"/>
        <w:jc w:val="left"/>
        <w:outlineLvl w:val="0"/>
        <w:rPr>
          <w:rFonts w:hint="eastAsia" w:ascii="宋体" w:hAnsi="宋体" w:eastAsia="宋体" w:cs="宋体"/>
          <w:b/>
          <w:bCs/>
        </w:rPr>
      </w:pPr>
      <w:bookmarkStart w:id="96" w:name="_Toc26842"/>
      <w:bookmarkStart w:id="97" w:name="_Toc20964"/>
      <w:r>
        <w:rPr>
          <w:rFonts w:hint="eastAsia" w:ascii="宋体" w:hAnsi="宋体" w:eastAsia="宋体" w:cs="宋体"/>
          <w:b/>
          <w:bCs/>
        </w:rPr>
        <w:t>三、区域环境质量现状、环境保护目标及评价标准</w:t>
      </w:r>
      <w:bookmarkEnd w:id="96"/>
      <w:bookmarkEnd w:id="97"/>
    </w:p>
    <w:tbl>
      <w:tblPr>
        <w:tblStyle w:val="28"/>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99"/>
        <w:gridCol w:w="83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4" w:hRule="atLeast"/>
        </w:trPr>
        <w:tc>
          <w:tcPr>
            <w:tcW w:w="799" w:type="dxa"/>
            <w:tcBorders>
              <w:bottom w:val="single" w:color="000000" w:sz="4" w:space="0"/>
              <w:right w:val="single" w:color="000000" w:sz="4" w:space="0"/>
            </w:tcBorders>
            <w:vAlign w:val="center"/>
          </w:tcPr>
          <w:p>
            <w:pPr>
              <w:pStyle w:val="49"/>
              <w:wordWrap/>
              <w:overflowPunct w:val="0"/>
              <w:topLinePunct w:val="0"/>
              <w:autoSpaceDE w:val="0"/>
              <w:autoSpaceDN w:val="0"/>
              <w:spacing w:before="139" w:line="242" w:lineRule="auto"/>
              <w:ind w:left="189" w:right="67"/>
              <w:jc w:val="left"/>
              <w:rPr>
                <w:rFonts w:ascii="Times New Roman" w:hAnsi="Times New Roman" w:cs="Times New Roman"/>
                <w:sz w:val="21"/>
                <w:u w:val="none" w:color="auto"/>
              </w:rPr>
            </w:pPr>
            <w:r>
              <w:rPr>
                <w:rFonts w:ascii="Times New Roman" w:hAnsi="Times New Roman" w:cs="Times New Roman"/>
                <w:b/>
                <w:bCs/>
                <w:sz w:val="30"/>
                <w:szCs w:val="30"/>
                <w:u w:val="none" w:color="auto"/>
              </w:rPr>
              <w:t>区域环境质量现状</w:t>
            </w:r>
          </w:p>
        </w:tc>
        <w:tc>
          <w:tcPr>
            <w:tcW w:w="8190" w:type="dxa"/>
            <w:tcBorders>
              <w:left w:val="single" w:color="000000" w:sz="4" w:space="0"/>
              <w:bottom w:val="single" w:color="000000" w:sz="4" w:space="0"/>
            </w:tcBorders>
            <w:vAlign w:val="center"/>
          </w:tcPr>
          <w:p>
            <w:pPr>
              <w:pStyle w:val="6"/>
              <w:keepNext w:val="0"/>
              <w:keepLines w:val="0"/>
              <w:pageBreakBefore w:val="0"/>
              <w:widowControl w:val="0"/>
              <w:kinsoku/>
              <w:wordWrap/>
              <w:overflowPunct w:val="0"/>
              <w:topLinePunct w:val="0"/>
              <w:autoSpaceDE w:val="0"/>
              <w:autoSpaceDN w:val="0"/>
              <w:bidi w:val="0"/>
              <w:adjustRightInd/>
              <w:snapToGrid/>
              <w:spacing w:line="360" w:lineRule="auto"/>
              <w:ind w:left="0" w:leftChars="0" w:right="0" w:rightChars="0" w:firstLine="0" w:firstLineChars="0"/>
              <w:textAlignment w:val="auto"/>
              <w:rPr>
                <w:rFonts w:ascii="Times New Roman" w:hAnsi="Times New Roman" w:cs="Times New Roman"/>
                <w:u w:val="none" w:color="auto"/>
              </w:rPr>
            </w:pPr>
            <w:r>
              <w:rPr>
                <w:rFonts w:hint="default" w:ascii="Times New Roman" w:hAnsi="Times New Roman" w:cs="Times New Roman"/>
                <w:u w:val="none" w:color="auto"/>
                <w:lang w:val="en-US"/>
              </w:rPr>
              <w:t>3.1</w:t>
            </w:r>
            <w:r>
              <w:rPr>
                <w:rFonts w:hint="default" w:ascii="Times New Roman" w:hAnsi="Times New Roman" w:cs="Times New Roman"/>
                <w:u w:val="none" w:color="auto"/>
              </w:rPr>
              <w:t>建设项目所在地区环境质量现状</w:t>
            </w:r>
          </w:p>
          <w:p>
            <w:pPr>
              <w:pStyle w:val="6"/>
              <w:bidi w:val="0"/>
              <w:rPr>
                <w:rFonts w:ascii="Times New Roman" w:hAnsi="Times New Roman" w:cs="Times New Roman"/>
                <w:u w:val="none" w:color="auto"/>
              </w:rPr>
            </w:pPr>
            <w:r>
              <w:rPr>
                <w:rFonts w:ascii="Times New Roman" w:hAnsi="Times New Roman" w:cs="Times New Roman"/>
                <w:u w:val="none" w:color="auto"/>
              </w:rPr>
              <w:t>3.1</w:t>
            </w:r>
            <w:r>
              <w:rPr>
                <w:rFonts w:hint="default" w:ascii="Times New Roman" w:hAnsi="Times New Roman" w:cs="Times New Roman"/>
                <w:u w:val="none" w:color="auto"/>
                <w:lang w:val="en-US"/>
              </w:rPr>
              <w:t>.1</w:t>
            </w:r>
            <w:r>
              <w:rPr>
                <w:rFonts w:hint="default" w:ascii="Times New Roman" w:hAnsi="Times New Roman" w:cs="Times New Roman"/>
                <w:u w:val="none" w:color="auto"/>
              </w:rPr>
              <w:t>环境空气质量现状评价</w:t>
            </w:r>
          </w:p>
          <w:p>
            <w:pPr>
              <w:keepNext/>
              <w:keepLines/>
              <w:pageBreakBefore w:val="0"/>
              <w:widowControl w:val="0"/>
              <w:kinsoku/>
              <w:wordWrap w:val="0"/>
              <w:overflowPunct/>
              <w:topLinePunct/>
              <w:autoSpaceDE/>
              <w:autoSpaceDN/>
              <w:bidi w:val="0"/>
              <w:adjustRightInd/>
              <w:snapToGrid/>
              <w:spacing w:line="360" w:lineRule="auto"/>
              <w:ind w:left="0" w:leftChars="0" w:right="0" w:rightChars="0" w:firstLine="482" w:firstLineChars="200"/>
              <w:textAlignment w:val="auto"/>
              <w:outlineLvl w:val="3"/>
              <w:rPr>
                <w:rFonts w:ascii="Times New Roman" w:hAnsi="Times New Roman" w:eastAsia="宋体" w:cs="Times New Roman"/>
                <w:b/>
                <w:sz w:val="24"/>
                <w:szCs w:val="28"/>
                <w:u w:val="none" w:color="auto"/>
                <w:lang w:val="zh-CN" w:eastAsia="zh-CN" w:bidi="zh-CN"/>
              </w:rPr>
            </w:pPr>
            <w:r>
              <w:rPr>
                <w:rFonts w:hint="default" w:ascii="Times New Roman" w:hAnsi="Times New Roman" w:eastAsia="宋体" w:cs="Times New Roman"/>
                <w:b/>
                <w:sz w:val="24"/>
                <w:szCs w:val="28"/>
                <w:u w:val="none" w:color="auto"/>
                <w:lang w:val="en-US" w:eastAsia="zh-CN" w:bidi="zh-CN"/>
              </w:rPr>
              <w:t>3.1.1.1区域环境空气质量</w:t>
            </w:r>
            <w:r>
              <w:rPr>
                <w:rFonts w:ascii="Times New Roman" w:hAnsi="Times New Roman" w:eastAsia="宋体" w:cs="Times New Roman"/>
                <w:b/>
                <w:sz w:val="24"/>
                <w:szCs w:val="28"/>
                <w:u w:val="none" w:color="auto"/>
                <w:lang w:val="zh-CN" w:eastAsia="zh-CN" w:bidi="zh-CN"/>
              </w:rPr>
              <w:t>达标情况</w:t>
            </w:r>
          </w:p>
          <w:p>
            <w:pPr>
              <w:keepNext w:val="0"/>
              <w:keepLines w:val="0"/>
              <w:pageBreakBefore w:val="0"/>
              <w:widowControl w:val="0"/>
              <w:kinsoku/>
              <w:wordWrap w:val="0"/>
              <w:overflowPunct/>
              <w:topLinePunct w:val="0"/>
              <w:autoSpaceDE w:val="0"/>
              <w:autoSpaceDN w:val="0"/>
              <w:bidi w:val="0"/>
              <w:adjustRightInd/>
              <w:snapToGrid/>
              <w:ind w:left="120" w:leftChars="50" w:right="120" w:rightChars="50"/>
              <w:jc w:val="both"/>
              <w:textAlignment w:val="auto"/>
              <w:rPr>
                <w:rFonts w:hint="default" w:ascii="Times New Roman" w:hAnsi="Times New Roman" w:eastAsia="宋体" w:cs="Times New Roman"/>
                <w:u w:val="none" w:color="auto"/>
                <w:lang w:val="en-US" w:eastAsia="zh-CN"/>
              </w:rPr>
            </w:pPr>
            <w:r>
              <w:rPr>
                <w:rFonts w:ascii="Times New Roman" w:hAnsi="Times New Roman" w:eastAsia="宋体" w:cs="Times New Roman"/>
                <w:u w:val="none" w:color="auto"/>
              </w:rPr>
              <w:t>根据泸溪县环境保护监测站20</w:t>
            </w:r>
            <w:r>
              <w:rPr>
                <w:rFonts w:hint="default" w:ascii="Times New Roman" w:hAnsi="Times New Roman" w:cs="Times New Roman"/>
                <w:u w:val="none" w:color="auto"/>
                <w:lang w:val="en-US" w:eastAsia="zh-CN"/>
              </w:rPr>
              <w:t>22</w:t>
            </w:r>
            <w:r>
              <w:rPr>
                <w:rFonts w:ascii="Times New Roman" w:hAnsi="Times New Roman" w:eastAsia="宋体" w:cs="Times New Roman"/>
                <w:u w:val="none" w:color="auto"/>
              </w:rPr>
              <w:t>年发布的《环境质量简报》中关于泸溪县环境空气质量监测因子SO</w:t>
            </w:r>
            <w:r>
              <w:rPr>
                <w:rFonts w:ascii="Times New Roman" w:hAnsi="Times New Roman" w:eastAsia="宋体" w:cs="Times New Roman"/>
                <w:u w:val="none" w:color="auto"/>
                <w:vertAlign w:val="subscript"/>
              </w:rPr>
              <w:t>2</w:t>
            </w:r>
            <w:r>
              <w:rPr>
                <w:rFonts w:ascii="Times New Roman" w:hAnsi="Times New Roman" w:eastAsia="宋体" w:cs="Times New Roman"/>
                <w:u w:val="none" w:color="auto"/>
              </w:rPr>
              <w:t>、NO</w:t>
            </w:r>
            <w:r>
              <w:rPr>
                <w:rFonts w:ascii="Times New Roman" w:hAnsi="Times New Roman" w:eastAsia="宋体" w:cs="Times New Roman"/>
                <w:u w:val="none" w:color="auto"/>
                <w:vertAlign w:val="subscript"/>
              </w:rPr>
              <w:t>2</w:t>
            </w:r>
            <w:r>
              <w:rPr>
                <w:rFonts w:ascii="Times New Roman" w:hAnsi="Times New Roman" w:eastAsia="宋体" w:cs="Times New Roman"/>
                <w:u w:val="none" w:color="auto"/>
              </w:rPr>
              <w:t>、PM</w:t>
            </w:r>
            <w:r>
              <w:rPr>
                <w:rFonts w:ascii="Times New Roman" w:hAnsi="Times New Roman" w:eastAsia="宋体" w:cs="Times New Roman"/>
                <w:u w:val="none" w:color="auto"/>
                <w:vertAlign w:val="subscript"/>
              </w:rPr>
              <w:t>10</w:t>
            </w:r>
            <w:r>
              <w:rPr>
                <w:rFonts w:ascii="Times New Roman" w:hAnsi="Times New Roman" w:eastAsia="宋体" w:cs="Times New Roman"/>
                <w:u w:val="none" w:color="auto"/>
              </w:rPr>
              <w:t>、PM</w:t>
            </w:r>
            <w:r>
              <w:rPr>
                <w:rFonts w:ascii="Times New Roman" w:hAnsi="Times New Roman" w:eastAsia="宋体" w:cs="Times New Roman"/>
                <w:u w:val="none" w:color="auto"/>
                <w:vertAlign w:val="subscript"/>
              </w:rPr>
              <w:t>2.5</w:t>
            </w:r>
            <w:r>
              <w:rPr>
                <w:rFonts w:ascii="Times New Roman" w:hAnsi="Times New Roman" w:eastAsia="宋体" w:cs="Times New Roman"/>
                <w:u w:val="none" w:color="auto"/>
              </w:rPr>
              <w:t>、CO、O</w:t>
            </w:r>
            <w:r>
              <w:rPr>
                <w:rFonts w:ascii="Times New Roman" w:hAnsi="Times New Roman" w:eastAsia="宋体" w:cs="Times New Roman"/>
                <w:u w:val="none" w:color="auto"/>
                <w:vertAlign w:val="subscript"/>
              </w:rPr>
              <w:t>3</w:t>
            </w:r>
            <w:r>
              <w:rPr>
                <w:rFonts w:ascii="Times New Roman" w:hAnsi="Times New Roman" w:eastAsia="宋体" w:cs="Times New Roman"/>
                <w:u w:val="none" w:color="auto"/>
              </w:rPr>
              <w:t>的数据</w:t>
            </w:r>
            <w:r>
              <w:rPr>
                <w:rFonts w:hint="default" w:ascii="Times New Roman" w:hAnsi="Times New Roman" w:cs="Times New Roman"/>
                <w:u w:val="none" w:color="auto"/>
                <w:lang w:eastAsia="zh-CN"/>
              </w:rPr>
              <w:t>，</w:t>
            </w:r>
            <w:r>
              <w:rPr>
                <w:rFonts w:hint="default" w:ascii="Times New Roman" w:hAnsi="Times New Roman" w:eastAsia="宋体" w:cs="Times New Roman"/>
                <w:u w:val="none" w:color="auto"/>
                <w:lang w:eastAsia="zh-CN"/>
              </w:rPr>
              <w:t>项目拟建地</w:t>
            </w:r>
            <w:r>
              <w:rPr>
                <w:rFonts w:ascii="Times New Roman" w:hAnsi="Times New Roman" w:eastAsia="宋体" w:cs="Times New Roman"/>
                <w:u w:val="none" w:color="auto"/>
              </w:rPr>
              <w:t>区环境空气质量现状监测数据及达标情况详见表</w:t>
            </w:r>
            <w:r>
              <w:rPr>
                <w:rFonts w:hint="default" w:ascii="Times New Roman" w:hAnsi="Times New Roman" w:eastAsia="宋体" w:cs="Times New Roman"/>
                <w:u w:val="none" w:color="auto"/>
                <w:lang w:val="en-US" w:eastAsia="zh-CN"/>
              </w:rPr>
              <w:t>3.1-1。</w:t>
            </w:r>
          </w:p>
          <w:p>
            <w:pPr>
              <w:pageBreakBefore w:val="0"/>
              <w:widowControl/>
              <w:kinsoku/>
              <w:wordWrap w:val="0"/>
              <w:overflowPunct/>
              <w:topLinePunct/>
              <w:bidi w:val="0"/>
              <w:spacing w:before="120" w:after="120" w:line="240" w:lineRule="auto"/>
              <w:ind w:left="120" w:leftChars="50" w:right="120" w:rightChars="50" w:firstLine="0" w:firstLineChars="0"/>
              <w:jc w:val="center"/>
              <w:rPr>
                <w:rFonts w:ascii="Times New Roman" w:hAnsi="Times New Roman" w:eastAsia="宋体" w:cs="Times New Roman"/>
                <w:b/>
                <w:bCs/>
                <w:sz w:val="21"/>
                <w:szCs w:val="21"/>
                <w:u w:val="none" w:color="auto"/>
                <w:lang w:val="zh-CN" w:eastAsia="zh-CN" w:bidi="zh-CN"/>
              </w:rPr>
            </w:pPr>
            <w:r>
              <w:rPr>
                <w:rFonts w:ascii="Times New Roman" w:hAnsi="Times New Roman" w:eastAsia="宋体" w:cs="Times New Roman"/>
                <w:b/>
                <w:bCs/>
                <w:sz w:val="21"/>
                <w:szCs w:val="21"/>
                <w:u w:val="none" w:color="auto"/>
                <w:lang w:val="zh-CN" w:eastAsia="zh-CN" w:bidi="zh-CN"/>
              </w:rPr>
              <w:t>表</w:t>
            </w:r>
            <w:r>
              <w:rPr>
                <w:rFonts w:hint="default" w:ascii="Times New Roman" w:hAnsi="Times New Roman" w:eastAsia="宋体" w:cs="Times New Roman"/>
                <w:b/>
                <w:bCs/>
                <w:sz w:val="21"/>
                <w:szCs w:val="21"/>
                <w:u w:val="none" w:color="auto"/>
                <w:lang w:val="en-US" w:eastAsia="zh-CN" w:bidi="zh-CN"/>
              </w:rPr>
              <w:t>3.1-1：</w:t>
            </w:r>
            <w:r>
              <w:rPr>
                <w:rFonts w:ascii="Times New Roman" w:hAnsi="Times New Roman" w:eastAsia="宋体" w:cs="Times New Roman"/>
                <w:b/>
                <w:bCs/>
                <w:sz w:val="21"/>
                <w:szCs w:val="21"/>
                <w:u w:val="none" w:color="auto"/>
                <w:lang w:val="zh-CN" w:eastAsia="zh-CN" w:bidi="zh-CN"/>
              </w:rPr>
              <w:t>泸溪县20</w:t>
            </w:r>
            <w:r>
              <w:rPr>
                <w:rFonts w:hint="default" w:ascii="Times New Roman" w:hAnsi="Times New Roman" w:cs="Times New Roman"/>
                <w:b/>
                <w:bCs/>
                <w:sz w:val="21"/>
                <w:szCs w:val="21"/>
                <w:u w:val="none" w:color="auto"/>
                <w:lang w:val="en-US" w:eastAsia="zh-CN" w:bidi="zh-CN"/>
              </w:rPr>
              <w:t>2</w:t>
            </w:r>
            <w:r>
              <w:rPr>
                <w:rFonts w:hint="eastAsia" w:ascii="Times New Roman" w:hAnsi="Times New Roman" w:cs="Times New Roman"/>
                <w:b/>
                <w:bCs/>
                <w:sz w:val="21"/>
                <w:szCs w:val="21"/>
                <w:u w:val="none" w:color="auto"/>
                <w:lang w:val="en-US" w:eastAsia="zh-CN" w:bidi="zh-CN"/>
              </w:rPr>
              <w:t>2</w:t>
            </w:r>
            <w:r>
              <w:rPr>
                <w:rFonts w:ascii="Times New Roman" w:hAnsi="Times New Roman" w:eastAsia="宋体" w:cs="Times New Roman"/>
                <w:b/>
                <w:bCs/>
                <w:sz w:val="21"/>
                <w:szCs w:val="21"/>
                <w:u w:val="none" w:color="auto"/>
                <w:lang w:val="zh-CN" w:eastAsia="zh-CN" w:bidi="zh-CN"/>
              </w:rPr>
              <w:t>年环境空气年平均浓度结果及达标情况</w:t>
            </w:r>
          </w:p>
          <w:tbl>
            <w:tblPr>
              <w:tblStyle w:val="28"/>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002"/>
              <w:gridCol w:w="1493"/>
              <w:gridCol w:w="1442"/>
              <w:gridCol w:w="937"/>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87"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b/>
                      <w:bCs/>
                      <w:u w:val="none" w:color="auto"/>
                    </w:rPr>
                  </w:pPr>
                  <w:r>
                    <w:rPr>
                      <w:rFonts w:ascii="Times New Roman" w:hAnsi="Times New Roman" w:cs="Times New Roman"/>
                      <w:b/>
                      <w:bCs/>
                      <w:u w:val="none" w:color="auto"/>
                    </w:rPr>
                    <w:t>污染物</w:t>
                  </w:r>
                </w:p>
              </w:tc>
              <w:tc>
                <w:tcPr>
                  <w:tcW w:w="1220"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b/>
                      <w:bCs/>
                      <w:u w:val="none" w:color="auto"/>
                    </w:rPr>
                  </w:pPr>
                  <w:r>
                    <w:rPr>
                      <w:rFonts w:ascii="Times New Roman" w:hAnsi="Times New Roman" w:cs="Times New Roman"/>
                      <w:b/>
                      <w:bCs/>
                      <w:u w:val="none" w:color="auto"/>
                    </w:rPr>
                    <w:t>年评价指标</w:t>
                  </w:r>
                </w:p>
              </w:tc>
              <w:tc>
                <w:tcPr>
                  <w:tcW w:w="910"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b/>
                      <w:bCs/>
                      <w:u w:val="none" w:color="auto"/>
                    </w:rPr>
                  </w:pPr>
                  <w:r>
                    <w:rPr>
                      <w:rFonts w:ascii="Times New Roman" w:hAnsi="Times New Roman" w:cs="Times New Roman"/>
                      <w:b/>
                      <w:bCs/>
                      <w:u w:val="none" w:color="auto"/>
                    </w:rPr>
                    <w:t>现状浓度/（µg/m</w:t>
                  </w:r>
                  <w:r>
                    <w:rPr>
                      <w:rFonts w:ascii="Times New Roman" w:hAnsi="Times New Roman" w:cs="Times New Roman"/>
                      <w:b/>
                      <w:bCs/>
                      <w:u w:val="none" w:color="auto"/>
                      <w:vertAlign w:val="superscript"/>
                    </w:rPr>
                    <w:t>3</w:t>
                  </w:r>
                  <w:r>
                    <w:rPr>
                      <w:rFonts w:ascii="Times New Roman" w:hAnsi="Times New Roman" w:cs="Times New Roman"/>
                      <w:b/>
                      <w:bCs/>
                      <w:u w:val="none" w:color="auto"/>
                    </w:rPr>
                    <w:t>）</w:t>
                  </w:r>
                </w:p>
              </w:tc>
              <w:tc>
                <w:tcPr>
                  <w:tcW w:w="87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b/>
                      <w:bCs/>
                      <w:u w:val="none" w:color="auto"/>
                    </w:rPr>
                  </w:pPr>
                  <w:r>
                    <w:rPr>
                      <w:rFonts w:ascii="Times New Roman" w:hAnsi="Times New Roman" w:cs="Times New Roman"/>
                      <w:b/>
                      <w:bCs/>
                      <w:u w:val="none" w:color="auto"/>
                    </w:rPr>
                    <w:t>标准值/（µg/m</w:t>
                  </w:r>
                  <w:r>
                    <w:rPr>
                      <w:rFonts w:ascii="Times New Roman" w:hAnsi="Times New Roman" w:cs="Times New Roman"/>
                      <w:b/>
                      <w:bCs/>
                      <w:u w:val="none" w:color="auto"/>
                      <w:vertAlign w:val="superscript"/>
                    </w:rPr>
                    <w:t>3</w:t>
                  </w:r>
                  <w:r>
                    <w:rPr>
                      <w:rFonts w:ascii="Times New Roman" w:hAnsi="Times New Roman" w:cs="Times New Roman"/>
                      <w:b/>
                      <w:bCs/>
                      <w:u w:val="none" w:color="auto"/>
                    </w:rPr>
                    <w:t>）</w:t>
                  </w:r>
                </w:p>
              </w:tc>
              <w:tc>
                <w:tcPr>
                  <w:tcW w:w="571"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b/>
                      <w:bCs/>
                      <w:u w:val="none" w:color="auto"/>
                    </w:rPr>
                  </w:pPr>
                  <w:r>
                    <w:rPr>
                      <w:rFonts w:ascii="Times New Roman" w:hAnsi="Times New Roman" w:cs="Times New Roman"/>
                      <w:b/>
                      <w:bCs/>
                      <w:u w:val="none" w:color="auto"/>
                    </w:rPr>
                    <w:t>占标率</w:t>
                  </w:r>
                </w:p>
              </w:tc>
              <w:tc>
                <w:tcPr>
                  <w:tcW w:w="72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b/>
                      <w:bCs/>
                      <w:u w:val="none" w:color="auto"/>
                    </w:rPr>
                  </w:pPr>
                  <w:r>
                    <w:rPr>
                      <w:rFonts w:ascii="Times New Roman" w:hAnsi="Times New Roman" w:cs="Times New Roman"/>
                      <w:b/>
                      <w:bCs/>
                      <w:u w:val="none" w:color="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87"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SO</w:t>
                  </w:r>
                  <w:r>
                    <w:rPr>
                      <w:rFonts w:ascii="Times New Roman" w:hAnsi="Times New Roman" w:cs="Times New Roman"/>
                      <w:u w:val="none" w:color="auto"/>
                      <w:vertAlign w:val="subscript"/>
                    </w:rPr>
                    <w:t>2</w:t>
                  </w:r>
                </w:p>
              </w:tc>
              <w:tc>
                <w:tcPr>
                  <w:tcW w:w="1220"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年平均质量浓度</w:t>
                  </w:r>
                </w:p>
              </w:tc>
              <w:tc>
                <w:tcPr>
                  <w:tcW w:w="910"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9</w:t>
                  </w:r>
                </w:p>
              </w:tc>
              <w:tc>
                <w:tcPr>
                  <w:tcW w:w="87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60</w:t>
                  </w:r>
                </w:p>
              </w:tc>
              <w:tc>
                <w:tcPr>
                  <w:tcW w:w="571"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15</w:t>
                  </w:r>
                  <w:r>
                    <w:rPr>
                      <w:rFonts w:hint="default" w:ascii="Times New Roman" w:hAnsi="Times New Roman" w:eastAsia="宋体" w:cs="Times New Roman"/>
                      <w:u w:val="none" w:color="auto"/>
                      <w:lang w:val="en-US" w:eastAsia="zh-CN"/>
                    </w:rPr>
                    <w:t>%</w:t>
                  </w:r>
                </w:p>
              </w:tc>
              <w:tc>
                <w:tcPr>
                  <w:tcW w:w="72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87"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NO</w:t>
                  </w:r>
                  <w:r>
                    <w:rPr>
                      <w:rFonts w:ascii="Times New Roman" w:hAnsi="Times New Roman" w:cs="Times New Roman"/>
                      <w:u w:val="none" w:color="auto"/>
                      <w:vertAlign w:val="subscript"/>
                    </w:rPr>
                    <w:t>2</w:t>
                  </w:r>
                </w:p>
              </w:tc>
              <w:tc>
                <w:tcPr>
                  <w:tcW w:w="1220"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年平均质量浓度</w:t>
                  </w:r>
                </w:p>
              </w:tc>
              <w:tc>
                <w:tcPr>
                  <w:tcW w:w="910"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13</w:t>
                  </w:r>
                </w:p>
              </w:tc>
              <w:tc>
                <w:tcPr>
                  <w:tcW w:w="87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40</w:t>
                  </w:r>
                </w:p>
              </w:tc>
              <w:tc>
                <w:tcPr>
                  <w:tcW w:w="571"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32.5</w:t>
                  </w:r>
                  <w:r>
                    <w:rPr>
                      <w:rFonts w:hint="default" w:ascii="Times New Roman" w:hAnsi="Times New Roman" w:eastAsia="宋体" w:cs="Times New Roman"/>
                      <w:u w:val="none" w:color="auto"/>
                      <w:lang w:val="en-US" w:eastAsia="zh-CN"/>
                    </w:rPr>
                    <w:t>%</w:t>
                  </w:r>
                </w:p>
              </w:tc>
              <w:tc>
                <w:tcPr>
                  <w:tcW w:w="72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87"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PM</w:t>
                  </w:r>
                  <w:r>
                    <w:rPr>
                      <w:rFonts w:ascii="Times New Roman" w:hAnsi="Times New Roman" w:cs="Times New Roman"/>
                      <w:u w:val="none" w:color="auto"/>
                      <w:vertAlign w:val="subscript"/>
                    </w:rPr>
                    <w:t>10</w:t>
                  </w:r>
                </w:p>
              </w:tc>
              <w:tc>
                <w:tcPr>
                  <w:tcW w:w="1220"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年平均质量浓度</w:t>
                  </w:r>
                </w:p>
              </w:tc>
              <w:tc>
                <w:tcPr>
                  <w:tcW w:w="910"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42</w:t>
                  </w:r>
                </w:p>
              </w:tc>
              <w:tc>
                <w:tcPr>
                  <w:tcW w:w="87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70</w:t>
                  </w:r>
                </w:p>
              </w:tc>
              <w:tc>
                <w:tcPr>
                  <w:tcW w:w="571"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60</w:t>
                  </w:r>
                  <w:r>
                    <w:rPr>
                      <w:rFonts w:hint="default" w:ascii="Times New Roman" w:hAnsi="Times New Roman" w:eastAsia="宋体" w:cs="Times New Roman"/>
                      <w:u w:val="none" w:color="auto"/>
                      <w:lang w:val="en-US" w:eastAsia="zh-CN"/>
                    </w:rPr>
                    <w:t>%</w:t>
                  </w:r>
                </w:p>
              </w:tc>
              <w:tc>
                <w:tcPr>
                  <w:tcW w:w="72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87"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PM</w:t>
                  </w:r>
                  <w:r>
                    <w:rPr>
                      <w:rFonts w:ascii="Times New Roman" w:hAnsi="Times New Roman" w:cs="Times New Roman"/>
                      <w:u w:val="none" w:color="auto"/>
                      <w:vertAlign w:val="subscript"/>
                    </w:rPr>
                    <w:t>2.5</w:t>
                  </w:r>
                </w:p>
              </w:tc>
              <w:tc>
                <w:tcPr>
                  <w:tcW w:w="1220"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年平均质量浓度</w:t>
                  </w:r>
                </w:p>
              </w:tc>
              <w:tc>
                <w:tcPr>
                  <w:tcW w:w="910"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27</w:t>
                  </w:r>
                </w:p>
              </w:tc>
              <w:tc>
                <w:tcPr>
                  <w:tcW w:w="87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35</w:t>
                  </w:r>
                </w:p>
              </w:tc>
              <w:tc>
                <w:tcPr>
                  <w:tcW w:w="571"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77.14</w:t>
                  </w:r>
                  <w:r>
                    <w:rPr>
                      <w:rFonts w:hint="default" w:ascii="Times New Roman" w:hAnsi="Times New Roman" w:eastAsia="宋体" w:cs="Times New Roman"/>
                      <w:u w:val="none" w:color="auto"/>
                      <w:lang w:val="en-US" w:eastAsia="zh-CN"/>
                    </w:rPr>
                    <w:t>%</w:t>
                  </w:r>
                </w:p>
              </w:tc>
              <w:tc>
                <w:tcPr>
                  <w:tcW w:w="72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87"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CO</w:t>
                  </w:r>
                </w:p>
              </w:tc>
              <w:tc>
                <w:tcPr>
                  <w:tcW w:w="1972" w:type="dxa"/>
                  <w:tcBorders>
                    <w:tl2br w:val="nil"/>
                    <w:tr2bl w:val="nil"/>
                  </w:tcBorders>
                  <w:noWrap w:val="0"/>
                  <w:vAlign w:val="center"/>
                </w:tcPr>
                <w:p>
                  <w:pPr>
                    <w:pStyle w:val="93"/>
                    <w:ind w:firstLine="0" w:firstLineChars="0"/>
                    <w:rPr>
                      <w:rFonts w:ascii="Times New Roman" w:hAnsi="Times New Roman" w:cs="Times New Roman"/>
                      <w:u w:val="none" w:color="auto"/>
                    </w:rPr>
                  </w:pPr>
                  <w:r>
                    <w:rPr>
                      <w:color w:val="auto"/>
                      <w:highlight w:val="none"/>
                      <w:u w:val="none" w:color="auto"/>
                    </w:rPr>
                    <w:t>24小时平均第95百分位数浓度</w:t>
                  </w:r>
                </w:p>
              </w:tc>
              <w:tc>
                <w:tcPr>
                  <w:tcW w:w="910"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1100</w:t>
                  </w:r>
                </w:p>
              </w:tc>
              <w:tc>
                <w:tcPr>
                  <w:tcW w:w="87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4000</w:t>
                  </w:r>
                </w:p>
              </w:tc>
              <w:tc>
                <w:tcPr>
                  <w:tcW w:w="571"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27.5</w:t>
                  </w:r>
                  <w:r>
                    <w:rPr>
                      <w:rFonts w:hint="default" w:ascii="Times New Roman" w:hAnsi="Times New Roman" w:eastAsia="宋体" w:cs="Times New Roman"/>
                      <w:u w:val="none" w:color="auto"/>
                      <w:lang w:val="en-US" w:eastAsia="zh-CN"/>
                    </w:rPr>
                    <w:t>%</w:t>
                  </w:r>
                </w:p>
              </w:tc>
              <w:tc>
                <w:tcPr>
                  <w:tcW w:w="72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87"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O</w:t>
                  </w:r>
                  <w:r>
                    <w:rPr>
                      <w:rFonts w:ascii="Times New Roman" w:hAnsi="Times New Roman" w:cs="Times New Roman"/>
                      <w:u w:val="none" w:color="auto"/>
                      <w:vertAlign w:val="subscript"/>
                    </w:rPr>
                    <w:t>3</w:t>
                  </w:r>
                </w:p>
              </w:tc>
              <w:tc>
                <w:tcPr>
                  <w:tcW w:w="1972" w:type="dxa"/>
                  <w:tcBorders>
                    <w:tl2br w:val="nil"/>
                    <w:tr2bl w:val="nil"/>
                  </w:tcBorders>
                  <w:noWrap w:val="0"/>
                  <w:vAlign w:val="center"/>
                </w:tcPr>
                <w:p>
                  <w:pPr>
                    <w:pStyle w:val="93"/>
                    <w:ind w:firstLine="0" w:firstLineChars="0"/>
                    <w:rPr>
                      <w:rFonts w:ascii="Times New Roman" w:hAnsi="Times New Roman" w:cs="Times New Roman"/>
                      <w:u w:val="none" w:color="auto"/>
                    </w:rPr>
                  </w:pPr>
                  <w:r>
                    <w:rPr>
                      <w:color w:val="auto"/>
                      <w:highlight w:val="none"/>
                      <w:u w:val="none" w:color="auto"/>
                    </w:rPr>
                    <w:t>日最大8小时平均第90百分位数浓度</w:t>
                  </w:r>
                </w:p>
              </w:tc>
              <w:tc>
                <w:tcPr>
                  <w:tcW w:w="910"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138</w:t>
                  </w:r>
                </w:p>
              </w:tc>
              <w:tc>
                <w:tcPr>
                  <w:tcW w:w="87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160</w:t>
                  </w:r>
                </w:p>
              </w:tc>
              <w:tc>
                <w:tcPr>
                  <w:tcW w:w="571" w:type="pct"/>
                  <w:tcBorders>
                    <w:tl2br w:val="nil"/>
                    <w:tr2bl w:val="nil"/>
                  </w:tcBorders>
                  <w:noWrap w:val="0"/>
                  <w:vAlign w:val="center"/>
                </w:tcPr>
                <w:p>
                  <w:pPr>
                    <w:pStyle w:val="70"/>
                    <w:pageBreakBefore w:val="0"/>
                    <w:kinsoku/>
                    <w:overflowPunct/>
                    <w:autoSpaceDE/>
                    <w:autoSpaceDN/>
                    <w:bidi w:val="0"/>
                    <w:ind w:left="0" w:leftChars="0" w:right="0" w:rightChars="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86.25</w:t>
                  </w:r>
                  <w:r>
                    <w:rPr>
                      <w:rFonts w:hint="default" w:ascii="Times New Roman" w:hAnsi="Times New Roman" w:eastAsia="宋体" w:cs="Times New Roman"/>
                      <w:u w:val="none" w:color="auto"/>
                      <w:lang w:val="en-US" w:eastAsia="zh-CN"/>
                    </w:rPr>
                    <w:t>%</w:t>
                  </w:r>
                </w:p>
              </w:tc>
              <w:tc>
                <w:tcPr>
                  <w:tcW w:w="729" w:type="pct"/>
                  <w:tcBorders>
                    <w:tl2br w:val="nil"/>
                    <w:tr2bl w:val="nil"/>
                  </w:tcBorders>
                  <w:noWrap w:val="0"/>
                  <w:vAlign w:val="center"/>
                </w:tcPr>
                <w:p>
                  <w:pPr>
                    <w:pStyle w:val="70"/>
                    <w:pageBreakBefore w:val="0"/>
                    <w:kinsoku/>
                    <w:overflowPunct/>
                    <w:autoSpaceDE/>
                    <w:autoSpaceDN/>
                    <w:bidi w:val="0"/>
                    <w:ind w:left="0" w:leftChars="0" w:right="0" w:rightChars="0"/>
                    <w:rPr>
                      <w:rFonts w:ascii="Times New Roman" w:hAnsi="Times New Roman" w:cs="Times New Roman"/>
                      <w:u w:val="none" w:color="auto"/>
                    </w:rPr>
                  </w:pPr>
                  <w:r>
                    <w:rPr>
                      <w:rFonts w:ascii="Times New Roman" w:hAnsi="Times New Roman" w:cs="Times New Roman"/>
                      <w:u w:val="none" w:color="auto"/>
                    </w:rPr>
                    <w:t>达标</w:t>
                  </w:r>
                </w:p>
              </w:tc>
            </w:tr>
          </w:tbl>
          <w:p>
            <w:pPr>
              <w:keepNext w:val="0"/>
              <w:keepLines w:val="0"/>
              <w:pageBreakBefore w:val="0"/>
              <w:widowControl w:val="0"/>
              <w:kinsoku/>
              <w:wordWrap w:val="0"/>
              <w:overflowPunct/>
              <w:topLinePunct w:val="0"/>
              <w:autoSpaceDE w:val="0"/>
              <w:autoSpaceDN w:val="0"/>
              <w:bidi w:val="0"/>
              <w:adjustRightInd/>
              <w:snapToGrid/>
              <w:ind w:left="120" w:leftChars="50" w:right="120" w:rightChars="50"/>
              <w:jc w:val="both"/>
              <w:textAlignment w:val="auto"/>
              <w:rPr>
                <w:rFonts w:ascii="Times New Roman" w:hAnsi="Times New Roman" w:eastAsia="宋体" w:cs="Times New Roman"/>
                <w:highlight w:val="none"/>
                <w:u w:val="none" w:color="auto"/>
              </w:rPr>
            </w:pPr>
            <w:r>
              <w:rPr>
                <w:rFonts w:ascii="Times New Roman" w:hAnsi="Times New Roman" w:eastAsia="宋体" w:cs="Times New Roman"/>
                <w:u w:val="none" w:color="auto"/>
              </w:rPr>
              <w:t>由上表可知，项目所在区域20</w:t>
            </w:r>
            <w:r>
              <w:rPr>
                <w:rFonts w:hint="default" w:ascii="Times New Roman" w:hAnsi="Times New Roman" w:cs="Times New Roman"/>
                <w:u w:val="none" w:color="auto"/>
                <w:lang w:val="en-US" w:eastAsia="zh-CN"/>
              </w:rPr>
              <w:t>22</w:t>
            </w:r>
            <w:r>
              <w:rPr>
                <w:rFonts w:ascii="Times New Roman" w:hAnsi="Times New Roman" w:eastAsia="宋体" w:cs="Times New Roman"/>
                <w:u w:val="none" w:color="auto"/>
              </w:rPr>
              <w:t>年污染物 SO</w:t>
            </w:r>
            <w:r>
              <w:rPr>
                <w:rFonts w:ascii="Times New Roman" w:hAnsi="Times New Roman" w:eastAsia="宋体" w:cs="Times New Roman"/>
                <w:u w:val="none" w:color="auto"/>
                <w:vertAlign w:val="subscript"/>
              </w:rPr>
              <w:t>2</w:t>
            </w:r>
            <w:r>
              <w:rPr>
                <w:rFonts w:ascii="Times New Roman" w:hAnsi="Times New Roman" w:eastAsia="宋体" w:cs="Times New Roman"/>
                <w:u w:val="none" w:color="auto"/>
              </w:rPr>
              <w:t>、NO</w:t>
            </w:r>
            <w:r>
              <w:rPr>
                <w:rFonts w:ascii="Times New Roman" w:hAnsi="Times New Roman" w:eastAsia="宋体" w:cs="Times New Roman"/>
                <w:u w:val="none" w:color="auto"/>
                <w:vertAlign w:val="subscript"/>
              </w:rPr>
              <w:t>2</w:t>
            </w:r>
            <w:r>
              <w:rPr>
                <w:rFonts w:ascii="Times New Roman" w:hAnsi="Times New Roman" w:eastAsia="宋体" w:cs="Times New Roman"/>
                <w:u w:val="none" w:color="auto"/>
              </w:rPr>
              <w:t>、PM</w:t>
            </w:r>
            <w:r>
              <w:rPr>
                <w:rFonts w:ascii="Times New Roman" w:hAnsi="Times New Roman" w:eastAsia="宋体" w:cs="Times New Roman"/>
                <w:u w:val="none" w:color="auto"/>
                <w:vertAlign w:val="subscript"/>
              </w:rPr>
              <w:t>10</w:t>
            </w:r>
            <w:r>
              <w:rPr>
                <w:rFonts w:ascii="Times New Roman" w:hAnsi="Times New Roman" w:eastAsia="宋体" w:cs="Times New Roman"/>
                <w:u w:val="none" w:color="auto"/>
              </w:rPr>
              <w:t>、PM</w:t>
            </w:r>
            <w:r>
              <w:rPr>
                <w:rFonts w:ascii="Times New Roman" w:hAnsi="Times New Roman" w:eastAsia="宋体" w:cs="Times New Roman"/>
                <w:u w:val="none" w:color="auto"/>
                <w:vertAlign w:val="subscript"/>
              </w:rPr>
              <w:t>2.5</w:t>
            </w:r>
            <w:r>
              <w:rPr>
                <w:rFonts w:ascii="Times New Roman" w:hAnsi="Times New Roman" w:eastAsia="宋体" w:cs="Times New Roman"/>
                <w:u w:val="none" w:color="auto"/>
              </w:rPr>
              <w:t>年平均质量浓度、O</w:t>
            </w:r>
            <w:r>
              <w:rPr>
                <w:rFonts w:ascii="Times New Roman" w:hAnsi="Times New Roman" w:eastAsia="宋体" w:cs="Times New Roman"/>
                <w:u w:val="none" w:color="auto"/>
                <w:vertAlign w:val="subscript"/>
              </w:rPr>
              <w:t>3</w:t>
            </w:r>
            <w:r>
              <w:rPr>
                <w:rFonts w:ascii="Times New Roman" w:hAnsi="Times New Roman" w:eastAsia="宋体" w:cs="Times New Roman"/>
                <w:u w:val="none" w:color="auto"/>
              </w:rPr>
              <w:t>日最大</w:t>
            </w:r>
            <w:r>
              <w:rPr>
                <w:rFonts w:hint="default" w:ascii="Times New Roman" w:hAnsi="Times New Roman" w:eastAsia="宋体" w:cs="Times New Roman"/>
                <w:u w:val="none" w:color="auto"/>
                <w:lang w:val="en-US" w:eastAsia="zh-CN"/>
              </w:rPr>
              <w:t>8</w:t>
            </w:r>
            <w:r>
              <w:rPr>
                <w:rFonts w:hint="default" w:ascii="Times New Roman" w:hAnsi="Times New Roman" w:eastAsia="宋体" w:cs="Times New Roman"/>
                <w:color w:val="000000"/>
                <w:u w:val="none" w:color="auto"/>
              </w:rPr>
              <w:t>小时</w:t>
            </w:r>
            <w:r>
              <w:rPr>
                <w:rFonts w:ascii="Times New Roman" w:hAnsi="Times New Roman" w:eastAsia="宋体" w:cs="Times New Roman"/>
                <w:u w:val="none" w:color="auto"/>
              </w:rPr>
              <w:t>平均质量浓度、CO的24小时平均质量浓度浓度值均能达到《环境空气质量标准》（GB3095-2012）二级标准及其2018年修改单要</w:t>
            </w:r>
            <w:r>
              <w:rPr>
                <w:rFonts w:ascii="Times New Roman" w:hAnsi="Times New Roman" w:eastAsia="宋体" w:cs="Times New Roman"/>
                <w:highlight w:val="none"/>
                <w:u w:val="none" w:color="auto"/>
              </w:rPr>
              <w:t>求。</w:t>
            </w:r>
          </w:p>
          <w:p>
            <w:pPr>
              <w:keepNext w:val="0"/>
              <w:keepLines w:val="0"/>
              <w:pageBreakBefore w:val="0"/>
              <w:widowControl w:val="0"/>
              <w:kinsoku/>
              <w:wordWrap w:val="0"/>
              <w:overflowPunct/>
              <w:topLinePunct w:val="0"/>
              <w:autoSpaceDE w:val="0"/>
              <w:autoSpaceDN w:val="0"/>
              <w:bidi w:val="0"/>
              <w:adjustRightInd/>
              <w:snapToGrid/>
              <w:ind w:left="120" w:leftChars="50" w:right="120" w:rightChars="50"/>
              <w:jc w:val="both"/>
              <w:textAlignment w:val="auto"/>
              <w:rPr>
                <w:rFonts w:hint="default" w:ascii="Times New Roman" w:hAnsi="Times New Roman" w:eastAsia="宋体" w:cs="Times New Roman"/>
                <w:highlight w:val="none"/>
                <w:u w:val="none" w:color="auto"/>
              </w:rPr>
            </w:pPr>
            <w:r>
              <w:rPr>
                <w:rFonts w:hint="default" w:ascii="Times New Roman" w:hAnsi="Times New Roman" w:eastAsia="宋体" w:cs="Times New Roman"/>
                <w:highlight w:val="none"/>
                <w:u w:val="none" w:color="auto"/>
              </w:rPr>
              <w:t>根据《环境影响评价技术导则大气环境》（</w:t>
            </w:r>
            <w:r>
              <w:rPr>
                <w:rFonts w:ascii="Times New Roman" w:hAnsi="Times New Roman" w:eastAsia="宋体" w:cs="Times New Roman"/>
                <w:highlight w:val="none"/>
                <w:u w:val="none" w:color="auto"/>
              </w:rPr>
              <w:t>HJ2.2-2018</w:t>
            </w:r>
            <w:r>
              <w:rPr>
                <w:rFonts w:hint="default" w:ascii="Times New Roman" w:hAnsi="Times New Roman" w:eastAsia="宋体" w:cs="Times New Roman"/>
                <w:highlight w:val="none"/>
                <w:u w:val="none" w:color="auto"/>
              </w:rPr>
              <w:t>）对项目所在区域环境空气质量进行达标判断，六项污染物全部达标，故本项目所在区域为环境空气质量达标区。</w:t>
            </w:r>
          </w:p>
          <w:p>
            <w:pPr>
              <w:keepNext/>
              <w:keepLines/>
              <w:pageBreakBefore w:val="0"/>
              <w:widowControl w:val="0"/>
              <w:kinsoku/>
              <w:wordWrap w:val="0"/>
              <w:overflowPunct/>
              <w:topLinePunct/>
              <w:bidi w:val="0"/>
              <w:spacing w:before="160" w:after="160" w:line="240" w:lineRule="auto"/>
              <w:ind w:left="120" w:leftChars="50" w:right="120" w:rightChars="50" w:firstLine="482" w:firstLineChars="200"/>
              <w:outlineLvl w:val="3"/>
              <w:rPr>
                <w:rFonts w:hint="default" w:ascii="Times New Roman" w:hAnsi="Times New Roman" w:eastAsia="宋体" w:cs="Times New Roman"/>
                <w:b/>
                <w:sz w:val="24"/>
                <w:szCs w:val="28"/>
                <w:highlight w:val="none"/>
                <w:u w:val="none" w:color="auto"/>
                <w:lang w:val="en-US" w:eastAsia="zh-CN" w:bidi="zh-CN"/>
              </w:rPr>
            </w:pPr>
            <w:r>
              <w:rPr>
                <w:rFonts w:hint="default" w:ascii="Times New Roman" w:hAnsi="Times New Roman" w:eastAsia="宋体" w:cs="Times New Roman"/>
                <w:b/>
                <w:sz w:val="24"/>
                <w:szCs w:val="28"/>
                <w:highlight w:val="none"/>
                <w:u w:val="none" w:color="auto"/>
                <w:lang w:val="en-US" w:eastAsia="zh-CN" w:bidi="zh-CN"/>
              </w:rPr>
              <w:t>3.1.1.2现</w:t>
            </w:r>
            <w:r>
              <w:rPr>
                <w:rFonts w:hint="default" w:ascii="Times New Roman" w:hAnsi="Times New Roman" w:eastAsia="宋体" w:cs="Times New Roman"/>
                <w:b/>
                <w:sz w:val="24"/>
                <w:szCs w:val="28"/>
                <w:highlight w:val="none"/>
                <w:u w:val="none" w:color="auto"/>
                <w:lang w:val="zh-CN" w:eastAsia="zh-CN" w:bidi="zh-CN"/>
              </w:rPr>
              <w:t>状</w:t>
            </w:r>
            <w:r>
              <w:rPr>
                <w:rFonts w:hint="default" w:ascii="Times New Roman" w:hAnsi="Times New Roman" w:cs="Times New Roman"/>
                <w:b/>
                <w:sz w:val="24"/>
                <w:szCs w:val="28"/>
                <w:highlight w:val="none"/>
                <w:u w:val="none" w:color="auto"/>
                <w:lang w:val="en-US" w:eastAsia="zh-CN" w:bidi="zh-CN"/>
              </w:rPr>
              <w:t>引用</w:t>
            </w:r>
            <w:r>
              <w:rPr>
                <w:rFonts w:hint="default" w:ascii="Times New Roman" w:hAnsi="Times New Roman" w:eastAsia="宋体" w:cs="Times New Roman"/>
                <w:b/>
                <w:sz w:val="24"/>
                <w:szCs w:val="28"/>
                <w:highlight w:val="none"/>
                <w:u w:val="none" w:color="auto"/>
                <w:lang w:val="zh-CN" w:eastAsia="zh-CN" w:bidi="zh-CN"/>
              </w:rPr>
              <w:t>监测</w:t>
            </w:r>
          </w:p>
          <w:p>
            <w:pPr>
              <w:ind w:firstLine="480"/>
              <w:rPr>
                <w:rFonts w:hint="default" w:ascii="Times New Roman" w:hAnsi="Times New Roman" w:eastAsia="宋体" w:cs="Times New Roman"/>
                <w:u w:val="none" w:color="auto"/>
                <w:lang w:bidi="ar"/>
              </w:rPr>
            </w:pPr>
            <w:r>
              <w:rPr>
                <w:rFonts w:hint="default" w:ascii="Times New Roman" w:hAnsi="Times New Roman" w:eastAsia="宋体" w:cs="Times New Roman"/>
                <w:u w:val="none" w:color="auto"/>
                <w:lang w:bidi="ar"/>
              </w:rPr>
              <w:t>项目所在地区环境空气质量功能区划为2类区，应执行《环境空气质量标准》（GB3095-2012）</w:t>
            </w:r>
            <w:r>
              <w:rPr>
                <w:rFonts w:hint="default" w:ascii="Times New Roman" w:hAnsi="Times New Roman" w:eastAsia="宋体" w:cs="Times New Roman"/>
                <w:u w:val="none" w:color="auto"/>
                <w:lang w:val="en-US" w:eastAsia="zh-CN" w:bidi="ar"/>
              </w:rPr>
              <w:t>及2018年修改单中的</w:t>
            </w:r>
            <w:r>
              <w:rPr>
                <w:rFonts w:hint="default" w:ascii="Times New Roman" w:hAnsi="Times New Roman" w:eastAsia="宋体" w:cs="Times New Roman"/>
                <w:u w:val="none" w:color="auto"/>
                <w:lang w:bidi="ar"/>
              </w:rPr>
              <w:t>二级标准。本项目环境空气质量现状收集了《</w:t>
            </w:r>
            <w:r>
              <w:rPr>
                <w:rFonts w:hint="default" w:ascii="Times New Roman" w:hAnsi="Times New Roman" w:cs="Times New Roman"/>
                <w:sz w:val="24"/>
                <w:szCs w:val="24"/>
                <w:u w:val="none" w:color="auto"/>
                <w:lang w:eastAsia="zh-CN"/>
              </w:rPr>
              <w:t>泸溪特色米粉加工项目</w:t>
            </w:r>
            <w:r>
              <w:rPr>
                <w:rFonts w:hint="default" w:ascii="Times New Roman" w:hAnsi="Times New Roman" w:eastAsia="宋体" w:cs="Times New Roman"/>
                <w:u w:val="none" w:color="auto"/>
                <w:lang w:bidi="ar"/>
              </w:rPr>
              <w:t>》中的环境空气质量现状监测数据。</w:t>
            </w:r>
          </w:p>
          <w:p>
            <w:pPr>
              <w:ind w:firstLine="480"/>
              <w:rPr>
                <w:rFonts w:hint="default" w:ascii="Times New Roman" w:hAnsi="Times New Roman" w:eastAsia="宋体" w:cs="Times New Roman"/>
                <w:u w:val="none" w:color="auto"/>
                <w:lang w:bidi="ar"/>
              </w:rPr>
            </w:pPr>
            <w:r>
              <w:rPr>
                <w:rFonts w:hint="default" w:ascii="Times New Roman" w:hAnsi="Times New Roman" w:eastAsia="宋体" w:cs="Times New Roman"/>
                <w:u w:val="none" w:color="auto"/>
                <w:lang w:bidi="ar"/>
              </w:rPr>
              <w:t>本评价共引用</w:t>
            </w:r>
            <w:r>
              <w:rPr>
                <w:rFonts w:hint="default" w:ascii="Times New Roman" w:hAnsi="Times New Roman" w:cs="Times New Roman"/>
                <w:u w:val="none" w:color="auto"/>
                <w:lang w:val="en-US" w:eastAsia="zh-CN" w:bidi="ar"/>
              </w:rPr>
              <w:t>1</w:t>
            </w:r>
            <w:r>
              <w:rPr>
                <w:rFonts w:hint="default" w:ascii="Times New Roman" w:hAnsi="Times New Roman" w:eastAsia="宋体" w:cs="Times New Roman"/>
                <w:u w:val="none" w:color="auto"/>
                <w:lang w:bidi="ar"/>
              </w:rPr>
              <w:t>个环境空气质量监测点</w:t>
            </w:r>
            <w:r>
              <w:rPr>
                <w:rFonts w:hint="default" w:ascii="Times New Roman" w:hAnsi="Times New Roman" w:cs="Times New Roman"/>
                <w:u w:val="none" w:color="auto"/>
                <w:lang w:val="en-US" w:eastAsia="zh-CN" w:bidi="ar"/>
              </w:rPr>
              <w:t>G1</w:t>
            </w:r>
            <w:r>
              <w:rPr>
                <w:rFonts w:hint="default" w:ascii="Times New Roman" w:hAnsi="Times New Roman" w:eastAsia="宋体" w:cs="Times New Roman"/>
                <w:u w:val="none" w:color="auto"/>
                <w:lang w:bidi="ar"/>
              </w:rPr>
              <w:t>，监测时间为</w:t>
            </w:r>
            <w:r>
              <w:rPr>
                <w:rFonts w:hint="default" w:ascii="Times New Roman" w:hAnsi="Times New Roman" w:eastAsia="宋体" w:cs="Times New Roman"/>
                <w:highlight w:val="none"/>
                <w:u w:val="none" w:color="auto"/>
              </w:rPr>
              <w:t>202</w:t>
            </w:r>
            <w:r>
              <w:rPr>
                <w:rFonts w:hint="default" w:ascii="Times New Roman" w:hAnsi="Times New Roman" w:cs="Times New Roman"/>
                <w:highlight w:val="none"/>
                <w:u w:val="none" w:color="auto"/>
                <w:lang w:val="en-US" w:eastAsia="zh-CN"/>
              </w:rPr>
              <w:t>2</w:t>
            </w:r>
            <w:r>
              <w:rPr>
                <w:rFonts w:hint="default" w:ascii="Times New Roman" w:hAnsi="Times New Roman" w:eastAsia="宋体" w:cs="Times New Roman"/>
                <w:highlight w:val="none"/>
                <w:u w:val="none" w:color="auto"/>
              </w:rPr>
              <w:t>年</w:t>
            </w:r>
            <w:r>
              <w:rPr>
                <w:rFonts w:hint="default" w:ascii="Times New Roman" w:hAnsi="Times New Roman" w:cs="Times New Roman"/>
                <w:highlight w:val="none"/>
                <w:u w:val="none" w:color="auto"/>
                <w:lang w:val="en-US" w:eastAsia="zh-CN"/>
              </w:rPr>
              <w:t>2</w:t>
            </w:r>
            <w:r>
              <w:rPr>
                <w:rFonts w:hint="default" w:ascii="Times New Roman" w:hAnsi="Times New Roman" w:eastAsia="宋体" w:cs="Times New Roman"/>
                <w:highlight w:val="none"/>
                <w:u w:val="none" w:color="auto"/>
              </w:rPr>
              <w:t>月</w:t>
            </w:r>
            <w:r>
              <w:rPr>
                <w:rFonts w:hint="default" w:ascii="Times New Roman" w:hAnsi="Times New Roman" w:cs="Times New Roman"/>
                <w:highlight w:val="none"/>
                <w:u w:val="none" w:color="auto"/>
                <w:lang w:val="en-US" w:eastAsia="zh-CN"/>
              </w:rPr>
              <w:t>25</w:t>
            </w:r>
            <w:r>
              <w:rPr>
                <w:rFonts w:hint="default" w:ascii="Times New Roman" w:hAnsi="Times New Roman" w:eastAsia="宋体" w:cs="Times New Roman"/>
                <w:highlight w:val="none"/>
                <w:u w:val="none" w:color="auto"/>
              </w:rPr>
              <w:t>日—</w:t>
            </w:r>
            <w:r>
              <w:rPr>
                <w:rFonts w:hint="default" w:ascii="Times New Roman" w:hAnsi="Times New Roman" w:cs="Times New Roman"/>
                <w:highlight w:val="none"/>
                <w:u w:val="none" w:color="auto"/>
                <w:lang w:val="en-US" w:eastAsia="zh-CN"/>
              </w:rPr>
              <w:t>3月3</w:t>
            </w:r>
            <w:r>
              <w:rPr>
                <w:rFonts w:hint="default" w:ascii="Times New Roman" w:hAnsi="Times New Roman" w:eastAsia="宋体" w:cs="Times New Roman"/>
                <w:highlight w:val="none"/>
                <w:u w:val="none" w:color="auto"/>
              </w:rPr>
              <w:t>日</w:t>
            </w:r>
            <w:r>
              <w:rPr>
                <w:rFonts w:hint="default" w:ascii="Times New Roman" w:hAnsi="Times New Roman" w:eastAsia="宋体" w:cs="Times New Roman"/>
                <w:u w:val="none" w:color="auto"/>
                <w:lang w:bidi="ar"/>
              </w:rPr>
              <w:t>，连续监测</w:t>
            </w:r>
            <w:r>
              <w:rPr>
                <w:rFonts w:hint="default" w:ascii="Times New Roman" w:hAnsi="Times New Roman" w:cs="Times New Roman"/>
                <w:u w:val="none" w:color="auto"/>
                <w:lang w:val="en-US" w:eastAsia="zh-CN" w:bidi="ar"/>
              </w:rPr>
              <w:t>7</w:t>
            </w:r>
            <w:r>
              <w:rPr>
                <w:rFonts w:hint="default" w:ascii="Times New Roman" w:hAnsi="Times New Roman" w:eastAsia="宋体" w:cs="Times New Roman"/>
                <w:u w:val="none" w:color="auto"/>
                <w:lang w:bidi="ar"/>
              </w:rPr>
              <w:t>天。监测因子</w:t>
            </w:r>
            <w:r>
              <w:rPr>
                <w:rFonts w:hint="default" w:ascii="Times New Roman" w:hAnsi="Times New Roman" w:eastAsia="宋体" w:cs="Times New Roman"/>
                <w:szCs w:val="24"/>
                <w:u w:val="none" w:color="auto"/>
                <w:lang w:bidi="ar"/>
              </w:rPr>
              <w:t>为</w:t>
            </w:r>
            <w:r>
              <w:rPr>
                <w:rFonts w:hint="default" w:ascii="Times New Roman" w:hAnsi="Times New Roman" w:cs="Times New Roman"/>
                <w:u w:val="none" w:color="auto"/>
              </w:rPr>
              <w:t>TSP</w:t>
            </w:r>
            <w:r>
              <w:rPr>
                <w:rFonts w:hint="default" w:ascii="Times New Roman" w:hAnsi="Times New Roman" w:eastAsia="宋体" w:cs="Times New Roman"/>
                <w:szCs w:val="24"/>
                <w:u w:val="none" w:color="auto"/>
                <w:lang w:bidi="ar"/>
              </w:rPr>
              <w:t>，监测点位情况详见3-2</w:t>
            </w:r>
            <w:r>
              <w:rPr>
                <w:rFonts w:hint="default" w:ascii="Times New Roman" w:hAnsi="Times New Roman" w:cs="Times New Roman"/>
                <w:szCs w:val="24"/>
                <w:u w:val="none" w:color="auto"/>
                <w:lang w:eastAsia="zh-CN" w:bidi="ar"/>
              </w:rPr>
              <w:t>，</w:t>
            </w:r>
            <w:r>
              <w:rPr>
                <w:rFonts w:hint="default" w:ascii="Times New Roman" w:hAnsi="Times New Roman" w:eastAsia="宋体" w:cs="Times New Roman"/>
                <w:u w:val="none" w:color="auto"/>
                <w:lang w:bidi="ar"/>
              </w:rPr>
              <w:t>监测结果见表3-</w:t>
            </w:r>
            <w:r>
              <w:rPr>
                <w:rFonts w:hint="default" w:ascii="Times New Roman" w:hAnsi="Times New Roman" w:cs="Times New Roman"/>
                <w:u w:val="none" w:color="auto"/>
                <w:lang w:val="en-US" w:eastAsia="zh-CN" w:bidi="ar"/>
              </w:rPr>
              <w:t>3</w:t>
            </w:r>
            <w:r>
              <w:rPr>
                <w:rFonts w:hint="default" w:ascii="Times New Roman" w:hAnsi="Times New Roman" w:eastAsia="宋体" w:cs="Times New Roman"/>
                <w:u w:val="none" w:color="auto"/>
                <w:lang w:bidi="ar"/>
              </w:rPr>
              <w:t>。本项目环境空气质量现状监测数据引用理由如下：</w:t>
            </w:r>
          </w:p>
          <w:p>
            <w:pPr>
              <w:keepNext w:val="0"/>
              <w:keepLines w:val="0"/>
              <w:pageBreakBefore w:val="0"/>
              <w:numPr>
                <w:ilvl w:val="0"/>
                <w:numId w:val="0"/>
              </w:numPr>
              <w:kinsoku/>
              <w:overflowPunct/>
              <w:autoSpaceDE/>
              <w:autoSpaceDN/>
              <w:bidi w:val="0"/>
              <w:adjustRightInd/>
              <w:snapToGrid/>
              <w:ind w:firstLine="480" w:firstLineChars="200"/>
              <w:textAlignment w:val="auto"/>
              <w:rPr>
                <w:rFonts w:hint="default" w:ascii="Times New Roman" w:hAnsi="Times New Roman" w:cs="Times New Roman"/>
                <w:u w:val="none" w:color="auto"/>
              </w:rPr>
            </w:pP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lang w:eastAsia="zh-CN"/>
              </w:rPr>
              <w:t>）</w:t>
            </w:r>
            <w:r>
              <w:rPr>
                <w:rFonts w:hint="default" w:ascii="Times New Roman" w:hAnsi="Times New Roman" w:cs="Times New Roman"/>
                <w:u w:val="none" w:color="auto"/>
              </w:rPr>
              <w:t>引用监测时间为202</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rPr>
              <w:t>年</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rPr>
              <w:t>月</w:t>
            </w:r>
            <w:r>
              <w:rPr>
                <w:rFonts w:hint="default" w:ascii="Times New Roman" w:hAnsi="Times New Roman" w:cs="Times New Roman"/>
                <w:u w:val="none" w:color="auto"/>
                <w:lang w:val="en-US" w:eastAsia="zh-CN"/>
              </w:rPr>
              <w:t>25</w:t>
            </w:r>
            <w:r>
              <w:rPr>
                <w:rFonts w:hint="default" w:ascii="Times New Roman" w:hAnsi="Times New Roman" w:cs="Times New Roman"/>
                <w:u w:val="none" w:color="auto"/>
              </w:rPr>
              <w:t>日—</w:t>
            </w:r>
            <w:r>
              <w:rPr>
                <w:rFonts w:hint="default" w:ascii="Times New Roman" w:hAnsi="Times New Roman" w:cs="Times New Roman"/>
                <w:u w:val="none" w:color="auto"/>
                <w:lang w:val="en-US" w:eastAsia="zh-CN"/>
              </w:rPr>
              <w:t>3月3</w:t>
            </w:r>
            <w:r>
              <w:rPr>
                <w:rFonts w:hint="default" w:ascii="Times New Roman" w:hAnsi="Times New Roman" w:cs="Times New Roman"/>
                <w:u w:val="none" w:color="auto"/>
              </w:rPr>
              <w:t>日，监测时间较近；</w:t>
            </w:r>
          </w:p>
          <w:p>
            <w:pPr>
              <w:keepNext w:val="0"/>
              <w:keepLines w:val="0"/>
              <w:pageBreakBefore w:val="0"/>
              <w:numPr>
                <w:ilvl w:val="0"/>
                <w:numId w:val="0"/>
              </w:numPr>
              <w:kinsoku/>
              <w:overflowPunct/>
              <w:autoSpaceDE/>
              <w:autoSpaceDN/>
              <w:bidi w:val="0"/>
              <w:adjustRightInd/>
              <w:snapToGrid/>
              <w:ind w:firstLine="480" w:firstLineChars="200"/>
              <w:textAlignment w:val="auto"/>
              <w:rPr>
                <w:rFonts w:hint="default" w:ascii="Times New Roman" w:hAnsi="Times New Roman" w:cs="Times New Roman"/>
                <w:u w:val="none" w:color="auto"/>
              </w:rPr>
            </w:pP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lang w:eastAsia="zh-CN"/>
              </w:rPr>
              <w:t>）引用监测点</w:t>
            </w:r>
            <w:r>
              <w:rPr>
                <w:rFonts w:hint="default" w:ascii="Times New Roman" w:hAnsi="Times New Roman" w:cs="Times New Roman"/>
                <w:u w:val="none" w:color="auto"/>
                <w:lang w:val="en-US" w:eastAsia="zh-CN"/>
              </w:rPr>
              <w:t>仍</w:t>
            </w:r>
            <w:r>
              <w:rPr>
                <w:rFonts w:hint="default" w:ascii="Times New Roman" w:hAnsi="Times New Roman" w:cs="Times New Roman"/>
                <w:u w:val="none" w:color="auto"/>
                <w:lang w:eastAsia="zh-CN"/>
              </w:rPr>
              <w:t>为项目地</w:t>
            </w:r>
            <w:r>
              <w:rPr>
                <w:rFonts w:hint="eastAsia" w:cs="Times New Roman"/>
                <w:u w:val="none" w:color="auto"/>
                <w:lang w:val="en-US" w:eastAsia="zh-CN"/>
              </w:rPr>
              <w:t>西南侧红土溪村散户居民点</w:t>
            </w:r>
            <w:r>
              <w:rPr>
                <w:rFonts w:hint="default" w:ascii="Times New Roman" w:hAnsi="Times New Roman" w:cs="Times New Roman"/>
                <w:u w:val="none" w:color="auto"/>
              </w:rPr>
              <w:t>；</w:t>
            </w:r>
          </w:p>
          <w:p>
            <w:pPr>
              <w:pageBreakBefore w:val="0"/>
              <w:widowControl/>
              <w:kinsoku/>
              <w:wordWrap w:val="0"/>
              <w:overflowPunct/>
              <w:topLinePunct/>
              <w:bidi w:val="0"/>
              <w:spacing w:before="120" w:after="120" w:line="240" w:lineRule="auto"/>
              <w:ind w:left="120" w:leftChars="50" w:right="120" w:rightChars="50" w:firstLine="0" w:firstLineChars="0"/>
              <w:jc w:val="center"/>
              <w:rPr>
                <w:rFonts w:ascii="Times New Roman" w:hAnsi="Times New Roman" w:eastAsia="宋体" w:cs="Times New Roman"/>
                <w:b/>
                <w:bCs/>
                <w:sz w:val="21"/>
                <w:szCs w:val="21"/>
                <w:highlight w:val="none"/>
                <w:u w:val="none" w:color="auto"/>
                <w:lang w:val="zh-CN" w:eastAsia="zh-CN" w:bidi="zh-CN"/>
              </w:rPr>
            </w:pPr>
            <w:r>
              <w:rPr>
                <w:rFonts w:ascii="Times New Roman" w:hAnsi="Times New Roman" w:eastAsia="宋体" w:cs="Times New Roman"/>
                <w:b/>
                <w:bCs/>
                <w:sz w:val="21"/>
                <w:szCs w:val="21"/>
                <w:highlight w:val="none"/>
                <w:u w:val="none" w:color="auto"/>
                <w:lang w:val="zh-CN" w:eastAsia="zh-CN" w:bidi="zh-CN"/>
              </w:rPr>
              <w:t>表</w:t>
            </w:r>
            <w:r>
              <w:rPr>
                <w:rFonts w:hint="default" w:ascii="Times New Roman" w:hAnsi="Times New Roman" w:eastAsia="宋体" w:cs="Times New Roman"/>
                <w:b/>
                <w:bCs/>
                <w:sz w:val="21"/>
                <w:szCs w:val="21"/>
                <w:highlight w:val="none"/>
                <w:u w:val="none" w:color="auto"/>
                <w:lang w:val="en-US" w:eastAsia="zh-CN" w:bidi="zh-CN"/>
              </w:rPr>
              <w:t>3.1-2</w:t>
            </w:r>
            <w:r>
              <w:rPr>
                <w:rFonts w:hint="default" w:ascii="Times New Roman" w:hAnsi="Times New Roman" w:eastAsia="宋体" w:cs="Times New Roman"/>
                <w:b/>
                <w:bCs/>
                <w:sz w:val="21"/>
                <w:szCs w:val="21"/>
                <w:highlight w:val="none"/>
                <w:u w:val="none" w:color="auto"/>
                <w:lang w:val="zh-CN" w:eastAsia="zh-CN" w:bidi="zh-CN"/>
              </w:rPr>
              <w:t>：</w:t>
            </w:r>
            <w:r>
              <w:rPr>
                <w:rFonts w:ascii="Times New Roman" w:hAnsi="Times New Roman" w:eastAsia="宋体" w:cs="Times New Roman"/>
                <w:b/>
                <w:bCs/>
                <w:sz w:val="21"/>
                <w:szCs w:val="21"/>
                <w:highlight w:val="none"/>
                <w:u w:val="none" w:color="auto"/>
                <w:lang w:val="zh-CN" w:eastAsia="zh-CN" w:bidi="zh-CN"/>
              </w:rPr>
              <w:t>大气环境现状监测点位</w:t>
            </w:r>
          </w:p>
          <w:tbl>
            <w:tblPr>
              <w:tblStyle w:val="28"/>
              <w:tblW w:w="80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25"/>
              <w:gridCol w:w="2781"/>
              <w:gridCol w:w="1198"/>
              <w:gridCol w:w="1296"/>
              <w:gridCol w:w="17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9" w:hRule="atLeast"/>
                <w:jc w:val="center"/>
              </w:trPr>
              <w:tc>
                <w:tcPr>
                  <w:tcW w:w="636" w:type="pct"/>
                  <w:tcBorders>
                    <w:tl2br w:val="nil"/>
                    <w:tr2bl w:val="nil"/>
                  </w:tcBorders>
                  <w:noWrap w:val="0"/>
                  <w:vAlign w:val="center"/>
                </w:tcPr>
                <w:p>
                  <w:pPr>
                    <w:pStyle w:val="70"/>
                    <w:pageBreakBefore w:val="0"/>
                    <w:kinsoku/>
                    <w:overflowPunct/>
                    <w:autoSpaceDE/>
                    <w:autoSpaceDN/>
                    <w:bidi w:val="0"/>
                    <w:ind w:left="120" w:leftChars="50" w:right="120" w:rightChars="50"/>
                    <w:jc w:val="center"/>
                    <w:rPr>
                      <w:rFonts w:ascii="Times New Roman" w:hAnsi="Times New Roman" w:cs="Times New Roman"/>
                      <w:b/>
                      <w:bCs/>
                      <w:highlight w:val="none"/>
                      <w:u w:val="none" w:color="auto"/>
                    </w:rPr>
                  </w:pPr>
                  <w:r>
                    <w:rPr>
                      <w:rFonts w:ascii="Times New Roman" w:hAnsi="Times New Roman" w:cs="Times New Roman"/>
                      <w:b/>
                      <w:bCs/>
                      <w:highlight w:val="none"/>
                      <w:u w:val="none" w:color="auto"/>
                    </w:rPr>
                    <w:t>序号</w:t>
                  </w:r>
                </w:p>
              </w:tc>
              <w:tc>
                <w:tcPr>
                  <w:tcW w:w="1725" w:type="pct"/>
                  <w:tcBorders>
                    <w:tl2br w:val="nil"/>
                    <w:tr2bl w:val="nil"/>
                  </w:tcBorders>
                  <w:noWrap w:val="0"/>
                  <w:vAlign w:val="center"/>
                </w:tcPr>
                <w:p>
                  <w:pPr>
                    <w:pStyle w:val="70"/>
                    <w:pageBreakBefore w:val="0"/>
                    <w:kinsoku/>
                    <w:overflowPunct/>
                    <w:autoSpaceDE/>
                    <w:autoSpaceDN/>
                    <w:bidi w:val="0"/>
                    <w:ind w:left="120" w:leftChars="50" w:right="120" w:rightChars="50"/>
                    <w:jc w:val="center"/>
                    <w:rPr>
                      <w:rFonts w:ascii="Times New Roman" w:hAnsi="Times New Roman" w:cs="Times New Roman"/>
                      <w:b/>
                      <w:bCs/>
                      <w:highlight w:val="none"/>
                      <w:u w:val="none" w:color="auto"/>
                    </w:rPr>
                  </w:pPr>
                  <w:r>
                    <w:rPr>
                      <w:rFonts w:ascii="Times New Roman" w:hAnsi="Times New Roman" w:cs="Times New Roman"/>
                      <w:b/>
                      <w:bCs/>
                      <w:highlight w:val="none"/>
                      <w:u w:val="none" w:color="auto"/>
                    </w:rPr>
                    <w:t>监测点位</w:t>
                  </w:r>
                </w:p>
              </w:tc>
              <w:tc>
                <w:tcPr>
                  <w:tcW w:w="743" w:type="pct"/>
                  <w:tcBorders>
                    <w:tl2br w:val="nil"/>
                    <w:tr2bl w:val="nil"/>
                  </w:tcBorders>
                  <w:noWrap w:val="0"/>
                  <w:vAlign w:val="center"/>
                </w:tcPr>
                <w:p>
                  <w:pPr>
                    <w:pStyle w:val="70"/>
                    <w:pageBreakBefore w:val="0"/>
                    <w:kinsoku/>
                    <w:overflowPunct/>
                    <w:autoSpaceDE/>
                    <w:autoSpaceDN/>
                    <w:bidi w:val="0"/>
                    <w:ind w:left="120" w:leftChars="50" w:right="120" w:rightChars="50"/>
                    <w:jc w:val="center"/>
                    <w:rPr>
                      <w:rFonts w:ascii="Times New Roman" w:hAnsi="Times New Roman" w:cs="Times New Roman"/>
                      <w:b/>
                      <w:bCs/>
                      <w:highlight w:val="none"/>
                      <w:u w:val="none" w:color="auto"/>
                    </w:rPr>
                  </w:pPr>
                  <w:r>
                    <w:rPr>
                      <w:rFonts w:ascii="Times New Roman" w:hAnsi="Times New Roman" w:cs="Times New Roman"/>
                      <w:b/>
                      <w:bCs/>
                      <w:highlight w:val="none"/>
                      <w:u w:val="none" w:color="auto"/>
                    </w:rPr>
                    <w:t>方位</w:t>
                  </w:r>
                </w:p>
              </w:tc>
              <w:tc>
                <w:tcPr>
                  <w:tcW w:w="804" w:type="pct"/>
                  <w:tcBorders>
                    <w:tl2br w:val="nil"/>
                    <w:tr2bl w:val="nil"/>
                  </w:tcBorders>
                  <w:noWrap w:val="0"/>
                  <w:vAlign w:val="center"/>
                </w:tcPr>
                <w:p>
                  <w:pPr>
                    <w:pStyle w:val="70"/>
                    <w:pageBreakBefore w:val="0"/>
                    <w:kinsoku/>
                    <w:overflowPunct/>
                    <w:autoSpaceDE/>
                    <w:autoSpaceDN/>
                    <w:bidi w:val="0"/>
                    <w:ind w:left="120" w:leftChars="50" w:right="120" w:rightChars="50"/>
                    <w:jc w:val="center"/>
                    <w:rPr>
                      <w:rFonts w:ascii="Times New Roman" w:hAnsi="Times New Roman" w:cs="Times New Roman"/>
                      <w:b/>
                      <w:bCs/>
                      <w:highlight w:val="none"/>
                      <w:u w:val="none" w:color="auto"/>
                    </w:rPr>
                  </w:pPr>
                  <w:r>
                    <w:rPr>
                      <w:rFonts w:ascii="Times New Roman" w:hAnsi="Times New Roman" w:cs="Times New Roman"/>
                      <w:b/>
                      <w:bCs/>
                      <w:highlight w:val="none"/>
                      <w:u w:val="none" w:color="auto"/>
                    </w:rPr>
                    <w:t>距离(m)</w:t>
                  </w:r>
                </w:p>
              </w:tc>
              <w:tc>
                <w:tcPr>
                  <w:tcW w:w="1090" w:type="pct"/>
                  <w:tcBorders>
                    <w:tl2br w:val="nil"/>
                    <w:tr2bl w:val="nil"/>
                  </w:tcBorders>
                  <w:noWrap w:val="0"/>
                  <w:vAlign w:val="center"/>
                </w:tcPr>
                <w:p>
                  <w:pPr>
                    <w:pStyle w:val="70"/>
                    <w:pageBreakBefore w:val="0"/>
                    <w:kinsoku/>
                    <w:overflowPunct/>
                    <w:autoSpaceDE/>
                    <w:autoSpaceDN/>
                    <w:bidi w:val="0"/>
                    <w:ind w:left="120" w:leftChars="50" w:right="120" w:rightChars="50"/>
                    <w:jc w:val="center"/>
                    <w:rPr>
                      <w:rFonts w:hint="default" w:ascii="Times New Roman" w:hAnsi="Times New Roman" w:cs="Times New Roman"/>
                      <w:b/>
                      <w:bCs/>
                      <w:highlight w:val="none"/>
                      <w:u w:val="none" w:color="auto"/>
                      <w:lang w:eastAsia="zh-CN"/>
                    </w:rPr>
                  </w:pPr>
                  <w:r>
                    <w:rPr>
                      <w:rFonts w:hint="default" w:ascii="Times New Roman" w:hAnsi="Times New Roman" w:cs="Times New Roman"/>
                      <w:b/>
                      <w:bCs/>
                      <w:highlight w:val="none"/>
                      <w:u w:val="none" w:color="auto"/>
                      <w:lang w:eastAsia="zh-CN"/>
                    </w:rPr>
                    <w:t>监测因子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6" w:hRule="atLeast"/>
                <w:jc w:val="center"/>
              </w:trPr>
              <w:tc>
                <w:tcPr>
                  <w:tcW w:w="636" w:type="pct"/>
                  <w:tcBorders>
                    <w:tl2br w:val="nil"/>
                    <w:tr2bl w:val="nil"/>
                  </w:tcBorders>
                  <w:noWrap w:val="0"/>
                  <w:vAlign w:val="center"/>
                </w:tcPr>
                <w:p>
                  <w:pPr>
                    <w:pStyle w:val="70"/>
                    <w:pageBreakBefore w:val="0"/>
                    <w:kinsoku/>
                    <w:overflowPunct/>
                    <w:autoSpaceDE/>
                    <w:autoSpaceDN/>
                    <w:bidi w:val="0"/>
                    <w:ind w:left="120" w:leftChars="50" w:right="120" w:rightChars="50"/>
                    <w:jc w:val="center"/>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lang w:val="en-US" w:eastAsia="zh-CN"/>
                    </w:rPr>
                    <w:t>G1</w:t>
                  </w:r>
                </w:p>
              </w:tc>
              <w:tc>
                <w:tcPr>
                  <w:tcW w:w="278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highlight w:val="none"/>
                      <w:u w:val="none" w:color="auto"/>
                      <w:lang w:val="en-US" w:eastAsia="zh-CN"/>
                    </w:rPr>
                  </w:pPr>
                  <w:r>
                    <w:rPr>
                      <w:rFonts w:hint="default" w:ascii="Times New Roman" w:hAnsi="Times New Roman" w:cs="Times New Roman"/>
                      <w:sz w:val="21"/>
                      <w:szCs w:val="21"/>
                      <w:u w:val="none" w:color="auto"/>
                      <w:lang w:val="en-US" w:eastAsia="zh-CN"/>
                    </w:rPr>
                    <w:t>红土溪村散户居民点</w:t>
                  </w:r>
                </w:p>
              </w:tc>
              <w:tc>
                <w:tcPr>
                  <w:tcW w:w="1198"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highlight w:val="none"/>
                      <w:u w:val="none" w:color="auto"/>
                      <w:lang w:val="en-US" w:eastAsia="zh-CN"/>
                    </w:rPr>
                  </w:pPr>
                  <w:r>
                    <w:rPr>
                      <w:rFonts w:hint="default" w:ascii="Times New Roman" w:hAnsi="Times New Roman" w:cs="Times New Roman"/>
                      <w:bCs/>
                      <w:sz w:val="21"/>
                      <w:szCs w:val="21"/>
                      <w:u w:val="none" w:color="auto"/>
                      <w:lang w:val="en-US" w:eastAsia="zh-CN"/>
                    </w:rPr>
                    <w:t>西</w:t>
                  </w:r>
                  <w:r>
                    <w:rPr>
                      <w:rFonts w:hint="default" w:ascii="Times New Roman" w:hAnsi="Times New Roman" w:cs="Times New Roman"/>
                      <w:bCs/>
                      <w:sz w:val="21"/>
                      <w:szCs w:val="21"/>
                      <w:u w:val="none" w:color="auto"/>
                      <w:lang w:eastAsia="zh-CN"/>
                    </w:rPr>
                    <w:t>南侧</w:t>
                  </w:r>
                </w:p>
              </w:tc>
              <w:tc>
                <w:tcPr>
                  <w:tcW w:w="804" w:type="pct"/>
                  <w:tcBorders>
                    <w:tl2br w:val="nil"/>
                    <w:tr2bl w:val="nil"/>
                  </w:tcBorders>
                  <w:noWrap w:val="0"/>
                  <w:vAlign w:val="center"/>
                </w:tcPr>
                <w:p>
                  <w:pPr>
                    <w:pStyle w:val="70"/>
                    <w:pageBreakBefore w:val="0"/>
                    <w:kinsoku/>
                    <w:overflowPunct/>
                    <w:autoSpaceDE/>
                    <w:autoSpaceDN/>
                    <w:bidi w:val="0"/>
                    <w:ind w:left="120" w:leftChars="50" w:right="120" w:rightChars="50"/>
                    <w:jc w:val="center"/>
                    <w:rPr>
                      <w:rFonts w:hint="default" w:ascii="Times New Roman" w:hAnsi="Times New Roman" w:cs="Times New Roman"/>
                      <w:highlight w:val="none"/>
                      <w:u w:val="none" w:color="auto"/>
                      <w:lang w:val="en-US" w:eastAsia="zh-CN"/>
                    </w:rPr>
                  </w:pPr>
                  <w:r>
                    <w:rPr>
                      <w:rFonts w:hint="default" w:ascii="Times New Roman" w:hAnsi="Times New Roman" w:cs="Times New Roman"/>
                      <w:bCs/>
                      <w:sz w:val="21"/>
                      <w:szCs w:val="21"/>
                      <w:u w:val="none" w:color="auto"/>
                      <w:lang w:val="en-US" w:eastAsia="zh-CN"/>
                    </w:rPr>
                    <w:t>206m</w:t>
                  </w:r>
                </w:p>
              </w:tc>
              <w:tc>
                <w:tcPr>
                  <w:tcW w:w="1090" w:type="pct"/>
                  <w:tcBorders>
                    <w:tl2br w:val="nil"/>
                    <w:tr2bl w:val="nil"/>
                  </w:tcBorders>
                  <w:noWrap w:val="0"/>
                  <w:vAlign w:val="center"/>
                </w:tcPr>
                <w:p>
                  <w:pPr>
                    <w:pStyle w:val="70"/>
                    <w:pageBreakBefore w:val="0"/>
                    <w:kinsoku/>
                    <w:overflowPunct/>
                    <w:autoSpaceDE/>
                    <w:autoSpaceDN/>
                    <w:bidi w:val="0"/>
                    <w:ind w:left="120" w:leftChars="50" w:right="120" w:rightChars="50"/>
                    <w:jc w:val="center"/>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lang w:val="en-US" w:eastAsia="zh-CN"/>
                    </w:rPr>
                    <w:t>TSP</w:t>
                  </w:r>
                </w:p>
              </w:tc>
            </w:tr>
          </w:tbl>
          <w:p>
            <w:pPr>
              <w:pageBreakBefore w:val="0"/>
              <w:kinsoku/>
              <w:overflowPunct/>
              <w:topLinePunct/>
              <w:autoSpaceDE/>
              <w:autoSpaceDN/>
              <w:bidi w:val="0"/>
              <w:ind w:left="120" w:leftChars="50" w:right="120" w:rightChars="50"/>
              <w:rPr>
                <w:rFonts w:hint="default" w:ascii="Times New Roman" w:hAnsi="Times New Roman" w:eastAsia="宋体" w:cs="Times New Roman"/>
                <w:highlight w:val="none"/>
                <w:u w:val="none" w:color="auto"/>
              </w:rPr>
            </w:pPr>
            <w:r>
              <w:rPr>
                <w:rFonts w:hint="default" w:ascii="Times New Roman" w:hAnsi="Times New Roman" w:eastAsia="宋体" w:cs="Times New Roman"/>
                <w:highlight w:val="none"/>
                <w:u w:val="none" w:color="auto"/>
              </w:rPr>
              <w:t>监测数据结果见表</w:t>
            </w:r>
            <w:r>
              <w:rPr>
                <w:rFonts w:hint="default" w:ascii="Times New Roman" w:hAnsi="Times New Roman" w:eastAsia="宋体" w:cs="Times New Roman"/>
                <w:highlight w:val="none"/>
                <w:u w:val="none" w:color="auto"/>
                <w:lang w:val="en-US" w:eastAsia="zh-CN"/>
              </w:rPr>
              <w:t>3.1-3</w:t>
            </w:r>
            <w:r>
              <w:rPr>
                <w:rFonts w:hint="default" w:ascii="Times New Roman" w:hAnsi="Times New Roman" w:eastAsia="宋体" w:cs="Times New Roman"/>
                <w:highlight w:val="none"/>
                <w:u w:val="none" w:color="auto"/>
              </w:rPr>
              <w:t>。</w:t>
            </w:r>
          </w:p>
          <w:p>
            <w:pPr>
              <w:pageBreakBefore w:val="0"/>
              <w:widowControl/>
              <w:kinsoku/>
              <w:wordWrap w:val="0"/>
              <w:overflowPunct/>
              <w:topLinePunct/>
              <w:bidi w:val="0"/>
              <w:spacing w:before="120" w:after="120" w:line="240" w:lineRule="auto"/>
              <w:ind w:left="120" w:leftChars="50" w:right="120" w:rightChars="50" w:firstLine="0" w:firstLineChars="0"/>
              <w:jc w:val="center"/>
              <w:rPr>
                <w:rFonts w:hint="default" w:ascii="Times New Roman" w:hAnsi="Times New Roman" w:eastAsia="宋体" w:cs="Times New Roman"/>
                <w:b/>
                <w:bCs/>
                <w:sz w:val="21"/>
                <w:szCs w:val="21"/>
                <w:highlight w:val="none"/>
                <w:u w:val="none" w:color="auto"/>
                <w:lang w:val="zh-CN" w:eastAsia="zh-CN" w:bidi="zh-CN"/>
              </w:rPr>
            </w:pPr>
            <w:r>
              <w:rPr>
                <w:rFonts w:hint="default" w:ascii="Times New Roman" w:hAnsi="Times New Roman" w:eastAsia="宋体" w:cs="Times New Roman"/>
                <w:b/>
                <w:bCs/>
                <w:sz w:val="21"/>
                <w:szCs w:val="21"/>
                <w:highlight w:val="none"/>
                <w:u w:val="none" w:color="auto"/>
                <w:lang w:val="zh-CN" w:eastAsia="zh-CN" w:bidi="zh-CN"/>
              </w:rPr>
              <w:t>表</w:t>
            </w:r>
            <w:r>
              <w:rPr>
                <w:rFonts w:hint="default" w:ascii="Times New Roman" w:hAnsi="Times New Roman" w:eastAsia="宋体" w:cs="Times New Roman"/>
                <w:b/>
                <w:bCs/>
                <w:sz w:val="21"/>
                <w:szCs w:val="21"/>
                <w:highlight w:val="none"/>
                <w:u w:val="none" w:color="auto"/>
                <w:lang w:val="en-US" w:eastAsia="zh-CN" w:bidi="zh-CN"/>
              </w:rPr>
              <w:t>3.1-3</w:t>
            </w:r>
            <w:r>
              <w:rPr>
                <w:rFonts w:hint="default" w:ascii="Times New Roman" w:hAnsi="Times New Roman" w:eastAsia="宋体" w:cs="Times New Roman"/>
                <w:b/>
                <w:bCs/>
                <w:sz w:val="21"/>
                <w:szCs w:val="21"/>
                <w:highlight w:val="none"/>
                <w:u w:val="none" w:color="auto"/>
                <w:lang w:val="zh-CN" w:eastAsia="zh-CN" w:bidi="zh-CN"/>
              </w:rPr>
              <w:t>：大气环境质量现状</w:t>
            </w:r>
          </w:p>
          <w:tbl>
            <w:tblPr>
              <w:tblStyle w:val="28"/>
              <w:tblW w:w="7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2083"/>
              <w:gridCol w:w="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73" w:type="dxa"/>
                  <w:vMerge w:val="restart"/>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val="0"/>
                      <w:sz w:val="21"/>
                      <w:szCs w:val="21"/>
                      <w:highlight w:val="none"/>
                      <w:u w:val="none" w:color="auto"/>
                      <w:lang w:val="en-US" w:eastAsia="zh-CN"/>
                    </w:rPr>
                  </w:pPr>
                  <w:r>
                    <w:rPr>
                      <w:rFonts w:hint="default" w:ascii="Times New Roman" w:hAnsi="Times New Roman" w:cs="Times New Roman"/>
                      <w:b/>
                      <w:bCs w:val="0"/>
                      <w:sz w:val="21"/>
                      <w:szCs w:val="21"/>
                      <w:highlight w:val="none"/>
                      <w:u w:val="none" w:color="auto"/>
                      <w:lang w:val="en-US" w:eastAsia="zh-CN"/>
                    </w:rPr>
                    <w:t>点位名称</w:t>
                  </w:r>
                </w:p>
              </w:tc>
              <w:tc>
                <w:tcPr>
                  <w:tcW w:w="2083" w:type="dxa"/>
                  <w:vMerge w:val="restart"/>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val="0"/>
                      <w:sz w:val="21"/>
                      <w:szCs w:val="21"/>
                      <w:highlight w:val="none"/>
                      <w:u w:val="none" w:color="auto"/>
                      <w:lang w:val="en-US" w:eastAsia="zh-CN"/>
                    </w:rPr>
                  </w:pPr>
                  <w:r>
                    <w:rPr>
                      <w:rFonts w:hint="default" w:ascii="Times New Roman" w:hAnsi="Times New Roman" w:cs="Times New Roman"/>
                      <w:b/>
                      <w:bCs w:val="0"/>
                      <w:sz w:val="21"/>
                      <w:szCs w:val="21"/>
                      <w:highlight w:val="none"/>
                      <w:u w:val="none" w:color="auto"/>
                      <w:lang w:val="en-US" w:eastAsia="zh-CN"/>
                    </w:rPr>
                    <w:t>检测日期</w:t>
                  </w:r>
                </w:p>
              </w:tc>
              <w:tc>
                <w:tcPr>
                  <w:tcW w:w="4063" w:type="dxa"/>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val="0"/>
                      <w:sz w:val="21"/>
                      <w:szCs w:val="21"/>
                      <w:highlight w:val="none"/>
                      <w:u w:val="none" w:color="auto"/>
                      <w:lang w:val="en-US" w:eastAsia="zh-CN"/>
                    </w:rPr>
                  </w:pPr>
                  <w:r>
                    <w:rPr>
                      <w:rFonts w:hint="default" w:ascii="Times New Roman" w:hAnsi="Times New Roman" w:cs="Times New Roman"/>
                      <w:b/>
                      <w:bCs w:val="0"/>
                      <w:sz w:val="21"/>
                      <w:szCs w:val="21"/>
                      <w:highlight w:val="none"/>
                      <w:u w:val="none" w:color="auto"/>
                      <w:lang w:val="en-US" w:eastAsia="zh-CN"/>
                    </w:rPr>
                    <w:t>检测结果（μg/m</w:t>
                  </w:r>
                  <w:r>
                    <w:rPr>
                      <w:rFonts w:hint="default" w:ascii="Times New Roman" w:hAnsi="Times New Roman" w:cs="Times New Roman"/>
                      <w:b/>
                      <w:bCs w:val="0"/>
                      <w:sz w:val="21"/>
                      <w:szCs w:val="21"/>
                      <w:highlight w:val="none"/>
                      <w:u w:val="none" w:color="auto"/>
                      <w:vertAlign w:val="superscript"/>
                      <w:lang w:val="en-US" w:eastAsia="zh-CN"/>
                    </w:rPr>
                    <w:t>3</w:t>
                  </w:r>
                  <w:r>
                    <w:rPr>
                      <w:rFonts w:hint="default" w:ascii="Times New Roman" w:hAnsi="Times New Roman" w:cs="Times New Roman"/>
                      <w:b/>
                      <w:bCs w:val="0"/>
                      <w:sz w:val="21"/>
                      <w:szCs w:val="21"/>
                      <w:highlight w:val="none"/>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773" w:type="dxa"/>
                  <w:vMerge w:val="continue"/>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val="0"/>
                      <w:sz w:val="21"/>
                      <w:szCs w:val="21"/>
                      <w:highlight w:val="none"/>
                      <w:u w:val="none" w:color="auto"/>
                      <w:lang w:val="en-US" w:eastAsia="zh-CN"/>
                    </w:rPr>
                  </w:pPr>
                </w:p>
              </w:tc>
              <w:tc>
                <w:tcPr>
                  <w:tcW w:w="2083" w:type="dxa"/>
                  <w:vMerge w:val="continue"/>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val="0"/>
                      <w:sz w:val="21"/>
                      <w:szCs w:val="21"/>
                      <w:highlight w:val="none"/>
                      <w:u w:val="none" w:color="auto"/>
                      <w:lang w:val="en-US" w:eastAsia="zh-CN"/>
                    </w:rPr>
                  </w:pPr>
                </w:p>
              </w:tc>
              <w:tc>
                <w:tcPr>
                  <w:tcW w:w="4063" w:type="dxa"/>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val="0"/>
                      <w:sz w:val="21"/>
                      <w:szCs w:val="21"/>
                      <w:highlight w:val="none"/>
                      <w:u w:val="none" w:color="auto"/>
                      <w:lang w:val="en-US" w:eastAsia="zh-CN"/>
                    </w:rPr>
                  </w:pPr>
                  <w:r>
                    <w:rPr>
                      <w:rFonts w:hint="default" w:ascii="Times New Roman" w:hAnsi="Times New Roman" w:cs="Times New Roman"/>
                      <w:b/>
                      <w:bCs w:val="0"/>
                      <w:sz w:val="21"/>
                      <w:szCs w:val="21"/>
                      <w:highlight w:val="none"/>
                      <w:u w:val="none" w:color="auto"/>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73" w:type="dxa"/>
                  <w:vMerge w:val="restart"/>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Cs/>
                      <w:sz w:val="21"/>
                      <w:szCs w:val="21"/>
                      <w:u w:val="none" w:color="auto"/>
                      <w:lang w:eastAsia="zh-CN"/>
                    </w:rPr>
                    <w:t>项目</w:t>
                  </w:r>
                  <w:r>
                    <w:rPr>
                      <w:rFonts w:hint="default" w:ascii="Times New Roman" w:hAnsi="Times New Roman" w:cs="Times New Roman"/>
                      <w:bCs/>
                      <w:sz w:val="21"/>
                      <w:szCs w:val="21"/>
                      <w:u w:val="none" w:color="auto"/>
                      <w:lang w:val="en-US" w:eastAsia="zh-CN"/>
                    </w:rPr>
                    <w:t>拟建地西</w:t>
                  </w:r>
                  <w:r>
                    <w:rPr>
                      <w:rFonts w:hint="default" w:ascii="Times New Roman" w:hAnsi="Times New Roman" w:cs="Times New Roman"/>
                      <w:bCs/>
                      <w:sz w:val="21"/>
                      <w:szCs w:val="21"/>
                      <w:u w:val="none" w:color="auto"/>
                      <w:lang w:eastAsia="zh-CN"/>
                    </w:rPr>
                    <w:t>南侧</w:t>
                  </w:r>
                  <w:r>
                    <w:rPr>
                      <w:rFonts w:hint="default" w:ascii="Times New Roman" w:hAnsi="Times New Roman" w:cs="Times New Roman"/>
                      <w:bCs/>
                      <w:sz w:val="21"/>
                      <w:szCs w:val="21"/>
                      <w:u w:val="none" w:color="auto"/>
                      <w:lang w:val="en-US" w:eastAsia="zh-CN"/>
                    </w:rPr>
                    <w:t>206m处</w:t>
                  </w:r>
                  <w:r>
                    <w:rPr>
                      <w:rFonts w:hint="default" w:ascii="Times New Roman" w:hAnsi="Times New Roman" w:cs="Times New Roman"/>
                      <w:sz w:val="21"/>
                      <w:szCs w:val="21"/>
                      <w:u w:val="none" w:color="auto"/>
                      <w:lang w:val="en-US" w:eastAsia="zh-CN"/>
                    </w:rPr>
                    <w:t>红土溪村散户居民点</w:t>
                  </w:r>
                </w:p>
              </w:tc>
              <w:tc>
                <w:tcPr>
                  <w:tcW w:w="2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color w:val="000000"/>
                      <w:sz w:val="21"/>
                      <w:szCs w:val="21"/>
                      <w:u w:val="none" w:color="auto"/>
                      <w:lang w:val="en-US" w:eastAsia="zh-CN"/>
                    </w:rPr>
                    <w:t>2022.02.25</w:t>
                  </w:r>
                </w:p>
              </w:tc>
              <w:tc>
                <w:tcPr>
                  <w:tcW w:w="406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bCs w:val="0"/>
                      <w:sz w:val="21"/>
                      <w:szCs w:val="21"/>
                      <w:u w:val="none" w:color="auto"/>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73" w:type="dxa"/>
                  <w:vMerge w:val="continue"/>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p>
              </w:tc>
              <w:tc>
                <w:tcPr>
                  <w:tcW w:w="2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color w:val="000000"/>
                      <w:sz w:val="21"/>
                      <w:szCs w:val="21"/>
                      <w:u w:val="none" w:color="auto"/>
                      <w:lang w:val="en-US" w:eastAsia="zh-CN"/>
                    </w:rPr>
                    <w:t>2022.02.26</w:t>
                  </w:r>
                </w:p>
              </w:tc>
              <w:tc>
                <w:tcPr>
                  <w:tcW w:w="406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bCs w:val="0"/>
                      <w:sz w:val="21"/>
                      <w:szCs w:val="21"/>
                      <w:u w:val="none" w:color="auto"/>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73" w:type="dxa"/>
                  <w:vMerge w:val="continue"/>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p>
              </w:tc>
              <w:tc>
                <w:tcPr>
                  <w:tcW w:w="2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color w:val="000000"/>
                      <w:sz w:val="21"/>
                      <w:szCs w:val="21"/>
                      <w:u w:val="none" w:color="auto"/>
                      <w:lang w:val="en-US" w:eastAsia="zh-CN"/>
                    </w:rPr>
                    <w:t>2022.02.27</w:t>
                  </w:r>
                </w:p>
              </w:tc>
              <w:tc>
                <w:tcPr>
                  <w:tcW w:w="406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bCs w:val="0"/>
                      <w:sz w:val="21"/>
                      <w:szCs w:val="21"/>
                      <w:u w:val="none" w:color="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73" w:type="dxa"/>
                  <w:vMerge w:val="continue"/>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p>
              </w:tc>
              <w:tc>
                <w:tcPr>
                  <w:tcW w:w="2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color w:val="000000"/>
                      <w:sz w:val="21"/>
                      <w:szCs w:val="21"/>
                      <w:u w:val="none" w:color="auto"/>
                      <w:lang w:val="en-US" w:eastAsia="zh-CN"/>
                    </w:rPr>
                    <w:t>2022.02.28</w:t>
                  </w:r>
                </w:p>
              </w:tc>
              <w:tc>
                <w:tcPr>
                  <w:tcW w:w="406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bCs w:val="0"/>
                      <w:sz w:val="21"/>
                      <w:szCs w:val="21"/>
                      <w:u w:val="none" w:color="auto"/>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73" w:type="dxa"/>
                  <w:vMerge w:val="continue"/>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p>
              </w:tc>
              <w:tc>
                <w:tcPr>
                  <w:tcW w:w="2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color w:val="000000"/>
                      <w:sz w:val="21"/>
                      <w:szCs w:val="21"/>
                      <w:u w:val="none" w:color="auto"/>
                      <w:lang w:val="en-US" w:eastAsia="zh-CN"/>
                    </w:rPr>
                    <w:t>2022.03.01</w:t>
                  </w:r>
                </w:p>
              </w:tc>
              <w:tc>
                <w:tcPr>
                  <w:tcW w:w="406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bCs w:val="0"/>
                      <w:sz w:val="21"/>
                      <w:szCs w:val="21"/>
                      <w:u w:val="none" w:color="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73" w:type="dxa"/>
                  <w:vMerge w:val="continue"/>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p>
              </w:tc>
              <w:tc>
                <w:tcPr>
                  <w:tcW w:w="2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color w:val="000000"/>
                      <w:sz w:val="21"/>
                      <w:szCs w:val="21"/>
                      <w:u w:val="none" w:color="auto"/>
                      <w:lang w:val="en-US" w:eastAsia="zh-CN"/>
                    </w:rPr>
                    <w:t>2022.03.02</w:t>
                  </w:r>
                </w:p>
              </w:tc>
              <w:tc>
                <w:tcPr>
                  <w:tcW w:w="406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bCs w:val="0"/>
                      <w:sz w:val="21"/>
                      <w:szCs w:val="21"/>
                      <w:u w:val="none" w:color="auto"/>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73" w:type="dxa"/>
                  <w:vMerge w:val="continue"/>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p>
              </w:tc>
              <w:tc>
                <w:tcPr>
                  <w:tcW w:w="2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color w:val="000000"/>
                      <w:sz w:val="21"/>
                      <w:szCs w:val="21"/>
                      <w:u w:val="none" w:color="auto"/>
                      <w:lang w:val="en-US" w:eastAsia="zh-CN"/>
                    </w:rPr>
                    <w:t>2022.03.03</w:t>
                  </w:r>
                </w:p>
              </w:tc>
              <w:tc>
                <w:tcPr>
                  <w:tcW w:w="406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 w:val="0"/>
                      <w:bCs w:val="0"/>
                      <w:sz w:val="21"/>
                      <w:szCs w:val="21"/>
                      <w:u w:val="none" w:color="auto"/>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6" w:type="dxa"/>
                  <w:gridSpan w:val="2"/>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Cs/>
                      <w:sz w:val="21"/>
                      <w:szCs w:val="21"/>
                      <w:highlight w:val="none"/>
                      <w:u w:val="none" w:color="auto"/>
                      <w:lang w:val="en-US" w:eastAsia="zh-CN"/>
                    </w:rPr>
                    <w:t>标准限值</w:t>
                  </w:r>
                </w:p>
              </w:tc>
              <w:tc>
                <w:tcPr>
                  <w:tcW w:w="4063" w:type="dxa"/>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Cs/>
                      <w:sz w:val="21"/>
                      <w:szCs w:val="21"/>
                      <w:highlight w:val="none"/>
                      <w:u w:val="none" w:color="auto"/>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56" w:type="dxa"/>
                  <w:gridSpan w:val="2"/>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Cs/>
                      <w:sz w:val="21"/>
                      <w:szCs w:val="21"/>
                      <w:highlight w:val="none"/>
                      <w:u w:val="none" w:color="auto"/>
                      <w:lang w:val="en-US" w:eastAsia="zh-CN"/>
                    </w:rPr>
                    <w:t>是否达标</w:t>
                  </w:r>
                </w:p>
              </w:tc>
              <w:tc>
                <w:tcPr>
                  <w:tcW w:w="4063" w:type="dxa"/>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highlight w:val="none"/>
                      <w:u w:val="none" w:color="auto"/>
                      <w:lang w:val="en-US" w:eastAsia="zh-CN"/>
                    </w:rPr>
                  </w:pPr>
                  <w:r>
                    <w:rPr>
                      <w:rFonts w:hint="default" w:ascii="Times New Roman" w:hAnsi="Times New Roman" w:cs="Times New Roman"/>
                      <w:bCs/>
                      <w:sz w:val="21"/>
                      <w:szCs w:val="21"/>
                      <w:highlight w:val="none"/>
                      <w:u w:val="none" w:color="auto"/>
                      <w:lang w:val="en-US" w:eastAsia="zh-CN"/>
                    </w:rPr>
                    <w:t>达标</w:t>
                  </w:r>
                </w:p>
              </w:tc>
            </w:tr>
          </w:tbl>
          <w:p>
            <w:pPr>
              <w:bidi w:val="0"/>
              <w:rPr>
                <w:rFonts w:hint="default" w:ascii="Times New Roman" w:hAnsi="Times New Roman" w:cs="Times New Roman"/>
                <w:u w:val="none" w:color="auto"/>
              </w:rPr>
            </w:pPr>
            <w:r>
              <w:rPr>
                <w:rFonts w:ascii="Times New Roman" w:hAnsi="Times New Roman" w:cs="Times New Roman"/>
                <w:u w:val="none" w:color="auto"/>
              </w:rPr>
              <w:t>由上表可知，</w:t>
            </w:r>
            <w:r>
              <w:rPr>
                <w:rFonts w:hint="default" w:ascii="Times New Roman" w:hAnsi="Times New Roman" w:cs="Times New Roman"/>
                <w:u w:val="none" w:color="auto"/>
                <w:lang w:val="en-US" w:eastAsia="zh-CN"/>
              </w:rPr>
              <w:t>G</w:t>
            </w:r>
            <w:r>
              <w:rPr>
                <w:rFonts w:ascii="Times New Roman" w:hAnsi="Times New Roman" w:cs="Times New Roman"/>
                <w:u w:val="none" w:color="auto"/>
              </w:rPr>
              <w:t>1监测点</w:t>
            </w:r>
            <w:r>
              <w:rPr>
                <w:rFonts w:hint="default" w:ascii="Times New Roman" w:hAnsi="Times New Roman" w:cs="Times New Roman"/>
                <w:u w:val="none" w:color="auto"/>
              </w:rPr>
              <w:t>TSP24小时</w:t>
            </w:r>
            <w:r>
              <w:rPr>
                <w:rFonts w:ascii="Times New Roman" w:hAnsi="Times New Roman" w:cs="Times New Roman"/>
                <w:u w:val="none" w:color="auto"/>
              </w:rPr>
              <w:t>平均浓度值</w:t>
            </w:r>
            <w:r>
              <w:rPr>
                <w:rFonts w:hint="default" w:ascii="Times New Roman" w:hAnsi="Times New Roman" w:cs="Times New Roman"/>
                <w:u w:val="none" w:color="auto"/>
                <w:lang w:eastAsia="zh-CN"/>
              </w:rPr>
              <w:t>满足</w:t>
            </w:r>
            <w:r>
              <w:rPr>
                <w:rFonts w:ascii="Times New Roman" w:hAnsi="Times New Roman" w:cs="Times New Roman"/>
                <w:u w:val="none" w:color="auto"/>
              </w:rPr>
              <w:t>《环境空气质量标准》（GB3095-2012）</w:t>
            </w:r>
            <w:r>
              <w:rPr>
                <w:rFonts w:hint="default" w:ascii="Times New Roman" w:hAnsi="Times New Roman" w:cs="Times New Roman"/>
                <w:u w:val="none" w:color="auto"/>
                <w:lang w:eastAsia="zh-CN"/>
              </w:rPr>
              <w:t>及</w:t>
            </w:r>
            <w:r>
              <w:rPr>
                <w:rFonts w:hint="default" w:ascii="Times New Roman" w:hAnsi="Times New Roman" w:cs="Times New Roman"/>
                <w:u w:val="none" w:color="auto"/>
                <w:lang w:val="en-US" w:eastAsia="zh-CN"/>
              </w:rPr>
              <w:t>2018年修改单</w:t>
            </w:r>
            <w:r>
              <w:rPr>
                <w:rFonts w:hint="default" w:ascii="Times New Roman" w:hAnsi="Times New Roman" w:cs="Times New Roman"/>
                <w:u w:val="none" w:color="auto"/>
              </w:rPr>
              <w:t>中的二级标准要求</w:t>
            </w:r>
            <w:r>
              <w:rPr>
                <w:rFonts w:hint="default" w:ascii="Times New Roman" w:hAnsi="Times New Roman" w:cs="Times New Roman"/>
                <w:u w:val="none" w:color="auto"/>
                <w:lang w:val="en-US" w:eastAsia="zh-CN"/>
              </w:rPr>
              <w:t>。拟建项目</w:t>
            </w:r>
            <w:r>
              <w:rPr>
                <w:rFonts w:hint="default" w:ascii="Times New Roman" w:hAnsi="Times New Roman" w:cs="Times New Roman"/>
                <w:u w:val="none" w:color="auto"/>
              </w:rPr>
              <w:t>区域现状环境空气质量良好。</w:t>
            </w:r>
          </w:p>
          <w:p>
            <w:pPr>
              <w:keepNext/>
              <w:keepLines/>
              <w:pageBreakBefore w:val="0"/>
              <w:widowControl w:val="0"/>
              <w:kinsoku/>
              <w:wordWrap w:val="0"/>
              <w:overflowPunct/>
              <w:topLinePunct/>
              <w:bidi w:val="0"/>
              <w:spacing w:before="160" w:after="160" w:line="240" w:lineRule="auto"/>
              <w:ind w:left="120" w:leftChars="50" w:right="120" w:rightChars="50" w:firstLine="482" w:firstLineChars="200"/>
              <w:outlineLvl w:val="3"/>
              <w:rPr>
                <w:rFonts w:hint="default" w:ascii="Times New Roman" w:hAnsi="Times New Roman" w:eastAsia="宋体" w:cs="Times New Roman"/>
                <w:b/>
                <w:sz w:val="24"/>
                <w:szCs w:val="28"/>
                <w:highlight w:val="none"/>
                <w:u w:val="none" w:color="auto"/>
                <w:lang w:val="en-US" w:eastAsia="zh-CN" w:bidi="zh-CN"/>
              </w:rPr>
            </w:pPr>
            <w:r>
              <w:rPr>
                <w:rFonts w:hint="default" w:ascii="Times New Roman" w:hAnsi="Times New Roman" w:eastAsia="宋体" w:cs="Times New Roman"/>
                <w:b/>
                <w:sz w:val="24"/>
                <w:szCs w:val="28"/>
                <w:highlight w:val="none"/>
                <w:u w:val="none" w:color="auto"/>
                <w:lang w:val="en-US" w:eastAsia="zh-CN" w:bidi="zh-CN"/>
              </w:rPr>
              <w:t>3.1.1.3现</w:t>
            </w:r>
            <w:r>
              <w:rPr>
                <w:rFonts w:hint="default" w:ascii="Times New Roman" w:hAnsi="Times New Roman" w:eastAsia="宋体" w:cs="Times New Roman"/>
                <w:b/>
                <w:sz w:val="24"/>
                <w:szCs w:val="28"/>
                <w:highlight w:val="none"/>
                <w:u w:val="none" w:color="auto"/>
                <w:lang w:val="zh-CN" w:eastAsia="zh-CN" w:bidi="zh-CN"/>
              </w:rPr>
              <w:t>状</w:t>
            </w:r>
            <w:r>
              <w:rPr>
                <w:rFonts w:hint="default" w:ascii="Times New Roman" w:hAnsi="Times New Roman" w:cs="Times New Roman"/>
                <w:b/>
                <w:sz w:val="24"/>
                <w:szCs w:val="28"/>
                <w:highlight w:val="none"/>
                <w:u w:val="none" w:color="auto"/>
                <w:lang w:val="en-US" w:eastAsia="zh-CN" w:bidi="zh-CN"/>
              </w:rPr>
              <w:t>补充</w:t>
            </w:r>
            <w:r>
              <w:rPr>
                <w:rFonts w:hint="default" w:ascii="Times New Roman" w:hAnsi="Times New Roman" w:eastAsia="宋体" w:cs="Times New Roman"/>
                <w:b/>
                <w:sz w:val="24"/>
                <w:szCs w:val="28"/>
                <w:highlight w:val="none"/>
                <w:u w:val="none" w:color="auto"/>
                <w:lang w:val="zh-CN" w:eastAsia="zh-CN" w:bidi="zh-CN"/>
              </w:rPr>
              <w:t>监测</w:t>
            </w:r>
          </w:p>
          <w:p>
            <w:pPr>
              <w:topLinePunct w:val="0"/>
              <w:autoSpaceDE w:val="0"/>
              <w:autoSpaceDN w:val="0"/>
              <w:ind w:left="120" w:leftChars="50" w:right="120" w:rightChars="50" w:firstLine="480"/>
              <w:rPr>
                <w:rFonts w:ascii="Times New Roman" w:hAnsi="Times New Roman" w:cs="Times New Roman"/>
                <w:u w:val="none" w:color="auto"/>
              </w:rPr>
            </w:pPr>
            <w:r>
              <w:rPr>
                <w:rFonts w:hint="default" w:ascii="Times New Roman" w:hAnsi="Times New Roman" w:cs="Times New Roman"/>
                <w:u w:val="none" w:color="auto"/>
              </w:rPr>
              <w:t>为进一步了解项目区域氨、硫化氢环境质量现状，</w:t>
            </w:r>
            <w:r>
              <w:rPr>
                <w:rFonts w:ascii="Times New Roman" w:hAnsi="Times New Roman" w:cs="Times New Roman"/>
                <w:u w:val="none" w:color="auto"/>
              </w:rPr>
              <w:t>202</w:t>
            </w:r>
            <w:r>
              <w:rPr>
                <w:rFonts w:hint="default" w:ascii="Times New Roman" w:hAnsi="Times New Roman" w:cs="Times New Roman"/>
                <w:u w:val="none" w:color="auto"/>
                <w:lang w:val="en-US" w:eastAsia="zh-CN"/>
              </w:rPr>
              <w:t>3</w:t>
            </w:r>
            <w:r>
              <w:rPr>
                <w:rFonts w:hint="default" w:ascii="Times New Roman" w:hAnsi="Times New Roman" w:cs="Times New Roman"/>
                <w:u w:val="none" w:color="auto"/>
              </w:rPr>
              <w:t>年</w:t>
            </w:r>
            <w:r>
              <w:rPr>
                <w:rFonts w:hint="default" w:ascii="Times New Roman" w:hAnsi="Times New Roman" w:cs="Times New Roman"/>
                <w:u w:val="none" w:color="auto"/>
                <w:lang w:val="en-US" w:eastAsia="zh-CN"/>
              </w:rPr>
              <w:t>7</w:t>
            </w:r>
            <w:r>
              <w:rPr>
                <w:rFonts w:hint="default" w:ascii="Times New Roman" w:hAnsi="Times New Roman" w:cs="Times New Roman"/>
                <w:u w:val="none" w:color="auto"/>
              </w:rPr>
              <w:t>月</w:t>
            </w:r>
            <w:r>
              <w:rPr>
                <w:rFonts w:hint="default" w:ascii="Times New Roman" w:hAnsi="Times New Roman" w:cs="Times New Roman"/>
                <w:u w:val="none" w:color="auto"/>
                <w:lang w:val="en-US" w:eastAsia="zh-CN"/>
              </w:rPr>
              <w:t>1</w:t>
            </w:r>
            <w:r>
              <w:rPr>
                <w:rFonts w:hint="default" w:ascii="Times New Roman" w:hAnsi="Times New Roman" w:cs="Times New Roman"/>
                <w:u w:val="none" w:color="auto"/>
              </w:rPr>
              <w:t>日—</w:t>
            </w:r>
            <w:r>
              <w:rPr>
                <w:rFonts w:hint="default" w:ascii="Times New Roman" w:hAnsi="Times New Roman" w:cs="Times New Roman"/>
                <w:u w:val="none" w:color="auto"/>
                <w:lang w:val="en-US" w:eastAsia="zh-CN"/>
              </w:rPr>
              <w:t>7</w:t>
            </w:r>
            <w:r>
              <w:rPr>
                <w:rFonts w:hint="default" w:ascii="Times New Roman" w:hAnsi="Times New Roman" w:cs="Times New Roman"/>
                <w:u w:val="none" w:color="auto"/>
                <w:lang w:val="en-US"/>
              </w:rPr>
              <w:t>月</w:t>
            </w:r>
            <w:r>
              <w:rPr>
                <w:rFonts w:hint="default" w:ascii="Times New Roman" w:hAnsi="Times New Roman" w:cs="Times New Roman"/>
                <w:u w:val="none" w:color="auto"/>
                <w:lang w:val="en-US" w:eastAsia="zh-CN"/>
              </w:rPr>
              <w:t>3</w:t>
            </w:r>
            <w:r>
              <w:rPr>
                <w:rFonts w:hint="default" w:ascii="Times New Roman" w:hAnsi="Times New Roman" w:cs="Times New Roman"/>
                <w:u w:val="none" w:color="auto"/>
              </w:rPr>
              <w:t>日，委托湖南昌旭环保科技有限公司在项目</w:t>
            </w:r>
            <w:r>
              <w:rPr>
                <w:rFonts w:hint="default" w:ascii="Times New Roman" w:hAnsi="Times New Roman" w:cs="Times New Roman"/>
                <w:u w:val="none" w:color="auto"/>
                <w:lang w:val="en-US" w:eastAsia="zh-CN"/>
              </w:rPr>
              <w:t>所在</w:t>
            </w:r>
            <w:r>
              <w:rPr>
                <w:rFonts w:hint="default" w:ascii="Times New Roman" w:hAnsi="Times New Roman" w:cs="Times New Roman"/>
                <w:u w:val="none" w:color="auto"/>
              </w:rPr>
              <w:t>地进行监测，具体监测情况见下表</w:t>
            </w:r>
            <w:r>
              <w:rPr>
                <w:rFonts w:ascii="Times New Roman" w:hAnsi="Times New Roman" w:cs="Times New Roman"/>
                <w:u w:val="none" w:color="auto"/>
                <w:lang w:val="en-US"/>
              </w:rPr>
              <w:t>3</w:t>
            </w:r>
            <w:r>
              <w:rPr>
                <w:rFonts w:hint="eastAsia" w:ascii="Times New Roman" w:hAnsi="Times New Roman" w:cs="Times New Roman"/>
                <w:u w:val="none" w:color="auto"/>
                <w:lang w:val="en-US" w:eastAsia="zh-CN"/>
              </w:rPr>
              <w:t>.1-4</w:t>
            </w:r>
            <w:r>
              <w:rPr>
                <w:rFonts w:hint="default" w:ascii="Times New Roman" w:hAnsi="Times New Roman" w:cs="Times New Roman"/>
                <w:u w:val="none" w:color="auto"/>
              </w:rPr>
              <w:t>。</w:t>
            </w:r>
          </w:p>
          <w:p>
            <w:pPr>
              <w:widowControl/>
              <w:spacing w:before="120" w:after="120" w:line="240" w:lineRule="auto"/>
              <w:ind w:left="120" w:leftChars="50" w:right="120" w:rightChars="50" w:firstLine="0" w:firstLineChars="0"/>
              <w:jc w:val="center"/>
              <w:rPr>
                <w:rFonts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表</w:t>
            </w:r>
            <w:r>
              <w:rPr>
                <w:rFonts w:ascii="Times New Roman" w:hAnsi="Times New Roman" w:cs="Times New Roman"/>
                <w:b/>
                <w:bCs/>
                <w:sz w:val="21"/>
                <w:szCs w:val="21"/>
                <w:u w:val="none" w:color="auto"/>
                <w:lang w:val="en-US"/>
              </w:rPr>
              <w:t>3</w:t>
            </w:r>
            <w:r>
              <w:rPr>
                <w:rFonts w:hint="eastAsia" w:ascii="Times New Roman" w:hAnsi="Times New Roman" w:cs="Times New Roman"/>
                <w:b/>
                <w:bCs/>
                <w:sz w:val="21"/>
                <w:szCs w:val="21"/>
                <w:u w:val="none" w:color="auto"/>
                <w:lang w:val="en-US" w:eastAsia="zh-CN"/>
              </w:rPr>
              <w:t>.1-4</w:t>
            </w:r>
            <w:r>
              <w:rPr>
                <w:rFonts w:hint="default" w:ascii="Times New Roman" w:hAnsi="Times New Roman" w:cs="Times New Roman"/>
                <w:b/>
                <w:bCs/>
                <w:sz w:val="21"/>
                <w:szCs w:val="21"/>
                <w:u w:val="none" w:color="auto"/>
              </w:rPr>
              <w:t>大气环境现状监测点位</w:t>
            </w:r>
          </w:p>
          <w:tbl>
            <w:tblPr>
              <w:tblStyle w:val="28"/>
              <w:tblW w:w="4965"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975"/>
              <w:gridCol w:w="1603"/>
              <w:gridCol w:w="2496"/>
              <w:gridCol w:w="314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93" w:type="pct"/>
                  <w:tcBorders>
                    <w:tl2br w:val="nil"/>
                    <w:tr2bl w:val="nil"/>
                  </w:tcBorders>
                  <w:noWrap w:val="0"/>
                  <w:vAlign w:val="center"/>
                </w:tcPr>
                <w:p>
                  <w:pPr>
                    <w:pStyle w:val="51"/>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序号</w:t>
                  </w:r>
                </w:p>
              </w:tc>
              <w:tc>
                <w:tcPr>
                  <w:tcW w:w="975" w:type="pct"/>
                  <w:tcBorders>
                    <w:tl2br w:val="nil"/>
                    <w:tr2bl w:val="nil"/>
                  </w:tcBorders>
                  <w:noWrap w:val="0"/>
                  <w:vAlign w:val="center"/>
                </w:tcPr>
                <w:p>
                  <w:pPr>
                    <w:pStyle w:val="51"/>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监测点位</w:t>
                  </w:r>
                </w:p>
              </w:tc>
              <w:tc>
                <w:tcPr>
                  <w:tcW w:w="1518" w:type="pct"/>
                  <w:tcBorders>
                    <w:tl2br w:val="nil"/>
                    <w:tr2bl w:val="nil"/>
                  </w:tcBorders>
                  <w:noWrap w:val="0"/>
                  <w:vAlign w:val="center"/>
                </w:tcPr>
                <w:p>
                  <w:pPr>
                    <w:pStyle w:val="51"/>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lang w:eastAsia="zh-CN"/>
                    </w:rPr>
                    <w:t>方位及</w:t>
                  </w:r>
                  <w:r>
                    <w:rPr>
                      <w:rFonts w:hint="default" w:ascii="Times New Roman" w:hAnsi="Times New Roman" w:eastAsia="宋体" w:cs="Times New Roman"/>
                      <w:b/>
                      <w:bCs/>
                      <w:u w:val="none" w:color="auto"/>
                    </w:rPr>
                    <w:t>距离(m)</w:t>
                  </w:r>
                </w:p>
              </w:tc>
              <w:tc>
                <w:tcPr>
                  <w:tcW w:w="1912" w:type="pct"/>
                  <w:tcBorders>
                    <w:tl2br w:val="nil"/>
                    <w:tr2bl w:val="nil"/>
                  </w:tcBorders>
                  <w:noWrap w:val="0"/>
                  <w:vAlign w:val="center"/>
                </w:tcPr>
                <w:p>
                  <w:pPr>
                    <w:pStyle w:val="51"/>
                    <w:bidi w:val="0"/>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监测因子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93" w:type="pct"/>
                  <w:tcBorders>
                    <w:tl2br w:val="nil"/>
                    <w:tr2bl w:val="nil"/>
                  </w:tcBorders>
                  <w:noWrap w:val="0"/>
                  <w:vAlign w:val="center"/>
                </w:tcPr>
                <w:p>
                  <w:pPr>
                    <w:pStyle w:val="51"/>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S1</w:t>
                  </w:r>
                </w:p>
              </w:tc>
              <w:tc>
                <w:tcPr>
                  <w:tcW w:w="975" w:type="pct"/>
                  <w:tcBorders>
                    <w:tl2br w:val="nil"/>
                    <w:tr2bl w:val="nil"/>
                  </w:tcBorders>
                  <w:noWrap w:val="0"/>
                  <w:vAlign w:val="center"/>
                </w:tcPr>
                <w:p>
                  <w:pPr>
                    <w:pStyle w:val="51"/>
                    <w:bidi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项目所在地</w:t>
                  </w:r>
                </w:p>
              </w:tc>
              <w:tc>
                <w:tcPr>
                  <w:tcW w:w="1518" w:type="pct"/>
                  <w:tcBorders>
                    <w:tl2br w:val="nil"/>
                    <w:tr2bl w:val="nil"/>
                  </w:tcBorders>
                  <w:noWrap w:val="0"/>
                  <w:vAlign w:val="center"/>
                </w:tcPr>
                <w:p>
                  <w:pPr>
                    <w:pStyle w:val="51"/>
                    <w:bidi w:val="0"/>
                    <w:ind w:firstLine="0" w:firstLineChars="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t>
                  </w:r>
                </w:p>
              </w:tc>
              <w:tc>
                <w:tcPr>
                  <w:tcW w:w="1912" w:type="pct"/>
                  <w:tcBorders>
                    <w:tl2br w:val="nil"/>
                    <w:tr2bl w:val="nil"/>
                  </w:tcBorders>
                  <w:noWrap w:val="0"/>
                  <w:vAlign w:val="center"/>
                </w:tcPr>
                <w:p>
                  <w:pPr>
                    <w:pStyle w:val="51"/>
                    <w:bidi w:val="0"/>
                    <w:rPr>
                      <w:rFonts w:hint="default" w:ascii="Times New Roman" w:hAnsi="Times New Roman" w:eastAsia="宋体" w:cs="Times New Roman"/>
                      <w:u w:val="none" w:color="auto"/>
                      <w:lang w:eastAsia="zh-CN"/>
                    </w:rPr>
                  </w:pPr>
                  <w:r>
                    <w:rPr>
                      <w:rFonts w:hint="default" w:ascii="Times New Roman" w:hAnsi="Times New Roman" w:eastAsia="宋体" w:cs="Times New Roman"/>
                      <w:u w:val="none" w:color="auto"/>
                    </w:rPr>
                    <w:t>NH</w:t>
                  </w:r>
                  <w:r>
                    <w:rPr>
                      <w:rFonts w:hint="default" w:ascii="Times New Roman" w:hAnsi="Times New Roman" w:eastAsia="宋体" w:cs="Times New Roman"/>
                      <w:u w:val="none" w:color="auto"/>
                      <w:vertAlign w:val="subscript"/>
                    </w:rPr>
                    <w:t>3</w:t>
                  </w:r>
                  <w:r>
                    <w:rPr>
                      <w:rFonts w:hint="default" w:ascii="Times New Roman" w:hAnsi="Times New Roman" w:eastAsia="宋体" w:cs="Times New Roman"/>
                      <w:u w:val="none" w:color="auto"/>
                    </w:rPr>
                    <w:t>、H</w:t>
                  </w:r>
                  <w:r>
                    <w:rPr>
                      <w:rFonts w:hint="default" w:ascii="Times New Roman" w:hAnsi="Times New Roman" w:eastAsia="宋体" w:cs="Times New Roman"/>
                      <w:u w:val="none" w:color="auto"/>
                      <w:vertAlign w:val="subscript"/>
                    </w:rPr>
                    <w:t>2</w:t>
                  </w:r>
                  <w:r>
                    <w:rPr>
                      <w:rFonts w:hint="default" w:ascii="Times New Roman" w:hAnsi="Times New Roman" w:eastAsia="宋体" w:cs="Times New Roman"/>
                      <w:u w:val="none" w:color="auto"/>
                    </w:rPr>
                    <w:t>S</w:t>
                  </w:r>
                </w:p>
              </w:tc>
            </w:tr>
          </w:tbl>
          <w:p>
            <w:pPr>
              <w:ind w:left="120" w:leftChars="50" w:right="120" w:rightChars="50" w:firstLine="480"/>
              <w:rPr>
                <w:rFonts w:ascii="Times New Roman" w:hAnsi="Times New Roman" w:cs="Times New Roman"/>
                <w:u w:val="none" w:color="auto"/>
              </w:rPr>
            </w:pPr>
            <w:r>
              <w:rPr>
                <w:rFonts w:hint="default" w:ascii="Times New Roman" w:hAnsi="Times New Roman" w:cs="Times New Roman"/>
                <w:u w:val="none" w:color="auto"/>
              </w:rPr>
              <w:t>监测数据结果见表</w:t>
            </w:r>
            <w:r>
              <w:rPr>
                <w:rFonts w:ascii="Times New Roman" w:hAnsi="Times New Roman" w:cs="Times New Roman"/>
                <w:u w:val="none" w:color="auto"/>
                <w:lang w:val="en-US"/>
              </w:rPr>
              <w:t>3</w:t>
            </w:r>
            <w:r>
              <w:rPr>
                <w:rFonts w:hint="eastAsia" w:ascii="Times New Roman" w:hAnsi="Times New Roman" w:cs="Times New Roman"/>
                <w:u w:val="none" w:color="auto"/>
                <w:lang w:val="en-US" w:eastAsia="zh-CN"/>
              </w:rPr>
              <w:t>.1-6</w:t>
            </w:r>
            <w:r>
              <w:rPr>
                <w:rFonts w:hint="default" w:ascii="Times New Roman" w:hAnsi="Times New Roman" w:cs="Times New Roman"/>
                <w:u w:val="none" w:color="auto"/>
              </w:rPr>
              <w:t>。</w:t>
            </w:r>
          </w:p>
          <w:p>
            <w:pPr>
              <w:pStyle w:val="25"/>
              <w:rPr>
                <w:rFonts w:ascii="Times New Roman" w:hAnsi="Times New Roman" w:cs="Times New Roman"/>
                <w:u w:val="none" w:color="auto"/>
              </w:rPr>
            </w:pPr>
            <w:r>
              <w:rPr>
                <w:rFonts w:hint="default" w:ascii="Times New Roman" w:hAnsi="Times New Roman" w:cs="Times New Roman"/>
                <w:u w:val="none" w:color="auto"/>
              </w:rPr>
              <w:t>表</w:t>
            </w:r>
            <w:r>
              <w:rPr>
                <w:rFonts w:hint="eastAsia" w:ascii="Times New Roman" w:hAnsi="Times New Roman" w:cs="Times New Roman"/>
                <w:u w:val="none" w:color="auto"/>
                <w:lang w:val="en-US" w:eastAsia="zh-CN"/>
              </w:rPr>
              <w:t>3.1-5</w:t>
            </w:r>
            <w:r>
              <w:rPr>
                <w:rFonts w:hint="default" w:ascii="Times New Roman" w:hAnsi="Times New Roman" w:cs="Times New Roman"/>
                <w:u w:val="none" w:color="auto"/>
              </w:rPr>
              <w:t>：环境空气采样气象参数记录表</w:t>
            </w:r>
          </w:p>
          <w:tbl>
            <w:tblPr>
              <w:tblStyle w:val="28"/>
              <w:tblW w:w="493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86"/>
              <w:gridCol w:w="772"/>
              <w:gridCol w:w="829"/>
              <w:gridCol w:w="1274"/>
              <w:gridCol w:w="1348"/>
              <w:gridCol w:w="1330"/>
              <w:gridCol w:w="12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847"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hint="default" w:ascii="Times New Roman" w:hAnsi="Times New Roman" w:cs="Times New Roman"/>
                      <w:b/>
                      <w:bCs/>
                      <w:u w:val="none" w:color="auto"/>
                      <w:lang w:val="en-US" w:eastAsia="zh-CN"/>
                    </w:rPr>
                    <w:t>采样日期</w:t>
                  </w:r>
                </w:p>
              </w:tc>
              <w:tc>
                <w:tcPr>
                  <w:tcW w:w="472"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ascii="Times New Roman" w:hAnsi="Times New Roman" w:cs="Times New Roman"/>
                      <w:b/>
                      <w:bCs/>
                      <w:u w:val="none" w:color="auto"/>
                    </w:rPr>
                    <w:t>天气</w:t>
                  </w:r>
                </w:p>
              </w:tc>
              <w:tc>
                <w:tcPr>
                  <w:tcW w:w="507"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ascii="Times New Roman" w:hAnsi="Times New Roman" w:cs="Times New Roman"/>
                      <w:b/>
                      <w:bCs/>
                      <w:u w:val="none" w:color="auto"/>
                    </w:rPr>
                    <w:t>风向</w:t>
                  </w:r>
                </w:p>
              </w:tc>
              <w:tc>
                <w:tcPr>
                  <w:tcW w:w="779"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ascii="Times New Roman" w:hAnsi="Times New Roman" w:cs="Times New Roman"/>
                      <w:b/>
                      <w:bCs/>
                      <w:u w:val="none" w:color="auto"/>
                    </w:rPr>
                    <w:t>风速(m/s)</w:t>
                  </w:r>
                </w:p>
              </w:tc>
              <w:tc>
                <w:tcPr>
                  <w:tcW w:w="824"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ascii="Times New Roman" w:hAnsi="Times New Roman" w:cs="Times New Roman"/>
                      <w:b/>
                      <w:bCs/>
                      <w:u w:val="none" w:color="auto"/>
                    </w:rPr>
                    <w:t>气温(℃)</w:t>
                  </w:r>
                </w:p>
              </w:tc>
              <w:tc>
                <w:tcPr>
                  <w:tcW w:w="813"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ascii="Times New Roman" w:hAnsi="Times New Roman" w:cs="Times New Roman"/>
                      <w:b/>
                      <w:bCs/>
                      <w:u w:val="none" w:color="auto"/>
                    </w:rPr>
                    <w:t>气压(kPa)</w:t>
                  </w:r>
                </w:p>
              </w:tc>
              <w:tc>
                <w:tcPr>
                  <w:tcW w:w="755"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ascii="Times New Roman" w:hAnsi="Times New Roman" w:cs="Times New Roman"/>
                      <w:b/>
                      <w:bCs/>
                      <w:u w:val="none" w:color="auto"/>
                    </w:rPr>
                    <w:t>湿度(%)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847"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2023.07.01</w:t>
                  </w:r>
                </w:p>
              </w:tc>
              <w:tc>
                <w:tcPr>
                  <w:tcW w:w="472"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晴</w:t>
                  </w:r>
                </w:p>
              </w:tc>
              <w:tc>
                <w:tcPr>
                  <w:tcW w:w="507"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东北</w:t>
                  </w:r>
                </w:p>
              </w:tc>
              <w:tc>
                <w:tcPr>
                  <w:tcW w:w="779"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1.4</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1.6</w:t>
                  </w:r>
                </w:p>
              </w:tc>
              <w:tc>
                <w:tcPr>
                  <w:tcW w:w="824"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26.7</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33.5</w:t>
                  </w:r>
                </w:p>
              </w:tc>
              <w:tc>
                <w:tcPr>
                  <w:tcW w:w="813"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97.1</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97.2</w:t>
                  </w:r>
                </w:p>
              </w:tc>
              <w:tc>
                <w:tcPr>
                  <w:tcW w:w="755"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57</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847"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2023.07.02</w:t>
                  </w:r>
                </w:p>
              </w:tc>
              <w:tc>
                <w:tcPr>
                  <w:tcW w:w="472"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晴</w:t>
                  </w:r>
                </w:p>
              </w:tc>
              <w:tc>
                <w:tcPr>
                  <w:tcW w:w="507"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东北</w:t>
                  </w:r>
                </w:p>
              </w:tc>
              <w:tc>
                <w:tcPr>
                  <w:tcW w:w="779"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1.4</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1.5</w:t>
                  </w:r>
                </w:p>
              </w:tc>
              <w:tc>
                <w:tcPr>
                  <w:tcW w:w="824"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24.6</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32.5</w:t>
                  </w:r>
                </w:p>
              </w:tc>
              <w:tc>
                <w:tcPr>
                  <w:tcW w:w="813"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96.9</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97.0</w:t>
                  </w:r>
                </w:p>
              </w:tc>
              <w:tc>
                <w:tcPr>
                  <w:tcW w:w="755"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63</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847"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2023.07.03</w:t>
                  </w:r>
                </w:p>
              </w:tc>
              <w:tc>
                <w:tcPr>
                  <w:tcW w:w="472"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晴</w:t>
                  </w:r>
                </w:p>
              </w:tc>
              <w:tc>
                <w:tcPr>
                  <w:tcW w:w="507"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东北</w:t>
                  </w:r>
                </w:p>
              </w:tc>
              <w:tc>
                <w:tcPr>
                  <w:tcW w:w="779"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1.4</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1.6</w:t>
                  </w:r>
                </w:p>
              </w:tc>
              <w:tc>
                <w:tcPr>
                  <w:tcW w:w="824"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27.1</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33.5</w:t>
                  </w:r>
                </w:p>
              </w:tc>
              <w:tc>
                <w:tcPr>
                  <w:tcW w:w="813"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96.8</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96.9</w:t>
                  </w:r>
                </w:p>
              </w:tc>
              <w:tc>
                <w:tcPr>
                  <w:tcW w:w="755"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71</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72</w:t>
                  </w:r>
                </w:p>
              </w:tc>
            </w:tr>
          </w:tbl>
          <w:p>
            <w:pPr>
              <w:widowControl/>
              <w:spacing w:before="120" w:after="120" w:line="240" w:lineRule="auto"/>
              <w:ind w:left="120" w:leftChars="50" w:right="120" w:rightChars="50" w:firstLine="0" w:firstLineChars="0"/>
              <w:jc w:val="center"/>
              <w:rPr>
                <w:rFonts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表</w:t>
            </w:r>
            <w:r>
              <w:rPr>
                <w:rFonts w:hint="eastAsia" w:ascii="Times New Roman" w:hAnsi="Times New Roman" w:cs="Times New Roman"/>
                <w:b/>
                <w:bCs/>
                <w:sz w:val="21"/>
                <w:szCs w:val="21"/>
                <w:u w:val="none" w:color="auto"/>
                <w:lang w:val="en-US" w:eastAsia="zh-CN"/>
              </w:rPr>
              <w:t>3.1-6</w:t>
            </w:r>
            <w:r>
              <w:rPr>
                <w:rFonts w:ascii="Times New Roman" w:hAnsi="Times New Roman" w:cs="Times New Roman"/>
                <w:b/>
                <w:bCs/>
                <w:sz w:val="21"/>
                <w:szCs w:val="21"/>
                <w:u w:val="none" w:color="auto"/>
                <w:lang w:val="en-US"/>
              </w:rPr>
              <w:t xml:space="preserve"> </w:t>
            </w:r>
            <w:r>
              <w:rPr>
                <w:rFonts w:hint="default" w:ascii="Times New Roman" w:hAnsi="Times New Roman" w:cs="Times New Roman"/>
                <w:b/>
                <w:bCs/>
                <w:sz w:val="21"/>
                <w:szCs w:val="21"/>
                <w:u w:val="none" w:color="auto"/>
              </w:rPr>
              <w:t>大气环境质量现状</w:t>
            </w:r>
          </w:p>
          <w:tbl>
            <w:tblPr>
              <w:tblStyle w:val="28"/>
              <w:tblW w:w="4952"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618"/>
              <w:gridCol w:w="1677"/>
              <w:gridCol w:w="1262"/>
              <w:gridCol w:w="1815"/>
              <w:gridCol w:w="18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3" w:hRule="atLeast"/>
                <w:jc w:val="center"/>
              </w:trPr>
              <w:tc>
                <w:tcPr>
                  <w:tcW w:w="987"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点位名称</w:t>
                  </w:r>
                </w:p>
              </w:tc>
              <w:tc>
                <w:tcPr>
                  <w:tcW w:w="1793" w:type="pct"/>
                  <w:gridSpan w:val="2"/>
                  <w:vMerge w:val="restar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检测日期</w:t>
                  </w:r>
                </w:p>
              </w:tc>
              <w:tc>
                <w:tcPr>
                  <w:tcW w:w="2218" w:type="pct"/>
                  <w:gridSpan w:val="2"/>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检测结果（μg/m</w:t>
                  </w:r>
                  <w:r>
                    <w:rPr>
                      <w:rFonts w:ascii="Times New Roman" w:hAnsi="Times New Roman" w:cs="Times New Roman"/>
                      <w:b/>
                      <w:bCs/>
                      <w:sz w:val="21"/>
                      <w:szCs w:val="21"/>
                      <w:u w:val="none" w:color="auto"/>
                      <w:vertAlign w:val="superscript"/>
                    </w:rPr>
                    <w:t>3</w:t>
                  </w:r>
                  <w:r>
                    <w:rPr>
                      <w:rFonts w:ascii="Times New Roman" w:hAnsi="Times New Roman" w:cs="Times New Roman"/>
                      <w:b/>
                      <w:bCs/>
                      <w:sz w:val="21"/>
                      <w:szCs w:val="21"/>
                      <w:u w:val="none" w:color="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autoSpaceDE w:val="0"/>
                    <w:autoSpaceDN w:val="0"/>
                    <w:adjustRightInd w:val="0"/>
                    <w:spacing w:line="240" w:lineRule="auto"/>
                    <w:ind w:firstLine="0" w:firstLineChars="0"/>
                    <w:jc w:val="center"/>
                    <w:rPr>
                      <w:rFonts w:ascii="Times New Roman" w:hAnsi="Times New Roman" w:cs="Times New Roman"/>
                      <w:b/>
                      <w:bCs/>
                      <w:kern w:val="0"/>
                      <w:sz w:val="21"/>
                      <w:szCs w:val="21"/>
                      <w:u w:val="none" w:color="auto"/>
                    </w:rPr>
                  </w:pPr>
                </w:p>
              </w:tc>
              <w:tc>
                <w:tcPr>
                  <w:tcW w:w="1793" w:type="pct"/>
                  <w:gridSpan w:val="2"/>
                  <w:vMerge w:val="continue"/>
                  <w:tcBorders>
                    <w:tl2br w:val="nil"/>
                    <w:tr2bl w:val="nil"/>
                  </w:tcBorders>
                  <w:noWrap w:val="0"/>
                  <w:vAlign w:val="center"/>
                </w:tcPr>
                <w:p>
                  <w:pPr>
                    <w:spacing w:line="240" w:lineRule="auto"/>
                    <w:ind w:right="14" w:firstLine="0" w:firstLineChars="0"/>
                    <w:jc w:val="center"/>
                    <w:rPr>
                      <w:rFonts w:ascii="Times New Roman" w:hAnsi="Times New Roman" w:cs="Times New Roman"/>
                      <w:b/>
                      <w:bCs/>
                      <w:sz w:val="21"/>
                      <w:szCs w:val="21"/>
                      <w:u w:val="none" w:color="auto"/>
                    </w:rPr>
                  </w:pPr>
                </w:p>
              </w:tc>
              <w:tc>
                <w:tcPr>
                  <w:tcW w:w="1107"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b/>
                      <w:bCs/>
                      <w:sz w:val="21"/>
                      <w:szCs w:val="21"/>
                      <w:u w:val="none" w:color="auto"/>
                    </w:rPr>
                  </w:pPr>
                  <w:r>
                    <w:rPr>
                      <w:rFonts w:ascii="Times New Roman" w:hAnsi="Times New Roman" w:cs="Times New Roman"/>
                      <w:b/>
                      <w:bCs/>
                      <w:sz w:val="21"/>
                      <w:szCs w:val="21"/>
                      <w:u w:val="none" w:color="auto"/>
                    </w:rPr>
                    <w:t>硫化氢</w:t>
                  </w:r>
                </w:p>
              </w:tc>
              <w:tc>
                <w:tcPr>
                  <w:tcW w:w="1110"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b/>
                      <w:bCs/>
                      <w:sz w:val="21"/>
                      <w:szCs w:val="21"/>
                      <w:u w:val="none" w:color="auto"/>
                    </w:rPr>
                  </w:pPr>
                  <w:r>
                    <w:rPr>
                      <w:rFonts w:ascii="Times New Roman" w:hAnsi="Times New Roman" w:cs="Times New Roman"/>
                      <w:b/>
                      <w:bCs/>
                      <w:sz w:val="21"/>
                      <w:szCs w:val="21"/>
                      <w:u w:val="none" w:color="auto"/>
                    </w:rPr>
                    <w:t>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5" w:hRule="atLeast"/>
                <w:jc w:val="center"/>
              </w:trPr>
              <w:tc>
                <w:tcPr>
                  <w:tcW w:w="987" w:type="pct"/>
                  <w:vMerge w:val="restart"/>
                  <w:tcBorders>
                    <w:tl2br w:val="nil"/>
                    <w:tr2bl w:val="nil"/>
                  </w:tcBorders>
                  <w:noWrap w:val="0"/>
                  <w:vAlign w:val="center"/>
                </w:tcPr>
                <w:p>
                  <w:pPr>
                    <w:autoSpaceDE w:val="0"/>
                    <w:autoSpaceDN w:val="0"/>
                    <w:adjustRightInd w:val="0"/>
                    <w:spacing w:line="240" w:lineRule="auto"/>
                    <w:ind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项目所在地S</w:t>
                  </w:r>
                  <w:r>
                    <w:rPr>
                      <w:rFonts w:hint="default" w:ascii="Times New Roman" w:hAnsi="Times New Roman" w:cs="Times New Roman"/>
                      <w:b w:val="0"/>
                      <w:bCs w:val="0"/>
                      <w:sz w:val="21"/>
                      <w:szCs w:val="21"/>
                      <w:u w:val="none" w:color="auto"/>
                    </w:rPr>
                    <w:t>1</w:t>
                  </w:r>
                </w:p>
              </w:tc>
              <w:tc>
                <w:tcPr>
                  <w:tcW w:w="10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val="0"/>
                      <w:bCs w:val="0"/>
                      <w:sz w:val="21"/>
                      <w:szCs w:val="21"/>
                      <w:u w:val="none" w:color="auto"/>
                    </w:rPr>
                  </w:pPr>
                  <w:r>
                    <w:rPr>
                      <w:rFonts w:hint="default" w:ascii="Times New Roman" w:hAnsi="Times New Roman" w:cs="Times New Roman"/>
                      <w:b w:val="0"/>
                      <w:bCs/>
                      <w:color w:val="000000"/>
                      <w:sz w:val="21"/>
                      <w:szCs w:val="21"/>
                      <w:u w:val="none" w:color="auto"/>
                      <w:lang w:val="en-US" w:eastAsia="zh-CN"/>
                    </w:rPr>
                    <w:t>2023.07.01</w:t>
                  </w:r>
                </w:p>
              </w:tc>
              <w:tc>
                <w:tcPr>
                  <w:tcW w:w="770" w:type="pct"/>
                  <w:tcBorders>
                    <w:tl2br w:val="nil"/>
                    <w:tr2bl w:val="nil"/>
                  </w:tcBorders>
                  <w:noWrap w:val="0"/>
                  <w:vAlign w:val="center"/>
                </w:tcPr>
                <w:p>
                  <w:pPr>
                    <w:spacing w:line="240" w:lineRule="auto"/>
                    <w:ind w:right="14"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第一次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7</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第二次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6</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第三次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6</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第四次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7</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10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val="0"/>
                      <w:bCs w:val="0"/>
                      <w:sz w:val="21"/>
                      <w:szCs w:val="21"/>
                      <w:u w:val="none" w:color="auto"/>
                    </w:rPr>
                  </w:pPr>
                  <w:r>
                    <w:rPr>
                      <w:rFonts w:hint="default" w:ascii="Times New Roman" w:hAnsi="Times New Roman" w:cs="Times New Roman"/>
                      <w:b w:val="0"/>
                      <w:bCs/>
                      <w:color w:val="000000"/>
                      <w:sz w:val="21"/>
                      <w:szCs w:val="21"/>
                      <w:u w:val="none" w:color="auto"/>
                      <w:lang w:val="en-US" w:eastAsia="zh-CN"/>
                    </w:rPr>
                    <w:t>2023.07.02</w:t>
                  </w:r>
                </w:p>
              </w:tc>
              <w:tc>
                <w:tcPr>
                  <w:tcW w:w="770" w:type="pct"/>
                  <w:tcBorders>
                    <w:tl2br w:val="nil"/>
                    <w:tr2bl w:val="nil"/>
                  </w:tcBorders>
                  <w:noWrap w:val="0"/>
                  <w:vAlign w:val="center"/>
                </w:tcPr>
                <w:p>
                  <w:pPr>
                    <w:spacing w:line="240" w:lineRule="auto"/>
                    <w:ind w:right="14" w:rightChars="0"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第一次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7</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第二次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7</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第三次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6</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第四次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6</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autoSpaceDE w:val="0"/>
                    <w:autoSpaceDN w:val="0"/>
                    <w:adjustRightInd w:val="0"/>
                    <w:spacing w:line="240" w:lineRule="auto"/>
                    <w:ind w:firstLine="0" w:firstLineChars="0"/>
                    <w:jc w:val="center"/>
                    <w:rPr>
                      <w:rFonts w:ascii="Times New Roman" w:hAnsi="Times New Roman" w:cs="Times New Roman"/>
                      <w:b w:val="0"/>
                      <w:bCs w:val="0"/>
                      <w:sz w:val="21"/>
                      <w:szCs w:val="21"/>
                      <w:u w:val="none" w:color="auto"/>
                    </w:rPr>
                  </w:pPr>
                </w:p>
              </w:tc>
              <w:tc>
                <w:tcPr>
                  <w:tcW w:w="10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val="0"/>
                      <w:bCs w:val="0"/>
                      <w:sz w:val="21"/>
                      <w:szCs w:val="21"/>
                      <w:u w:val="none" w:color="auto"/>
                    </w:rPr>
                  </w:pPr>
                  <w:r>
                    <w:rPr>
                      <w:rFonts w:hint="default" w:ascii="Times New Roman" w:hAnsi="Times New Roman" w:cs="Times New Roman"/>
                      <w:b w:val="0"/>
                      <w:bCs/>
                      <w:color w:val="000000"/>
                      <w:sz w:val="21"/>
                      <w:szCs w:val="21"/>
                      <w:u w:val="none" w:color="auto"/>
                      <w:lang w:val="en-US" w:eastAsia="zh-CN"/>
                    </w:rPr>
                    <w:t>2023.07.03</w:t>
                  </w:r>
                </w:p>
              </w:tc>
              <w:tc>
                <w:tcPr>
                  <w:tcW w:w="770" w:type="pct"/>
                  <w:tcBorders>
                    <w:tl2br w:val="nil"/>
                    <w:tr2bl w:val="nil"/>
                  </w:tcBorders>
                  <w:noWrap w:val="0"/>
                  <w:vAlign w:val="center"/>
                </w:tcPr>
                <w:p>
                  <w:pPr>
                    <w:spacing w:line="240" w:lineRule="auto"/>
                    <w:ind w:right="14" w:rightChars="0"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第一次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7</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color w:val="FF000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第二次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7</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color w:val="FF000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第三次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7</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jc w:val="center"/>
              </w:trPr>
              <w:tc>
                <w:tcPr>
                  <w:tcW w:w="987"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color w:val="FF0000"/>
                      <w:sz w:val="21"/>
                      <w:szCs w:val="21"/>
                      <w:u w:val="none" w:color="auto"/>
                    </w:rPr>
                  </w:pPr>
                </w:p>
              </w:tc>
              <w:tc>
                <w:tcPr>
                  <w:tcW w:w="1023"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p>
              </w:tc>
              <w:tc>
                <w:tcPr>
                  <w:tcW w:w="770"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sz w:val="21"/>
                      <w:szCs w:val="21"/>
                      <w:u w:val="none" w:color="auto"/>
                    </w:rPr>
                  </w:pPr>
                  <w:r>
                    <w:rPr>
                      <w:rFonts w:hint="default" w:ascii="Times New Roman" w:hAnsi="Times New Roman" w:cs="Times New Roman"/>
                      <w:b w:val="0"/>
                      <w:bCs w:val="0"/>
                      <w:sz w:val="21"/>
                      <w:szCs w:val="21"/>
                      <w:u w:val="none" w:color="auto"/>
                      <w:lang w:val="en-US" w:eastAsia="zh-CN"/>
                    </w:rPr>
                    <w:t>第四次</w:t>
                  </w:r>
                </w:p>
              </w:tc>
              <w:tc>
                <w:tcPr>
                  <w:tcW w:w="1107"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6</w:t>
                  </w:r>
                </w:p>
              </w:tc>
              <w:tc>
                <w:tcPr>
                  <w:tcW w:w="1110" w:type="pc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0" w:hRule="atLeast"/>
                <w:jc w:val="center"/>
              </w:trPr>
              <w:tc>
                <w:tcPr>
                  <w:tcW w:w="5000" w:type="pct"/>
                  <w:gridSpan w:val="5"/>
                  <w:tcBorders>
                    <w:tl2br w:val="nil"/>
                    <w:tr2bl w:val="nil"/>
                  </w:tcBorders>
                  <w:noWrap w:val="0"/>
                  <w:vAlign w:val="center"/>
                </w:tcPr>
                <w:p>
                  <w:pPr>
                    <w:spacing w:line="240" w:lineRule="auto"/>
                    <w:ind w:firstLine="0" w:firstLineChars="0"/>
                    <w:jc w:val="both"/>
                    <w:rPr>
                      <w:rFonts w:ascii="Times New Roman" w:hAnsi="Times New Roman" w:cs="Times New Roman"/>
                      <w:b w:val="0"/>
                      <w:bCs w:val="0"/>
                      <w:sz w:val="21"/>
                      <w:szCs w:val="21"/>
                      <w:u w:val="none" w:color="auto"/>
                    </w:rPr>
                  </w:pPr>
                  <w:r>
                    <w:rPr>
                      <w:rFonts w:ascii="Times New Roman" w:hAnsi="Times New Roman" w:cs="Times New Roman"/>
                      <w:b w:val="0"/>
                      <w:bCs w:val="0"/>
                      <w:sz w:val="21"/>
                      <w:szCs w:val="21"/>
                      <w:u w:val="none" w:color="auto"/>
                    </w:rPr>
                    <w:t>备注：1、是否分包：否</w:t>
                  </w:r>
                </w:p>
                <w:p>
                  <w:pPr>
                    <w:spacing w:line="240" w:lineRule="auto"/>
                    <w:ind w:firstLine="0" w:firstLineChars="0"/>
                    <w:jc w:val="both"/>
                    <w:rPr>
                      <w:rFonts w:ascii="Times New Roman" w:hAnsi="Times New Roman" w:cs="Times New Roman"/>
                      <w:b w:val="0"/>
                      <w:bCs w:val="0"/>
                      <w:sz w:val="21"/>
                      <w:szCs w:val="21"/>
                      <w:u w:val="none" w:color="auto"/>
                    </w:rPr>
                  </w:pPr>
                  <w:r>
                    <w:rPr>
                      <w:rFonts w:ascii="Times New Roman" w:hAnsi="Times New Roman" w:cs="Times New Roman"/>
                      <w:b w:val="0"/>
                      <w:bCs w:val="0"/>
                      <w:sz w:val="21"/>
                      <w:szCs w:val="21"/>
                      <w:u w:val="none" w:color="auto"/>
                    </w:rPr>
                    <w:t>2、“ND”表示检测结果低于最低检出限</w:t>
                  </w:r>
                </w:p>
              </w:tc>
            </w:tr>
          </w:tbl>
          <w:p>
            <w:pPr>
              <w:rPr>
                <w:rFonts w:hint="default" w:ascii="Times New Roman" w:hAnsi="Times New Roman" w:cs="Times New Roman"/>
                <w:u w:val="none" w:color="auto"/>
              </w:rPr>
            </w:pPr>
            <w:r>
              <w:rPr>
                <w:rFonts w:hint="default" w:ascii="Times New Roman" w:hAnsi="Times New Roman" w:cs="Times New Roman"/>
                <w:u w:val="none" w:color="auto"/>
              </w:rPr>
              <w:t>由上表可知，</w:t>
            </w:r>
            <w:r>
              <w:rPr>
                <w:rFonts w:hint="default" w:ascii="Times New Roman" w:hAnsi="Times New Roman" w:cs="Times New Roman"/>
                <w:u w:val="none" w:color="auto"/>
                <w:lang w:val="en-US" w:eastAsia="zh-CN"/>
              </w:rPr>
              <w:t>S</w:t>
            </w:r>
            <w:r>
              <w:rPr>
                <w:rFonts w:ascii="Times New Roman" w:hAnsi="Times New Roman" w:cs="Times New Roman"/>
                <w:u w:val="none" w:color="auto"/>
              </w:rPr>
              <w:t>1</w:t>
            </w:r>
            <w:r>
              <w:rPr>
                <w:rFonts w:hint="default" w:ascii="Times New Roman" w:hAnsi="Times New Roman" w:cs="Times New Roman"/>
                <w:u w:val="none" w:color="auto"/>
              </w:rPr>
              <w:t>监测点</w:t>
            </w:r>
            <w:r>
              <w:rPr>
                <w:rFonts w:ascii="Times New Roman" w:hAnsi="Times New Roman" w:cs="Times New Roman"/>
                <w:u w:val="none" w:color="auto"/>
              </w:rPr>
              <w:t>NH</w:t>
            </w:r>
            <w:r>
              <w:rPr>
                <w:rFonts w:ascii="Times New Roman" w:hAnsi="Times New Roman" w:cs="Times New Roman"/>
                <w:u w:val="none" w:color="auto"/>
                <w:vertAlign w:val="subscript"/>
              </w:rPr>
              <w:t>3</w:t>
            </w:r>
            <w:r>
              <w:rPr>
                <w:rFonts w:ascii="Times New Roman" w:hAnsi="Times New Roman" w:cs="Times New Roman"/>
                <w:u w:val="none" w:color="auto"/>
              </w:rPr>
              <w:t>、H</w:t>
            </w:r>
            <w:r>
              <w:rPr>
                <w:rFonts w:ascii="Times New Roman" w:hAnsi="Times New Roman" w:cs="Times New Roman"/>
                <w:u w:val="none" w:color="auto"/>
                <w:vertAlign w:val="subscript"/>
              </w:rPr>
              <w:t>2</w:t>
            </w:r>
            <w:r>
              <w:rPr>
                <w:rFonts w:ascii="Times New Roman" w:hAnsi="Times New Roman" w:cs="Times New Roman"/>
                <w:u w:val="none" w:color="auto"/>
              </w:rPr>
              <w:t xml:space="preserve">S </w:t>
            </w:r>
            <w:r>
              <w:rPr>
                <w:rFonts w:hint="default" w:ascii="Times New Roman" w:hAnsi="Times New Roman" w:cs="Times New Roman"/>
                <w:color w:val="auto"/>
                <w:u w:val="none" w:color="auto"/>
                <w:lang w:eastAsia="zh-CN"/>
              </w:rPr>
              <w:t>的监测值均符合</w:t>
            </w:r>
            <w:r>
              <w:rPr>
                <w:rFonts w:ascii="Times New Roman" w:hAnsi="Times New Roman" w:cs="Times New Roman"/>
                <w:color w:val="000000"/>
                <w:u w:val="none" w:color="auto"/>
              </w:rPr>
              <w:t>《环境影响评价技术导则大气环境》（HJ2.2-2018）附录D浓度限值</w:t>
            </w:r>
            <w:r>
              <w:rPr>
                <w:rFonts w:hint="default" w:ascii="Times New Roman" w:hAnsi="Times New Roman" w:cs="Times New Roman"/>
                <w:color w:val="auto"/>
                <w:u w:val="none" w:color="auto"/>
                <w:lang w:eastAsia="zh-CN"/>
              </w:rPr>
              <w:t>，不存在超标情况。</w:t>
            </w:r>
            <w:r>
              <w:rPr>
                <w:rFonts w:hint="default" w:ascii="Times New Roman" w:hAnsi="Times New Roman" w:cs="Times New Roman"/>
                <w:u w:val="none" w:color="auto"/>
                <w:lang w:val="en-US"/>
              </w:rPr>
              <w:t>项目</w:t>
            </w:r>
            <w:r>
              <w:rPr>
                <w:rFonts w:hint="default" w:ascii="Times New Roman" w:hAnsi="Times New Roman" w:cs="Times New Roman"/>
                <w:u w:val="none" w:color="auto"/>
              </w:rPr>
              <w:t>区域现状环境空气质量良好。</w:t>
            </w:r>
          </w:p>
          <w:p>
            <w:pPr>
              <w:pStyle w:val="6"/>
              <w:bidi w:val="0"/>
              <w:rPr>
                <w:rFonts w:ascii="Times New Roman" w:hAnsi="Times New Roman" w:cs="Times New Roman"/>
                <w:u w:val="none" w:color="auto"/>
              </w:rPr>
            </w:pPr>
            <w:r>
              <w:rPr>
                <w:rFonts w:ascii="Times New Roman" w:hAnsi="Times New Roman" w:cs="Times New Roman"/>
                <w:u w:val="none" w:color="auto"/>
              </w:rPr>
              <w:t>3.</w:t>
            </w:r>
            <w:r>
              <w:rPr>
                <w:rFonts w:hint="default" w:ascii="Times New Roman" w:hAnsi="Times New Roman" w:cs="Times New Roman"/>
                <w:u w:val="none" w:color="auto"/>
                <w:lang w:val="en-US"/>
              </w:rPr>
              <w:t>1.2</w:t>
            </w:r>
            <w:r>
              <w:rPr>
                <w:rFonts w:hint="default" w:ascii="Times New Roman" w:hAnsi="Times New Roman" w:cs="Times New Roman"/>
                <w:u w:val="none" w:color="auto"/>
                <w:lang w:val="en-US" w:eastAsia="zh-CN"/>
              </w:rPr>
              <w:t>区域</w:t>
            </w:r>
            <w:r>
              <w:rPr>
                <w:rFonts w:hint="default" w:ascii="Times New Roman" w:hAnsi="Times New Roman" w:cs="Times New Roman"/>
                <w:u w:val="none" w:color="auto"/>
              </w:rPr>
              <w:t>地表水环境质量现状评价</w:t>
            </w:r>
          </w:p>
          <w:p>
            <w:pPr>
              <w:ind w:firstLine="480"/>
              <w:rPr>
                <w:rFonts w:ascii="Times New Roman" w:hAnsi="Times New Roman" w:cs="Times New Roman"/>
                <w:u w:val="none" w:color="auto"/>
              </w:rPr>
            </w:pPr>
            <w:r>
              <w:rPr>
                <w:rFonts w:hint="default" w:ascii="Times New Roman" w:hAnsi="Times New Roman" w:eastAsia="宋体" w:cs="Times New Roman"/>
                <w:b/>
                <w:sz w:val="24"/>
                <w:szCs w:val="28"/>
                <w:u w:val="none" w:color="auto"/>
                <w:lang w:val="en-US" w:eastAsia="zh-CN" w:bidi="zh-CN"/>
              </w:rPr>
              <w:t>3.1.2.1区域地表水质量</w:t>
            </w:r>
            <w:r>
              <w:rPr>
                <w:rFonts w:ascii="Times New Roman" w:hAnsi="Times New Roman" w:eastAsia="宋体" w:cs="Times New Roman"/>
                <w:b/>
                <w:sz w:val="24"/>
                <w:szCs w:val="28"/>
                <w:u w:val="none" w:color="auto"/>
                <w:lang w:val="zh-CN" w:eastAsia="zh-CN" w:bidi="zh-CN"/>
              </w:rPr>
              <w:t>达标情况</w:t>
            </w:r>
          </w:p>
          <w:p>
            <w:pPr>
              <w:ind w:firstLine="480"/>
              <w:rPr>
                <w:rFonts w:ascii="Times New Roman" w:hAnsi="Times New Roman" w:cs="Times New Roman"/>
                <w:u w:val="none" w:color="auto"/>
              </w:rPr>
            </w:pPr>
            <w:r>
              <w:rPr>
                <w:rFonts w:ascii="Times New Roman" w:hAnsi="Times New Roman" w:cs="Times New Roman"/>
                <w:u w:val="none" w:color="auto"/>
              </w:rPr>
              <w:t>本项目区域地表水系为沅江</w:t>
            </w:r>
            <w:r>
              <w:rPr>
                <w:rFonts w:hint="default" w:ascii="Times New Roman" w:hAnsi="Times New Roman" w:cs="Times New Roman"/>
                <w:u w:val="none" w:color="auto"/>
                <w:lang w:val="en-US" w:eastAsia="zh-CN"/>
              </w:rPr>
              <w:t>以及红土溪</w:t>
            </w:r>
            <w:r>
              <w:rPr>
                <w:rFonts w:hint="default" w:ascii="Times New Roman" w:hAnsi="Times New Roman" w:cs="Times New Roman"/>
                <w:u w:val="none" w:color="auto"/>
              </w:rPr>
              <w:t>，</w:t>
            </w:r>
            <w:r>
              <w:rPr>
                <w:rFonts w:ascii="Times New Roman" w:hAnsi="Times New Roman" w:cs="Times New Roman"/>
                <w:u w:val="none" w:color="auto"/>
              </w:rPr>
              <w:t>本次水环境功能区判定收集了</w:t>
            </w:r>
            <w:r>
              <w:rPr>
                <w:rFonts w:hint="default" w:ascii="Times New Roman" w:hAnsi="Times New Roman" w:cs="Times New Roman"/>
                <w:u w:val="none" w:color="auto"/>
                <w:lang w:val="en-US" w:eastAsia="zh-CN"/>
              </w:rPr>
              <w:t>2022年</w:t>
            </w:r>
            <w:r>
              <w:rPr>
                <w:rFonts w:ascii="Times New Roman" w:hAnsi="Times New Roman" w:cs="Times New Roman"/>
                <w:u w:val="none" w:color="auto"/>
              </w:rPr>
              <w:t>泸溪县环境质量简报中武水入沅江口、浦市上游、白沙水厂、武水汇合口监测断面监测结果。</w:t>
            </w:r>
          </w:p>
          <w:p>
            <w:pPr>
              <w:pStyle w:val="71"/>
              <w:widowControl w:val="0"/>
              <w:rPr>
                <w:rFonts w:ascii="Times New Roman" w:hAnsi="Times New Roman" w:cs="Times New Roman"/>
                <w:u w:val="none" w:color="auto"/>
              </w:rPr>
            </w:pPr>
            <w:r>
              <w:rPr>
                <w:rFonts w:ascii="Times New Roman" w:hAnsi="Times New Roman" w:cs="Times New Roman"/>
                <w:u w:val="none" w:color="auto"/>
              </w:rPr>
              <w:t>表</w:t>
            </w:r>
            <w:r>
              <w:rPr>
                <w:rFonts w:hint="default" w:ascii="Times New Roman" w:hAnsi="Times New Roman" w:cs="Times New Roman"/>
                <w:u w:val="none" w:color="auto"/>
                <w:lang w:val="en-US" w:eastAsia="zh-CN"/>
              </w:rPr>
              <w:t>3.1-</w:t>
            </w:r>
            <w:r>
              <w:rPr>
                <w:rFonts w:hint="eastAsia" w:ascii="Times New Roman" w:hAnsi="Times New Roman" w:cs="Times New Roman"/>
                <w:u w:val="none" w:color="auto"/>
                <w:lang w:val="en-US" w:eastAsia="zh-CN"/>
              </w:rPr>
              <w:t>7</w:t>
            </w:r>
            <w:r>
              <w:rPr>
                <w:rFonts w:ascii="Times New Roman" w:hAnsi="Times New Roman" w:cs="Times New Roman"/>
                <w:u w:val="none" w:color="auto"/>
              </w:rPr>
              <w:t>：地表水监测断面监测数据统计结果一览表  单位：mg/L</w:t>
            </w:r>
          </w:p>
          <w:tbl>
            <w:tblPr>
              <w:tblStyle w:val="28"/>
              <w:tblW w:w="4952"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661"/>
              <w:gridCol w:w="1839"/>
              <w:gridCol w:w="1662"/>
              <w:gridCol w:w="1309"/>
              <w:gridCol w:w="915"/>
              <w:gridCol w:w="896"/>
              <w:gridCol w:w="91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74" w:hRule="atLeast"/>
                <w:jc w:val="center"/>
              </w:trPr>
              <w:tc>
                <w:tcPr>
                  <w:tcW w:w="403" w:type="pct"/>
                  <w:tcBorders>
                    <w:tl2br w:val="nil"/>
                    <w:tr2bl w:val="nil"/>
                  </w:tcBorders>
                  <w:noWrap w:val="0"/>
                  <w:vAlign w:val="center"/>
                </w:tcPr>
                <w:p>
                  <w:pPr>
                    <w:pStyle w:val="70"/>
                    <w:rPr>
                      <w:rFonts w:ascii="Times New Roman" w:hAnsi="Times New Roman" w:cs="Times New Roman"/>
                      <w:b/>
                      <w:bCs/>
                      <w:u w:val="none" w:color="auto"/>
                    </w:rPr>
                  </w:pPr>
                  <w:r>
                    <w:rPr>
                      <w:rFonts w:ascii="Times New Roman" w:hAnsi="Times New Roman" w:cs="Times New Roman"/>
                      <w:b/>
                      <w:bCs/>
                      <w:u w:val="none" w:color="auto"/>
                    </w:rPr>
                    <w:t>断面</w:t>
                  </w:r>
                </w:p>
              </w:tc>
              <w:tc>
                <w:tcPr>
                  <w:tcW w:w="1121" w:type="pct"/>
                  <w:tcBorders>
                    <w:tl2br w:val="nil"/>
                    <w:tr2bl w:val="nil"/>
                  </w:tcBorders>
                  <w:noWrap w:val="0"/>
                  <w:vAlign w:val="center"/>
                </w:tcPr>
                <w:p>
                  <w:pPr>
                    <w:pStyle w:val="70"/>
                    <w:rPr>
                      <w:rFonts w:ascii="Times New Roman" w:hAnsi="Times New Roman" w:cs="Times New Roman"/>
                      <w:b/>
                      <w:bCs/>
                      <w:u w:val="none" w:color="auto"/>
                    </w:rPr>
                  </w:pPr>
                  <w:r>
                    <w:rPr>
                      <w:rFonts w:ascii="Times New Roman" w:hAnsi="Times New Roman" w:cs="Times New Roman"/>
                      <w:b/>
                      <w:bCs/>
                      <w:u w:val="none" w:color="auto"/>
                    </w:rPr>
                    <w:t>项目</w:t>
                  </w:r>
                </w:p>
              </w:tc>
              <w:tc>
                <w:tcPr>
                  <w:tcW w:w="1013" w:type="pct"/>
                  <w:tcBorders>
                    <w:tl2br w:val="nil"/>
                    <w:tr2bl w:val="nil"/>
                  </w:tcBorders>
                  <w:noWrap w:val="0"/>
                  <w:vAlign w:val="center"/>
                </w:tcPr>
                <w:p>
                  <w:pPr>
                    <w:pStyle w:val="70"/>
                    <w:rPr>
                      <w:rFonts w:ascii="Times New Roman" w:hAnsi="Times New Roman" w:cs="Times New Roman"/>
                      <w:b/>
                      <w:bCs/>
                      <w:u w:val="none" w:color="auto"/>
                    </w:rPr>
                  </w:pPr>
                  <w:r>
                    <w:rPr>
                      <w:rFonts w:ascii="Times New Roman" w:hAnsi="Times New Roman" w:cs="Times New Roman"/>
                      <w:b/>
                      <w:bCs/>
                      <w:u w:val="none" w:color="auto"/>
                    </w:rPr>
                    <w:t>浓度范围</w:t>
                  </w:r>
                </w:p>
              </w:tc>
              <w:tc>
                <w:tcPr>
                  <w:tcW w:w="798" w:type="pct"/>
                  <w:tcBorders>
                    <w:tl2br w:val="nil"/>
                    <w:tr2bl w:val="nil"/>
                  </w:tcBorders>
                  <w:noWrap w:val="0"/>
                  <w:vAlign w:val="center"/>
                </w:tcPr>
                <w:p>
                  <w:pPr>
                    <w:pStyle w:val="70"/>
                    <w:rPr>
                      <w:rFonts w:ascii="Times New Roman" w:hAnsi="Times New Roman" w:cs="Times New Roman"/>
                      <w:b/>
                      <w:bCs/>
                      <w:u w:val="none" w:color="auto"/>
                    </w:rPr>
                  </w:pPr>
                  <w:r>
                    <w:rPr>
                      <w:rFonts w:ascii="Times New Roman" w:hAnsi="Times New Roman" w:cs="Times New Roman"/>
                      <w:b/>
                      <w:bCs/>
                      <w:u w:val="none" w:color="auto"/>
                    </w:rPr>
                    <w:t>标准浓度限值</w:t>
                  </w:r>
                </w:p>
              </w:tc>
              <w:tc>
                <w:tcPr>
                  <w:tcW w:w="558" w:type="pct"/>
                  <w:tcBorders>
                    <w:tl2br w:val="nil"/>
                    <w:tr2bl w:val="nil"/>
                  </w:tcBorders>
                  <w:noWrap w:val="0"/>
                  <w:vAlign w:val="center"/>
                </w:tcPr>
                <w:p>
                  <w:pPr>
                    <w:pStyle w:val="70"/>
                    <w:rPr>
                      <w:rFonts w:ascii="Times New Roman" w:hAnsi="Times New Roman" w:cs="Times New Roman"/>
                      <w:b/>
                      <w:bCs/>
                      <w:u w:val="none" w:color="auto"/>
                    </w:rPr>
                  </w:pPr>
                  <w:r>
                    <w:rPr>
                      <w:rFonts w:ascii="Times New Roman" w:hAnsi="Times New Roman" w:cs="Times New Roman"/>
                      <w:b/>
                      <w:bCs/>
                      <w:u w:val="none" w:color="auto"/>
                    </w:rPr>
                    <w:t>超标率（%）</w:t>
                  </w:r>
                </w:p>
              </w:tc>
              <w:tc>
                <w:tcPr>
                  <w:tcW w:w="546" w:type="pct"/>
                  <w:tcBorders>
                    <w:tl2br w:val="nil"/>
                    <w:tr2bl w:val="nil"/>
                  </w:tcBorders>
                  <w:noWrap w:val="0"/>
                  <w:vAlign w:val="center"/>
                </w:tcPr>
                <w:p>
                  <w:pPr>
                    <w:pStyle w:val="70"/>
                    <w:rPr>
                      <w:rFonts w:ascii="Times New Roman" w:hAnsi="Times New Roman" w:cs="Times New Roman"/>
                      <w:b/>
                      <w:bCs/>
                      <w:u w:val="none" w:color="auto"/>
                    </w:rPr>
                  </w:pPr>
                  <w:r>
                    <w:rPr>
                      <w:rFonts w:ascii="Times New Roman" w:hAnsi="Times New Roman" w:cs="Times New Roman"/>
                      <w:b/>
                      <w:bCs/>
                      <w:u w:val="none" w:color="auto"/>
                    </w:rPr>
                    <w:t>最大超标倍数</w:t>
                  </w:r>
                </w:p>
              </w:tc>
              <w:tc>
                <w:tcPr>
                  <w:tcW w:w="558" w:type="pct"/>
                  <w:tcBorders>
                    <w:tl2br w:val="nil"/>
                    <w:tr2bl w:val="nil"/>
                  </w:tcBorders>
                  <w:noWrap w:val="0"/>
                  <w:vAlign w:val="center"/>
                </w:tcPr>
                <w:p>
                  <w:pPr>
                    <w:pStyle w:val="70"/>
                    <w:rPr>
                      <w:rFonts w:ascii="Times New Roman" w:hAnsi="Times New Roman" w:cs="Times New Roman"/>
                      <w:b/>
                      <w:bCs/>
                      <w:u w:val="none" w:color="auto"/>
                    </w:rPr>
                  </w:pPr>
                  <w:r>
                    <w:rPr>
                      <w:rFonts w:ascii="Times New Roman" w:hAnsi="Times New Roman" w:cs="Times New Roman"/>
                      <w:b/>
                      <w:bCs/>
                      <w:u w:val="none" w:color="auto"/>
                    </w:rPr>
                    <w:t>达标情况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403" w:type="pct"/>
                  <w:vMerge w:val="restar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武水入沅江口</w:t>
                  </w: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pH</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7~8</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6~9</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溶解氧</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7.1~9.3</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高锰酸盐指数</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1.4~2.0</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≤6</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CODcr</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5.0~9.3</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≤20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BOD</w:t>
                  </w:r>
                  <w:r>
                    <w:rPr>
                      <w:rFonts w:ascii="Times New Roman" w:hAnsi="Times New Roman" w:cs="Times New Roman"/>
                      <w:u w:val="none" w:color="auto"/>
                      <w:vertAlign w:val="subscript"/>
                    </w:rPr>
                    <w:t>5</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0.2~1.4</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≤4</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NH</w:t>
                  </w:r>
                  <w:r>
                    <w:rPr>
                      <w:rFonts w:ascii="Times New Roman" w:hAnsi="Times New Roman" w:cs="Times New Roman"/>
                      <w:u w:val="none" w:color="auto"/>
                      <w:vertAlign w:val="subscript"/>
                    </w:rPr>
                    <w:t>3</w:t>
                  </w:r>
                  <w:r>
                    <w:rPr>
                      <w:rFonts w:ascii="Times New Roman" w:hAnsi="Times New Roman" w:cs="Times New Roman"/>
                      <w:u w:val="none" w:color="auto"/>
                    </w:rPr>
                    <w:t>-N</w:t>
                  </w:r>
                </w:p>
              </w:tc>
              <w:tc>
                <w:tcPr>
                  <w:tcW w:w="1013" w:type="pct"/>
                  <w:tcBorders>
                    <w:tl2br w:val="nil"/>
                    <w:tr2bl w:val="nil"/>
                  </w:tcBorders>
                  <w:noWrap w:val="0"/>
                  <w:vAlign w:val="center"/>
                </w:tcPr>
                <w:p>
                  <w:pPr>
                    <w:pStyle w:val="70"/>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0.1~0.28</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总磷</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0.035~0.053</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铜</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0.0003~0.001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锌</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0.002~0.052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氟化物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0.143~0.232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硒</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0.0002~0.0009</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砷</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0.0005~0.0013</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汞</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0.000005~0.00002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镉</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0.00002~0.00069</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六价铬</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w:t>
                  </w:r>
                  <w:r>
                    <w:rPr>
                      <w:rFonts w:hint="default" w:ascii="Times New Roman" w:hAnsi="Times New Roman" w:cs="Times New Roman"/>
                      <w:u w:val="none" w:color="auto"/>
                      <w:lang w:val="en-US" w:eastAsia="zh-CN"/>
                    </w:rPr>
                    <w:t>0.</w:t>
                  </w:r>
                  <w:r>
                    <w:rPr>
                      <w:rFonts w:ascii="Times New Roman" w:hAnsi="Times New Roman" w:cs="Times New Roman"/>
                      <w:u w:val="none" w:color="auto"/>
                    </w:rPr>
                    <w:t>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铅</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0.00004</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氰化物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硫化物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0.005~0.01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挥发酚</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石油类</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0.005</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阴离子表面活性剂</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403" w:type="pct"/>
                  <w:vMerge w:val="restar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浦市上游</w:t>
                  </w: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pH</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7~8</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6~9</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溶解氧</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6.8~11.0</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高锰酸盐指数</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0.7~1.3</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≤6</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CODcr</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4.3~8.0</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≤20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cr/>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BOD</w:t>
                  </w:r>
                  <w:r>
                    <w:rPr>
                      <w:rFonts w:ascii="Times New Roman" w:hAnsi="Times New Roman" w:cs="Times New Roman"/>
                      <w:u w:val="none" w:color="auto"/>
                      <w:vertAlign w:val="subscript"/>
                    </w:rPr>
                    <w:t>5</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0.2~1.5</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≤4</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NH</w:t>
                  </w:r>
                  <w:r>
                    <w:rPr>
                      <w:rFonts w:ascii="Times New Roman" w:hAnsi="Times New Roman" w:cs="Times New Roman"/>
                      <w:u w:val="none" w:color="auto"/>
                      <w:vertAlign w:val="subscript"/>
                    </w:rPr>
                    <w:t>3</w:t>
                  </w:r>
                  <w:r>
                    <w:rPr>
                      <w:rFonts w:ascii="Times New Roman" w:hAnsi="Times New Roman" w:cs="Times New Roman"/>
                      <w:u w:val="none" w:color="auto"/>
                    </w:rPr>
                    <w:t>-N</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0.03~0.04</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总磷</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0.036~0.066</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铜</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0.0004~0.001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锌</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0.001~0.029</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氟化物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0.097~0.173</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硒</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0.0002~0.0006</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砷</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0.0012~0.0017</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汞</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0.000005~0.00002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镉</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0.00002~0.00009</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六价铬</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铅</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0.00004~0.0001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氰化物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硫化物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0.005~0.012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挥发酚</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石油类</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0.005~0.01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阴离子表面活性剂</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403" w:type="pct"/>
                  <w:vMerge w:val="restar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白沙水厂</w:t>
                  </w: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pH</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7~8</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6~9</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溶解氧</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6.4~11.1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≥6</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高锰酸盐指数</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0.6~2.0</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≤4</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CODcr</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5.0~13.0</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BOD</w:t>
                  </w:r>
                  <w:r>
                    <w:rPr>
                      <w:rFonts w:ascii="Times New Roman" w:hAnsi="Times New Roman" w:cs="Times New Roman"/>
                      <w:u w:val="none" w:color="auto"/>
                      <w:vertAlign w:val="subscript"/>
                    </w:rPr>
                    <w:t>5</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0.6~2.8</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≤3</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NH</w:t>
                  </w:r>
                  <w:r>
                    <w:rPr>
                      <w:rFonts w:ascii="Times New Roman" w:hAnsi="Times New Roman" w:cs="Times New Roman"/>
                      <w:u w:val="none" w:color="auto"/>
                      <w:vertAlign w:val="subscript"/>
                    </w:rPr>
                    <w:t>3</w:t>
                  </w:r>
                  <w:r>
                    <w:rPr>
                      <w:rFonts w:ascii="Times New Roman" w:hAnsi="Times New Roman" w:cs="Times New Roman"/>
                      <w:u w:val="none" w:color="auto"/>
                    </w:rPr>
                    <w:t>-N</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0.01~0.12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总磷</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0.03~0.05</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铜</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0.00004~0.004</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锌</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0.005~0.039</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氟化物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0.09~0.124</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硒</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0.0002~0.001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砷</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0.0002~0.0042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汞</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镉</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0.00002~0.00011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w:t>
                  </w:r>
                  <w:r>
                    <w:rPr>
                      <w:rFonts w:ascii="Times New Roman" w:hAnsi="Times New Roman" w:cs="Times New Roman"/>
                      <w:u w:val="none" w:color="auto"/>
                    </w:rPr>
                    <w:cr/>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六价铬</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铅</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0.00004~0.002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氰化物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硫化物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挥发酚</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石油类</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0.005</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阴离子表面活性剂</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restar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武水汇合口</w:t>
                  </w: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pH</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7~8</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6~9</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溶解氧</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7.8~11.4</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高锰酸盐指数</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0.8~2.4</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≤6</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CODcr</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5.0~10.7</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≤20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BOD</w:t>
                  </w:r>
                  <w:r>
                    <w:rPr>
                      <w:rFonts w:ascii="Times New Roman" w:hAnsi="Times New Roman" w:cs="Times New Roman"/>
                      <w:u w:val="none" w:color="auto"/>
                      <w:vertAlign w:val="subscript"/>
                    </w:rPr>
                    <w:t>5</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0.2~1.4</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≤4</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NH</w:t>
                  </w:r>
                  <w:r>
                    <w:rPr>
                      <w:rFonts w:ascii="Times New Roman" w:hAnsi="Times New Roman" w:cs="Times New Roman"/>
                      <w:u w:val="none" w:color="auto"/>
                      <w:vertAlign w:val="subscript"/>
                    </w:rPr>
                    <w:t>3</w:t>
                  </w:r>
                  <w:r>
                    <w:rPr>
                      <w:rFonts w:ascii="Times New Roman" w:hAnsi="Times New Roman" w:cs="Times New Roman"/>
                      <w:u w:val="none" w:color="auto"/>
                    </w:rPr>
                    <w:t>-N</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0.02~0.05</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总磷</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0.032~0.047</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铜</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0.0004~0.001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锌</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0.003~0.021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≤1.0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氟化物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0.082~0.17</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硒</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0.0006~0.0002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砷</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0.0013~0.0039</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汞</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.000005~0.00002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≤0.0001</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镉</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0.00002~0.00035</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r>
                    <w:rPr>
                      <w:rFonts w:ascii="Times New Roman" w:hAnsi="Times New Roman" w:cs="Times New Roman"/>
                      <w:u w:val="none" w:color="auto"/>
                    </w:rPr>
                    <w:cr/>
                  </w:r>
                  <w:r>
                    <w:rPr>
                      <w:rFonts w:ascii="Times New Roman" w:hAnsi="Times New Roman" w:cs="Times New Roman"/>
                      <w:u w:val="none" w:color="auto"/>
                    </w:rPr>
                    <w:t>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六价铬</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铅</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0.00004~0.0001</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氰化物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硫化物</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0.005~0.009</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挥发酚</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石油类</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0.005</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≤0.05</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403" w:type="pct"/>
                  <w:vMerge w:val="continue"/>
                  <w:tcBorders>
                    <w:tl2br w:val="nil"/>
                    <w:tr2bl w:val="nil"/>
                  </w:tcBorders>
                  <w:noWrap w:val="0"/>
                  <w:vAlign w:val="center"/>
                </w:tcPr>
                <w:p>
                  <w:pPr>
                    <w:pStyle w:val="70"/>
                    <w:rPr>
                      <w:rFonts w:ascii="Times New Roman" w:hAnsi="Times New Roman" w:cs="Times New Roman"/>
                      <w:u w:val="none" w:color="auto"/>
                    </w:rPr>
                  </w:pPr>
                </w:p>
              </w:tc>
              <w:tc>
                <w:tcPr>
                  <w:tcW w:w="1121"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阴离子表面活性剂</w:t>
                  </w:r>
                </w:p>
              </w:tc>
              <w:tc>
                <w:tcPr>
                  <w:tcW w:w="1013" w:type="pct"/>
                  <w:tcBorders>
                    <w:tl2br w:val="nil"/>
                    <w:tr2bl w:val="nil"/>
                  </w:tcBorders>
                  <w:noWrap w:val="0"/>
                  <w:vAlign w:val="center"/>
                </w:tcPr>
                <w:p>
                  <w:pPr>
                    <w:pStyle w:val="70"/>
                    <w:rPr>
                      <w:rFonts w:ascii="Times New Roman" w:hAnsi="Times New Roman" w:cs="Times New Roman"/>
                      <w:u w:val="none" w:color="auto"/>
                    </w:rPr>
                  </w:pPr>
                  <w:r>
                    <w:rPr>
                      <w:rFonts w:hint="default" w:ascii="Times New Roman" w:hAnsi="Times New Roman" w:cs="Times New Roman"/>
                      <w:u w:val="none" w:color="auto"/>
                      <w:lang w:val="en-US" w:eastAsia="zh-CN"/>
                    </w:rPr>
                    <w:t>0.02</w:t>
                  </w:r>
                </w:p>
              </w:tc>
              <w:tc>
                <w:tcPr>
                  <w:tcW w:w="79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≤0.2</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46"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0</w:t>
                  </w:r>
                </w:p>
              </w:tc>
              <w:tc>
                <w:tcPr>
                  <w:tcW w:w="558" w:type="pct"/>
                  <w:tcBorders>
                    <w:tl2br w:val="nil"/>
                    <w:tr2bl w:val="nil"/>
                  </w:tcBorders>
                  <w:noWrap w:val="0"/>
                  <w:vAlign w:val="center"/>
                </w:tcPr>
                <w:p>
                  <w:pPr>
                    <w:pStyle w:val="70"/>
                    <w:rPr>
                      <w:rFonts w:ascii="Times New Roman" w:hAnsi="Times New Roman" w:cs="Times New Roman"/>
                      <w:u w:val="none" w:color="auto"/>
                    </w:rPr>
                  </w:pPr>
                  <w:r>
                    <w:rPr>
                      <w:rFonts w:ascii="Times New Roman" w:hAnsi="Times New Roman" w:cs="Times New Roman"/>
                      <w:u w:val="none" w:color="auto"/>
                    </w:rPr>
                    <w:t>达标</w:t>
                  </w:r>
                </w:p>
              </w:tc>
            </w:tr>
          </w:tbl>
          <w:p>
            <w:pPr>
              <w:ind w:firstLine="0" w:firstLineChars="0"/>
              <w:jc w:val="left"/>
              <w:rPr>
                <w:rFonts w:ascii="Times New Roman" w:hAnsi="Times New Roman" w:cs="Times New Roman"/>
                <w:u w:val="none" w:color="auto"/>
              </w:rPr>
            </w:pPr>
            <w:r>
              <w:rPr>
                <w:rFonts w:ascii="Times New Roman" w:hAnsi="Times New Roman" w:cs="Times New Roman"/>
                <w:u w:val="none" w:color="auto"/>
              </w:rPr>
              <w:t>注：“L”表示低于该方法检出限</w:t>
            </w:r>
          </w:p>
          <w:p>
            <w:pPr>
              <w:ind w:firstLine="480"/>
              <w:rPr>
                <w:rFonts w:ascii="Times New Roman" w:hAnsi="Times New Roman" w:cs="Times New Roman"/>
                <w:u w:val="none" w:color="auto"/>
              </w:rPr>
            </w:pPr>
            <w:r>
              <w:rPr>
                <w:rFonts w:ascii="Times New Roman" w:hAnsi="Times New Roman" w:cs="Times New Roman"/>
                <w:u w:val="none" w:color="auto"/>
              </w:rPr>
              <w:t>由上表可知，武水入沅江口、浦市上游、武水汇合口地表水监测断面的各监测因子均满足《地表水环境质量标准》（GB3838-2002）Ⅲ类标准要求，白沙水厂监测断面的各监测因子均满足《地表水环境质量标准》（GB3838-2002）Ⅱ类标准要求</w:t>
            </w:r>
            <w:r>
              <w:rPr>
                <w:rFonts w:hint="default" w:ascii="Times New Roman" w:hAnsi="Times New Roman" w:cs="Times New Roman"/>
                <w:u w:val="none" w:color="auto"/>
              </w:rPr>
              <w:t>。</w:t>
            </w:r>
            <w:r>
              <w:rPr>
                <w:rFonts w:ascii="Times New Roman" w:hAnsi="Times New Roman" w:cs="Times New Roman"/>
                <w:u w:val="none" w:color="auto"/>
              </w:rPr>
              <w:t>因此本项目区域地表水环境质量达标。</w:t>
            </w:r>
          </w:p>
          <w:p>
            <w:pPr>
              <w:ind w:firstLine="480"/>
              <w:rPr>
                <w:rFonts w:ascii="Times New Roman" w:hAnsi="Times New Roman" w:cs="Times New Roman"/>
                <w:u w:val="none" w:color="auto"/>
              </w:rPr>
            </w:pPr>
            <w:r>
              <w:rPr>
                <w:rFonts w:hint="default" w:ascii="Times New Roman" w:hAnsi="Times New Roman" w:eastAsia="宋体" w:cs="Times New Roman"/>
                <w:b/>
                <w:sz w:val="24"/>
                <w:szCs w:val="28"/>
                <w:u w:val="none" w:color="auto"/>
                <w:lang w:val="en-US" w:eastAsia="zh-CN" w:bidi="zh-CN"/>
              </w:rPr>
              <w:t>3.1.2.2补充地表水质量</w:t>
            </w:r>
            <w:r>
              <w:rPr>
                <w:rFonts w:ascii="Times New Roman" w:hAnsi="Times New Roman" w:eastAsia="宋体" w:cs="Times New Roman"/>
                <w:b/>
                <w:sz w:val="24"/>
                <w:szCs w:val="28"/>
                <w:u w:val="none" w:color="auto"/>
                <w:lang w:val="zh-CN" w:eastAsia="zh-CN" w:bidi="zh-CN"/>
              </w:rPr>
              <w:t>达标情况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u w:val="none" w:color="auto"/>
                <w:lang w:eastAsia="zh-CN"/>
              </w:rPr>
            </w:pPr>
            <w:r>
              <w:rPr>
                <w:rFonts w:hint="default" w:ascii="Times New Roman" w:hAnsi="Times New Roman" w:eastAsia="宋体" w:cs="Times New Roman"/>
                <w:color w:val="000000"/>
                <w:sz w:val="24"/>
                <w:szCs w:val="24"/>
                <w:u w:val="none" w:color="auto"/>
              </w:rPr>
              <w:t>项目地区域主要地表水体为</w:t>
            </w:r>
            <w:r>
              <w:rPr>
                <w:rFonts w:hint="default" w:ascii="Times New Roman" w:hAnsi="Times New Roman" w:cs="Times New Roman"/>
                <w:color w:val="000000"/>
                <w:sz w:val="24"/>
                <w:szCs w:val="24"/>
                <w:u w:val="none" w:color="auto"/>
                <w:lang w:val="en-US" w:eastAsia="zh-CN"/>
              </w:rPr>
              <w:t>红土溪</w:t>
            </w:r>
            <w:r>
              <w:rPr>
                <w:rFonts w:hint="default" w:ascii="Times New Roman" w:hAnsi="Times New Roman" w:eastAsia="宋体" w:cs="Times New Roman"/>
                <w:color w:val="000000"/>
                <w:sz w:val="24"/>
                <w:szCs w:val="24"/>
                <w:u w:val="none" w:color="auto"/>
              </w:rPr>
              <w:t>，该段水域执行《地表水环境质量标准》（GB3838-2002）的Ⅲ类标准，</w:t>
            </w:r>
            <w:r>
              <w:rPr>
                <w:rFonts w:hint="default" w:ascii="Times New Roman" w:hAnsi="Times New Roman" w:eastAsia="宋体" w:cs="Times New Roman"/>
                <w:sz w:val="24"/>
                <w:szCs w:val="24"/>
                <w:highlight w:val="none"/>
                <w:u w:val="none" w:color="auto"/>
              </w:rPr>
              <w:t>委托</w:t>
            </w:r>
            <w:r>
              <w:rPr>
                <w:rFonts w:hint="default" w:ascii="Times New Roman" w:hAnsi="Times New Roman" w:cs="Times New Roman"/>
                <w:u w:val="none" w:color="auto"/>
              </w:rPr>
              <w:t>湖南昌旭环保科技有限公司</w:t>
            </w:r>
            <w:r>
              <w:rPr>
                <w:rFonts w:hint="default" w:ascii="Times New Roman" w:hAnsi="Times New Roman" w:eastAsia="宋体" w:cs="Times New Roman"/>
                <w:sz w:val="24"/>
                <w:szCs w:val="24"/>
                <w:highlight w:val="none"/>
                <w:u w:val="none" w:color="auto"/>
                <w:lang w:val="en-US" w:eastAsia="zh-CN"/>
              </w:rPr>
              <w:t>对</w:t>
            </w:r>
            <w:r>
              <w:rPr>
                <w:rFonts w:hint="default" w:ascii="Times New Roman" w:hAnsi="Times New Roman" w:cs="Times New Roman"/>
                <w:color w:val="000000"/>
                <w:sz w:val="24"/>
                <w:szCs w:val="24"/>
                <w:u w:val="none" w:color="auto"/>
                <w:lang w:val="en-US" w:eastAsia="zh-CN"/>
              </w:rPr>
              <w:t>红土溪</w:t>
            </w:r>
            <w:r>
              <w:rPr>
                <w:rFonts w:hint="default" w:ascii="Times New Roman" w:hAnsi="Times New Roman" w:eastAsia="宋体" w:cs="Times New Roman"/>
                <w:sz w:val="24"/>
                <w:szCs w:val="24"/>
                <w:highlight w:val="none"/>
                <w:u w:val="none" w:color="auto"/>
              </w:rPr>
              <w:t>进行监测</w:t>
            </w:r>
            <w:r>
              <w:rPr>
                <w:rFonts w:hint="default" w:ascii="Times New Roman" w:hAnsi="Times New Roman" w:eastAsia="宋体" w:cs="Times New Roman"/>
                <w:sz w:val="24"/>
                <w:szCs w:val="24"/>
                <w:highlight w:val="none"/>
                <w:u w:val="none" w:color="auto"/>
                <w:lang w:eastAsia="zh-CN"/>
              </w:rPr>
              <w:t>。</w:t>
            </w:r>
          </w:p>
          <w:p>
            <w:pPr>
              <w:pStyle w:val="54"/>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3</w:t>
            </w:r>
            <w:r>
              <w:rPr>
                <w:rFonts w:hint="default" w:ascii="Times New Roman" w:hAnsi="Times New Roman" w:eastAsia="宋体" w:cs="Times New Roman"/>
                <w:color w:val="000000"/>
                <w:sz w:val="21"/>
                <w:szCs w:val="21"/>
                <w:u w:val="none" w:color="auto"/>
                <w:lang w:val="en-US" w:eastAsia="zh-CN"/>
              </w:rPr>
              <w:t>.</w:t>
            </w:r>
            <w:r>
              <w:rPr>
                <w:rFonts w:hint="default" w:ascii="Times New Roman" w:hAnsi="Times New Roman" w:cs="Times New Roman"/>
                <w:color w:val="000000"/>
                <w:sz w:val="21"/>
                <w:szCs w:val="21"/>
                <w:u w:val="none" w:color="auto"/>
                <w:lang w:val="en-US" w:eastAsia="zh-CN"/>
              </w:rPr>
              <w:t>1-</w:t>
            </w:r>
            <w:r>
              <w:rPr>
                <w:rFonts w:hint="eastAsia" w:ascii="Times New Roman" w:hAnsi="Times New Roman" w:cs="Times New Roman"/>
                <w:color w:val="000000"/>
                <w:sz w:val="21"/>
                <w:szCs w:val="21"/>
                <w:u w:val="none" w:color="auto"/>
                <w:lang w:val="en-US" w:eastAsia="zh-CN"/>
              </w:rPr>
              <w:t>8</w:t>
            </w:r>
            <w:r>
              <w:rPr>
                <w:rFonts w:hint="default" w:ascii="Times New Roman" w:hAnsi="Times New Roman" w:eastAsia="宋体" w:cs="Times New Roman"/>
                <w:color w:val="000000"/>
                <w:sz w:val="21"/>
                <w:szCs w:val="21"/>
                <w:u w:val="none" w:color="auto"/>
              </w:rPr>
              <w:t>：地表水监测点设置</w:t>
            </w:r>
          </w:p>
          <w:tbl>
            <w:tblPr>
              <w:tblStyle w:val="28"/>
              <w:tblW w:w="494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85"/>
              <w:gridCol w:w="3381"/>
              <w:gridCol w:w="37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jc w:val="center"/>
              </w:trPr>
              <w:tc>
                <w:tcPr>
                  <w:tcW w:w="1069" w:type="dxa"/>
                  <w:tcBorders>
                    <w:tl2br w:val="nil"/>
                    <w:tr2bl w:val="nil"/>
                  </w:tcBorders>
                  <w:noWrap w:val="0"/>
                  <w:vAlign w:val="center"/>
                </w:tcPr>
                <w:p>
                  <w:pPr>
                    <w:pStyle w:val="51"/>
                    <w:bidi w:val="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编号</w:t>
                  </w:r>
                </w:p>
              </w:tc>
              <w:tc>
                <w:tcPr>
                  <w:tcW w:w="3332" w:type="dxa"/>
                  <w:tcBorders>
                    <w:tl2br w:val="nil"/>
                    <w:tr2bl w:val="nil"/>
                  </w:tcBorders>
                  <w:noWrap w:val="0"/>
                  <w:vAlign w:val="center"/>
                </w:tcPr>
                <w:p>
                  <w:pPr>
                    <w:pStyle w:val="51"/>
                    <w:bidi w:val="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监测点位</w:t>
                  </w:r>
                </w:p>
              </w:tc>
              <w:tc>
                <w:tcPr>
                  <w:tcW w:w="3657" w:type="dxa"/>
                  <w:tcBorders>
                    <w:tl2br w:val="nil"/>
                    <w:tr2bl w:val="nil"/>
                  </w:tcBorders>
                  <w:noWrap w:val="0"/>
                  <w:vAlign w:val="center"/>
                </w:tcPr>
                <w:p>
                  <w:pPr>
                    <w:pStyle w:val="51"/>
                    <w:bidi w:val="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监测因子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jc w:val="center"/>
              </w:trPr>
              <w:tc>
                <w:tcPr>
                  <w:tcW w:w="1069" w:type="dxa"/>
                  <w:tcBorders>
                    <w:tl2br w:val="nil"/>
                    <w:tr2bl w:val="nil"/>
                  </w:tcBorders>
                  <w:noWrap w:val="0"/>
                  <w:vAlign w:val="center"/>
                </w:tcPr>
                <w:p>
                  <w:pPr>
                    <w:pStyle w:val="51"/>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W1</w:t>
                  </w:r>
                </w:p>
              </w:tc>
              <w:tc>
                <w:tcPr>
                  <w:tcW w:w="3332" w:type="dxa"/>
                  <w:tcBorders>
                    <w:tl2br w:val="nil"/>
                    <w:tr2bl w:val="nil"/>
                  </w:tcBorders>
                  <w:noWrap w:val="0"/>
                  <w:vAlign w:val="center"/>
                </w:tcPr>
                <w:p>
                  <w:pPr>
                    <w:pStyle w:val="51"/>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项目所在地红土溪</w:t>
                  </w:r>
                  <w:r>
                    <w:rPr>
                      <w:rFonts w:hint="default" w:ascii="Times New Roman" w:hAnsi="Times New Roman" w:eastAsia="宋体" w:cs="Times New Roman"/>
                      <w:u w:val="none" w:color="auto"/>
                      <w:lang w:eastAsia="zh-CN"/>
                    </w:rPr>
                    <w:t>上游</w:t>
                  </w:r>
                  <w:r>
                    <w:rPr>
                      <w:rFonts w:hint="default" w:ascii="Times New Roman" w:hAnsi="Times New Roman" w:eastAsia="宋体" w:cs="Times New Roman"/>
                      <w:u w:val="none" w:color="auto"/>
                      <w:lang w:val="en-US" w:eastAsia="zh-CN"/>
                    </w:rPr>
                    <w:t>500m处</w:t>
                  </w:r>
                </w:p>
              </w:tc>
              <w:tc>
                <w:tcPr>
                  <w:tcW w:w="3657" w:type="dxa"/>
                  <w:vMerge w:val="restart"/>
                  <w:tcBorders>
                    <w:tl2br w:val="nil"/>
                    <w:tr2bl w:val="nil"/>
                  </w:tcBorders>
                  <w:noWrap w:val="0"/>
                  <w:vAlign w:val="center"/>
                </w:tcPr>
                <w:p>
                  <w:pPr>
                    <w:pStyle w:val="51"/>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sz w:val="21"/>
                      <w:szCs w:val="21"/>
                      <w:u w:val="none" w:color="auto"/>
                      <w:lang w:val="en-US" w:eastAsia="zh-CN"/>
                    </w:rPr>
                    <w:t>水温、pH、总磷、五日生化需氧量、悬浮物、化学需氧量、氨氮、粪大肠菌群、石油类。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1069" w:type="dxa"/>
                  <w:tcBorders>
                    <w:tl2br w:val="nil"/>
                    <w:tr2bl w:val="nil"/>
                  </w:tcBorders>
                  <w:noWrap w:val="0"/>
                  <w:vAlign w:val="center"/>
                </w:tcPr>
                <w:p>
                  <w:pPr>
                    <w:pStyle w:val="51"/>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W2</w:t>
                  </w:r>
                </w:p>
              </w:tc>
              <w:tc>
                <w:tcPr>
                  <w:tcW w:w="3332" w:type="dxa"/>
                  <w:tcBorders>
                    <w:tl2br w:val="nil"/>
                    <w:tr2bl w:val="nil"/>
                  </w:tcBorders>
                  <w:noWrap w:val="0"/>
                  <w:vAlign w:val="center"/>
                </w:tcPr>
                <w:p>
                  <w:pPr>
                    <w:pStyle w:val="51"/>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项目所在地红土溪</w:t>
                  </w:r>
                  <w:r>
                    <w:rPr>
                      <w:rFonts w:hint="default" w:ascii="Times New Roman" w:hAnsi="Times New Roman" w:eastAsia="宋体" w:cs="Times New Roman"/>
                      <w:u w:val="none" w:color="auto"/>
                      <w:lang w:eastAsia="zh-CN"/>
                    </w:rPr>
                    <w:t>下游</w:t>
                  </w:r>
                  <w:r>
                    <w:rPr>
                      <w:rFonts w:hint="default" w:ascii="Times New Roman" w:hAnsi="Times New Roman" w:eastAsia="宋体" w:cs="Times New Roman"/>
                      <w:u w:val="none" w:color="auto"/>
                      <w:lang w:val="en-US" w:eastAsia="zh-CN"/>
                    </w:rPr>
                    <w:t>1000m处</w:t>
                  </w:r>
                </w:p>
              </w:tc>
              <w:tc>
                <w:tcPr>
                  <w:tcW w:w="3657" w:type="dxa"/>
                  <w:vMerge w:val="continue"/>
                  <w:tcBorders>
                    <w:tl2br w:val="nil"/>
                    <w:tr2bl w:val="nil"/>
                  </w:tcBorders>
                  <w:noWrap w:val="0"/>
                  <w:vAlign w:val="center"/>
                </w:tcPr>
                <w:p>
                  <w:pPr>
                    <w:pStyle w:val="51"/>
                    <w:bidi w:val="0"/>
                    <w:rPr>
                      <w:rFonts w:hint="default" w:ascii="Times New Roman" w:hAnsi="Times New Roman" w:eastAsia="宋体" w:cs="Times New Roman"/>
                      <w:u w:val="none" w:color="auto"/>
                      <w:lang w:val="en-US" w:eastAsia="zh-CN"/>
                    </w:rPr>
                  </w:pPr>
                </w:p>
              </w:tc>
            </w:tr>
          </w:tbl>
          <w:p>
            <w:pPr>
              <w:ind w:left="0" w:leftChars="0" w:firstLine="0" w:firstLineChars="0"/>
              <w:jc w:val="center"/>
              <w:rPr>
                <w:rFonts w:hint="default" w:ascii="Times New Roman" w:hAnsi="Times New Roman" w:cs="Times New Roman"/>
                <w:b/>
                <w:bCs/>
                <w:sz w:val="21"/>
                <w:szCs w:val="21"/>
                <w:u w:val="none" w:color="auto"/>
              </w:rPr>
            </w:pPr>
            <w:r>
              <w:rPr>
                <w:rFonts w:hint="default" w:ascii="Times New Roman" w:hAnsi="Times New Roman" w:cs="Times New Roman"/>
                <w:b/>
                <w:bCs/>
                <w:sz w:val="21"/>
                <w:szCs w:val="21"/>
                <w:u w:val="none" w:color="auto"/>
              </w:rPr>
              <w:t>表</w:t>
            </w:r>
            <w:r>
              <w:rPr>
                <w:rFonts w:hint="default" w:ascii="Times New Roman" w:hAnsi="Times New Roman" w:cs="Times New Roman"/>
                <w:b/>
                <w:bCs/>
                <w:sz w:val="21"/>
                <w:szCs w:val="21"/>
                <w:u w:val="none" w:color="auto"/>
                <w:lang w:val="en-US" w:eastAsia="zh-CN"/>
              </w:rPr>
              <w:t>3.1-</w:t>
            </w:r>
            <w:r>
              <w:rPr>
                <w:rFonts w:hint="eastAsia" w:ascii="Times New Roman" w:hAnsi="Times New Roman" w:cs="Times New Roman"/>
                <w:b/>
                <w:bCs/>
                <w:sz w:val="21"/>
                <w:szCs w:val="21"/>
                <w:u w:val="none" w:color="auto"/>
                <w:lang w:val="en-US" w:eastAsia="zh-CN"/>
              </w:rPr>
              <w:t>9</w:t>
            </w:r>
            <w:r>
              <w:rPr>
                <w:rFonts w:hint="default" w:ascii="Times New Roman" w:hAnsi="Times New Roman" w:cs="Times New Roman"/>
                <w:b/>
                <w:bCs/>
                <w:sz w:val="21"/>
                <w:szCs w:val="21"/>
                <w:u w:val="none" w:color="auto"/>
              </w:rPr>
              <w:t>：</w:t>
            </w:r>
            <w:r>
              <w:rPr>
                <w:rFonts w:hint="default" w:ascii="Times New Roman" w:hAnsi="Times New Roman" w:cs="Times New Roman"/>
                <w:b/>
                <w:bCs/>
                <w:sz w:val="21"/>
                <w:szCs w:val="21"/>
                <w:u w:val="none" w:color="auto"/>
                <w:lang w:val="en-US" w:eastAsia="zh-CN"/>
              </w:rPr>
              <w:t>地表水</w:t>
            </w:r>
            <w:r>
              <w:rPr>
                <w:rFonts w:hint="default" w:ascii="Times New Roman" w:hAnsi="Times New Roman" w:cs="Times New Roman"/>
                <w:b/>
                <w:bCs/>
                <w:sz w:val="21"/>
                <w:szCs w:val="21"/>
                <w:u w:val="none" w:color="auto"/>
              </w:rPr>
              <w:t>采样水文参数记录表</w:t>
            </w:r>
          </w:p>
          <w:tbl>
            <w:tblPr>
              <w:tblStyle w:val="28"/>
              <w:tblW w:w="497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234"/>
              <w:gridCol w:w="1546"/>
              <w:gridCol w:w="1579"/>
              <w:gridCol w:w="18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93" w:hRule="atLeast"/>
                <w:jc w:val="center"/>
              </w:trPr>
              <w:tc>
                <w:tcPr>
                  <w:tcW w:w="1962"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hint="default" w:ascii="Times New Roman" w:hAnsi="Times New Roman" w:cs="Times New Roman"/>
                      <w:b/>
                      <w:bCs/>
                      <w:u w:val="none" w:color="auto"/>
                      <w:lang w:val="en-US" w:eastAsia="zh-CN"/>
                    </w:rPr>
                    <w:t>采样点位</w:t>
                  </w:r>
                </w:p>
              </w:tc>
              <w:tc>
                <w:tcPr>
                  <w:tcW w:w="1896" w:type="pct"/>
                  <w:gridSpan w:val="2"/>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hint="default" w:ascii="Times New Roman" w:hAnsi="Times New Roman" w:cs="Times New Roman"/>
                      <w:b/>
                      <w:bCs/>
                      <w:u w:val="none" w:color="auto"/>
                      <w:lang w:val="en-US" w:eastAsia="zh-CN"/>
                    </w:rPr>
                    <w:t>采样日期（时段）</w:t>
                  </w:r>
                </w:p>
              </w:tc>
              <w:tc>
                <w:tcPr>
                  <w:tcW w:w="1140" w:type="pct"/>
                  <w:tcBorders>
                    <w:tl2br w:val="nil"/>
                    <w:tr2bl w:val="nil"/>
                  </w:tcBorders>
                  <w:noWrap w:val="0"/>
                  <w:vAlign w:val="center"/>
                </w:tcPr>
                <w:p>
                  <w:pPr>
                    <w:pStyle w:val="39"/>
                    <w:rPr>
                      <w:rFonts w:hint="default" w:ascii="Times New Roman" w:hAnsi="Times New Roman" w:cs="Times New Roman"/>
                      <w:b/>
                      <w:bCs/>
                      <w:u w:val="none" w:color="auto"/>
                      <w:lang w:val="en-US" w:eastAsia="zh-CN"/>
                    </w:rPr>
                  </w:pPr>
                  <w:r>
                    <w:rPr>
                      <w:rFonts w:hint="default" w:ascii="Times New Roman" w:hAnsi="Times New Roman" w:cs="Times New Roman"/>
                      <w:b/>
                      <w:bCs/>
                      <w:u w:val="none" w:color="auto"/>
                      <w:lang w:val="en-US" w:eastAsia="zh-CN"/>
                    </w:rPr>
                    <w:t>水温（℃）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3" w:hRule="atLeast"/>
                <w:jc w:val="center"/>
              </w:trPr>
              <w:tc>
                <w:tcPr>
                  <w:tcW w:w="1962" w:type="pct"/>
                  <w:tcBorders>
                    <w:tl2br w:val="nil"/>
                    <w:tr2bl w:val="nil"/>
                  </w:tcBorders>
                  <w:noWrap w:val="0"/>
                  <w:vAlign w:val="center"/>
                </w:tcPr>
                <w:p>
                  <w:pPr>
                    <w:pStyle w:val="39"/>
                    <w:autoSpaceDN/>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项目所在地红土溪上游500m处W1</w:t>
                  </w:r>
                </w:p>
              </w:tc>
              <w:tc>
                <w:tcPr>
                  <w:tcW w:w="938" w:type="pct"/>
                  <w:vMerge w:val="restar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2023.07.01</w:t>
                  </w:r>
                </w:p>
              </w:tc>
              <w:tc>
                <w:tcPr>
                  <w:tcW w:w="958"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10:14</w:t>
                  </w:r>
                </w:p>
              </w:tc>
              <w:tc>
                <w:tcPr>
                  <w:tcW w:w="1140"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3" w:hRule="atLeast"/>
                <w:jc w:val="center"/>
              </w:trPr>
              <w:tc>
                <w:tcPr>
                  <w:tcW w:w="1962" w:type="pct"/>
                  <w:tcBorders>
                    <w:tl2br w:val="nil"/>
                    <w:tr2bl w:val="nil"/>
                  </w:tcBorders>
                  <w:noWrap w:val="0"/>
                  <w:vAlign w:val="center"/>
                </w:tcPr>
                <w:p>
                  <w:pPr>
                    <w:pStyle w:val="39"/>
                    <w:autoSpaceDN/>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项目所在地红土溪下游1000m处W2</w:t>
                  </w:r>
                </w:p>
              </w:tc>
              <w:tc>
                <w:tcPr>
                  <w:tcW w:w="938" w:type="pct"/>
                  <w:vMerge w:val="continue"/>
                  <w:tcBorders>
                    <w:tl2br w:val="nil"/>
                    <w:tr2bl w:val="nil"/>
                  </w:tcBorders>
                  <w:noWrap w:val="0"/>
                  <w:vAlign w:val="center"/>
                </w:tcPr>
                <w:p>
                  <w:pPr>
                    <w:pStyle w:val="39"/>
                    <w:rPr>
                      <w:rFonts w:hint="default" w:ascii="Times New Roman" w:hAnsi="Times New Roman" w:cs="Times New Roman"/>
                      <w:u w:val="none" w:color="auto"/>
                      <w:lang w:val="en-US" w:eastAsia="zh-CN"/>
                    </w:rPr>
                  </w:pPr>
                </w:p>
              </w:tc>
              <w:tc>
                <w:tcPr>
                  <w:tcW w:w="958"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10:36</w:t>
                  </w:r>
                </w:p>
              </w:tc>
              <w:tc>
                <w:tcPr>
                  <w:tcW w:w="1140"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3" w:hRule="atLeast"/>
                <w:jc w:val="center"/>
              </w:trPr>
              <w:tc>
                <w:tcPr>
                  <w:tcW w:w="1962" w:type="pct"/>
                  <w:tcBorders>
                    <w:tl2br w:val="nil"/>
                    <w:tr2bl w:val="nil"/>
                  </w:tcBorders>
                  <w:noWrap w:val="0"/>
                  <w:vAlign w:val="center"/>
                </w:tcPr>
                <w:p>
                  <w:pPr>
                    <w:pStyle w:val="39"/>
                    <w:autoSpaceDN/>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项目所在地红土溪上游500m处W1</w:t>
                  </w:r>
                </w:p>
              </w:tc>
              <w:tc>
                <w:tcPr>
                  <w:tcW w:w="938" w:type="pct"/>
                  <w:vMerge w:val="restar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2023.07.02</w:t>
                  </w:r>
                </w:p>
              </w:tc>
              <w:tc>
                <w:tcPr>
                  <w:tcW w:w="958"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14:15</w:t>
                  </w:r>
                </w:p>
              </w:tc>
              <w:tc>
                <w:tcPr>
                  <w:tcW w:w="1140"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3" w:hRule="atLeast"/>
                <w:jc w:val="center"/>
              </w:trPr>
              <w:tc>
                <w:tcPr>
                  <w:tcW w:w="1962" w:type="pct"/>
                  <w:tcBorders>
                    <w:tl2br w:val="nil"/>
                    <w:tr2bl w:val="nil"/>
                  </w:tcBorders>
                  <w:noWrap w:val="0"/>
                  <w:vAlign w:val="center"/>
                </w:tcPr>
                <w:p>
                  <w:pPr>
                    <w:pStyle w:val="39"/>
                    <w:autoSpaceDN/>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项目所在地红土溪下游1000m处W2</w:t>
                  </w:r>
                </w:p>
              </w:tc>
              <w:tc>
                <w:tcPr>
                  <w:tcW w:w="938" w:type="pct"/>
                  <w:vMerge w:val="continue"/>
                  <w:tcBorders>
                    <w:tl2br w:val="nil"/>
                    <w:tr2bl w:val="nil"/>
                  </w:tcBorders>
                  <w:noWrap w:val="0"/>
                  <w:vAlign w:val="center"/>
                </w:tcPr>
                <w:p>
                  <w:pPr>
                    <w:pStyle w:val="39"/>
                    <w:rPr>
                      <w:rFonts w:hint="default" w:ascii="Times New Roman" w:hAnsi="Times New Roman" w:cs="Times New Roman"/>
                      <w:u w:val="none" w:color="auto"/>
                      <w:lang w:val="en-US" w:eastAsia="zh-CN"/>
                    </w:rPr>
                  </w:pPr>
                </w:p>
              </w:tc>
              <w:tc>
                <w:tcPr>
                  <w:tcW w:w="958"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14:37</w:t>
                  </w:r>
                </w:p>
              </w:tc>
              <w:tc>
                <w:tcPr>
                  <w:tcW w:w="1140"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3" w:hRule="atLeast"/>
                <w:jc w:val="center"/>
              </w:trPr>
              <w:tc>
                <w:tcPr>
                  <w:tcW w:w="1962" w:type="pct"/>
                  <w:tcBorders>
                    <w:tl2br w:val="nil"/>
                    <w:tr2bl w:val="nil"/>
                  </w:tcBorders>
                  <w:noWrap w:val="0"/>
                  <w:vAlign w:val="center"/>
                </w:tcPr>
                <w:p>
                  <w:pPr>
                    <w:pStyle w:val="39"/>
                    <w:autoSpaceDN/>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项目所在地红土溪上游500m处W1</w:t>
                  </w:r>
                </w:p>
              </w:tc>
              <w:tc>
                <w:tcPr>
                  <w:tcW w:w="938" w:type="pct"/>
                  <w:vMerge w:val="restar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2023.07.03</w:t>
                  </w:r>
                </w:p>
              </w:tc>
              <w:tc>
                <w:tcPr>
                  <w:tcW w:w="958"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13:36</w:t>
                  </w:r>
                </w:p>
              </w:tc>
              <w:tc>
                <w:tcPr>
                  <w:tcW w:w="1140"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3" w:hRule="atLeast"/>
                <w:jc w:val="center"/>
              </w:trPr>
              <w:tc>
                <w:tcPr>
                  <w:tcW w:w="1962" w:type="pct"/>
                  <w:tcBorders>
                    <w:tl2br w:val="nil"/>
                    <w:tr2bl w:val="nil"/>
                  </w:tcBorders>
                  <w:noWrap w:val="0"/>
                  <w:vAlign w:val="center"/>
                </w:tcPr>
                <w:p>
                  <w:pPr>
                    <w:pStyle w:val="39"/>
                    <w:autoSpaceDN/>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项目所在地红土溪下游1000m处W2</w:t>
                  </w:r>
                </w:p>
              </w:tc>
              <w:tc>
                <w:tcPr>
                  <w:tcW w:w="938" w:type="pct"/>
                  <w:vMerge w:val="continue"/>
                  <w:tcBorders>
                    <w:tl2br w:val="nil"/>
                    <w:tr2bl w:val="nil"/>
                  </w:tcBorders>
                  <w:noWrap w:val="0"/>
                  <w:vAlign w:val="center"/>
                </w:tcPr>
                <w:p>
                  <w:pPr>
                    <w:pStyle w:val="39"/>
                    <w:rPr>
                      <w:rFonts w:hint="default" w:ascii="Times New Roman" w:hAnsi="Times New Roman" w:cs="Times New Roman"/>
                      <w:u w:val="none" w:color="auto"/>
                      <w:lang w:val="en-US" w:eastAsia="zh-CN"/>
                    </w:rPr>
                  </w:pPr>
                </w:p>
              </w:tc>
              <w:tc>
                <w:tcPr>
                  <w:tcW w:w="958"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13:54</w:t>
                  </w:r>
                </w:p>
              </w:tc>
              <w:tc>
                <w:tcPr>
                  <w:tcW w:w="1140"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17.3</w:t>
                  </w:r>
                </w:p>
              </w:tc>
            </w:tr>
          </w:tbl>
          <w:p>
            <w:pPr>
              <w:pStyle w:val="42"/>
              <w:rPr>
                <w:rFonts w:hint="default" w:ascii="Times New Roman" w:hAnsi="Times New Roman" w:cs="Times New Roman"/>
                <w:u w:val="none" w:color="auto"/>
              </w:rPr>
            </w:pPr>
            <w:r>
              <w:rPr>
                <w:rFonts w:hint="default" w:ascii="Times New Roman" w:hAnsi="Times New Roman" w:eastAsia="宋体" w:cs="Times New Roman"/>
                <w:bCs/>
                <w:spacing w:val="0"/>
                <w:u w:val="none" w:color="auto"/>
              </w:rPr>
              <w:t>表3</w:t>
            </w:r>
            <w:r>
              <w:rPr>
                <w:rFonts w:hint="default" w:ascii="Times New Roman" w:hAnsi="Times New Roman" w:eastAsia="宋体" w:cs="Times New Roman"/>
                <w:bCs/>
                <w:spacing w:val="0"/>
                <w:u w:val="none" w:color="auto"/>
                <w:lang w:val="zh-CN" w:eastAsia="zh-CN"/>
              </w:rPr>
              <w:t>.1-</w:t>
            </w:r>
            <w:r>
              <w:rPr>
                <w:rFonts w:hint="eastAsia" w:ascii="Times New Roman" w:hAnsi="Times New Roman" w:eastAsia="宋体" w:cs="Times New Roman"/>
                <w:bCs/>
                <w:spacing w:val="0"/>
                <w:u w:val="none" w:color="auto"/>
                <w:lang w:val="en-US" w:eastAsia="zh-CN"/>
              </w:rPr>
              <w:t>10</w:t>
            </w:r>
            <w:r>
              <w:rPr>
                <w:rFonts w:hint="default" w:ascii="Times New Roman" w:hAnsi="Times New Roman" w:eastAsia="宋体" w:cs="Times New Roman"/>
                <w:bCs/>
                <w:spacing w:val="0"/>
                <w:u w:val="none" w:color="auto"/>
                <w:lang w:val="zh-CN" w:eastAsia="zh-CN"/>
              </w:rPr>
              <w:t xml:space="preserve"> </w:t>
            </w:r>
            <w:r>
              <w:rPr>
                <w:rFonts w:hint="default" w:ascii="Times New Roman" w:hAnsi="Times New Roman" w:eastAsia="宋体" w:cs="Times New Roman"/>
                <w:bCs/>
                <w:spacing w:val="0"/>
                <w:u w:val="none" w:color="auto"/>
              </w:rPr>
              <w:t xml:space="preserve"> 地表水监测数据统计结果 浓度：mg/L（除pH值无量纲、粪大肠菌群：个/L）</w:t>
            </w:r>
          </w:p>
          <w:tbl>
            <w:tblPr>
              <w:tblStyle w:val="28"/>
              <w:tblW w:w="4895"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13"/>
              <w:gridCol w:w="1313"/>
              <w:gridCol w:w="1283"/>
              <w:gridCol w:w="1071"/>
              <w:gridCol w:w="1014"/>
              <w:gridCol w:w="1082"/>
              <w:gridCol w:w="846"/>
              <w:gridCol w:w="88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51" w:hRule="atLeast"/>
                <w:tblHeader/>
                <w:jc w:val="center"/>
              </w:trPr>
              <w:tc>
                <w:tcPr>
                  <w:tcW w:w="378" w:type="pct"/>
                  <w:tcBorders>
                    <w:tl2br w:val="nil"/>
                    <w:tr2bl w:val="nil"/>
                  </w:tcBorders>
                  <w:noWrap w:val="0"/>
                  <w:vAlign w:val="center"/>
                </w:tcPr>
                <w:p>
                  <w:pPr>
                    <w:pStyle w:val="39"/>
                    <w:snapToGrid w:val="0"/>
                    <w:rPr>
                      <w:rFonts w:hint="default" w:ascii="Times New Roman" w:hAnsi="Times New Roman" w:cs="Times New Roman"/>
                      <w:b/>
                      <w:bCs/>
                      <w:u w:val="none" w:color="auto"/>
                    </w:rPr>
                  </w:pPr>
                  <w:bookmarkStart w:id="98" w:name="_Hlk525978425"/>
                  <w:r>
                    <w:rPr>
                      <w:rFonts w:hint="default" w:ascii="Times New Roman" w:hAnsi="Times New Roman" w:cs="Times New Roman"/>
                      <w:b/>
                      <w:bCs/>
                      <w:u w:val="none" w:color="auto"/>
                    </w:rPr>
                    <w:t>断面</w:t>
                  </w:r>
                </w:p>
              </w:tc>
              <w:tc>
                <w:tcPr>
                  <w:tcW w:w="810" w:type="pct"/>
                  <w:tcBorders>
                    <w:tl2br w:val="nil"/>
                    <w:tr2bl w:val="nil"/>
                  </w:tcBorders>
                  <w:noWrap w:val="0"/>
                  <w:vAlign w:val="center"/>
                </w:tcPr>
                <w:p>
                  <w:pPr>
                    <w:pStyle w:val="39"/>
                    <w:snapToGrid w:val="0"/>
                    <w:rPr>
                      <w:rFonts w:hint="default" w:ascii="Times New Roman" w:hAnsi="Times New Roman" w:cs="Times New Roman"/>
                      <w:b/>
                      <w:bCs/>
                      <w:u w:val="none" w:color="auto"/>
                    </w:rPr>
                  </w:pPr>
                  <w:r>
                    <w:rPr>
                      <w:rFonts w:hint="default" w:ascii="Times New Roman" w:hAnsi="Times New Roman" w:cs="Times New Roman"/>
                      <w:b/>
                      <w:bCs/>
                      <w:u w:val="none" w:color="auto"/>
                    </w:rPr>
                    <w:t>项目</w:t>
                  </w:r>
                </w:p>
              </w:tc>
              <w:tc>
                <w:tcPr>
                  <w:tcW w:w="792" w:type="pct"/>
                  <w:tcBorders>
                    <w:tl2br w:val="nil"/>
                    <w:tr2bl w:val="nil"/>
                  </w:tcBorders>
                  <w:noWrap w:val="0"/>
                  <w:vAlign w:val="center"/>
                </w:tcPr>
                <w:p>
                  <w:pPr>
                    <w:pStyle w:val="39"/>
                    <w:snapToGrid w:val="0"/>
                    <w:rPr>
                      <w:rFonts w:hint="default" w:ascii="Times New Roman" w:hAnsi="Times New Roman" w:cs="Times New Roman"/>
                      <w:b/>
                      <w:bCs/>
                      <w:u w:val="none" w:color="auto"/>
                    </w:rPr>
                  </w:pPr>
                  <w:r>
                    <w:rPr>
                      <w:rFonts w:hint="default" w:ascii="Times New Roman" w:hAnsi="Times New Roman" w:cs="Times New Roman"/>
                      <w:b/>
                      <w:bCs/>
                      <w:u w:val="none" w:color="auto"/>
                    </w:rPr>
                    <w:t>浓度范围</w:t>
                  </w:r>
                </w:p>
              </w:tc>
              <w:tc>
                <w:tcPr>
                  <w:tcW w:w="661" w:type="pct"/>
                  <w:tcBorders>
                    <w:tl2br w:val="nil"/>
                    <w:tr2bl w:val="nil"/>
                  </w:tcBorders>
                  <w:noWrap w:val="0"/>
                  <w:vAlign w:val="center"/>
                </w:tcPr>
                <w:p>
                  <w:pPr>
                    <w:pStyle w:val="39"/>
                    <w:snapToGrid w:val="0"/>
                    <w:rPr>
                      <w:rFonts w:hint="default" w:ascii="Times New Roman" w:hAnsi="Times New Roman" w:cs="Times New Roman"/>
                      <w:b/>
                      <w:bCs/>
                      <w:u w:val="none" w:color="auto"/>
                    </w:rPr>
                  </w:pPr>
                  <w:r>
                    <w:rPr>
                      <w:rFonts w:hint="default" w:ascii="Times New Roman" w:hAnsi="Times New Roman" w:cs="Times New Roman"/>
                      <w:b/>
                      <w:bCs/>
                      <w:u w:val="none" w:color="auto"/>
                    </w:rPr>
                    <w:t>评价标准</w:t>
                  </w:r>
                </w:p>
              </w:tc>
              <w:tc>
                <w:tcPr>
                  <w:tcW w:w="626" w:type="pct"/>
                  <w:tcBorders>
                    <w:tl2br w:val="nil"/>
                    <w:tr2bl w:val="nil"/>
                  </w:tcBorders>
                  <w:noWrap w:val="0"/>
                  <w:vAlign w:val="center"/>
                </w:tcPr>
                <w:p>
                  <w:pPr>
                    <w:pStyle w:val="39"/>
                    <w:snapToGrid w:val="0"/>
                    <w:rPr>
                      <w:rFonts w:hint="default" w:ascii="Times New Roman" w:hAnsi="Times New Roman" w:cs="Times New Roman"/>
                      <w:b/>
                      <w:bCs/>
                      <w:u w:val="none" w:color="auto"/>
                    </w:rPr>
                  </w:pPr>
                  <w:r>
                    <w:rPr>
                      <w:rFonts w:hint="default" w:ascii="Times New Roman" w:hAnsi="Times New Roman" w:cs="Times New Roman"/>
                      <w:b/>
                      <w:bCs/>
                      <w:u w:val="none" w:color="auto"/>
                    </w:rPr>
                    <w:t>样品数/超标样品数</w:t>
                  </w:r>
                </w:p>
              </w:tc>
              <w:tc>
                <w:tcPr>
                  <w:tcW w:w="668" w:type="pct"/>
                  <w:tcBorders>
                    <w:tl2br w:val="nil"/>
                    <w:tr2bl w:val="nil"/>
                  </w:tcBorders>
                  <w:noWrap w:val="0"/>
                  <w:vAlign w:val="center"/>
                </w:tcPr>
                <w:p>
                  <w:pPr>
                    <w:pStyle w:val="39"/>
                    <w:snapToGrid w:val="0"/>
                    <w:rPr>
                      <w:rFonts w:hint="default" w:ascii="Times New Roman" w:hAnsi="Times New Roman" w:cs="Times New Roman"/>
                      <w:b/>
                      <w:bCs/>
                      <w:u w:val="none" w:color="auto"/>
                    </w:rPr>
                  </w:pPr>
                  <w:r>
                    <w:rPr>
                      <w:rFonts w:hint="default" w:ascii="Times New Roman" w:hAnsi="Times New Roman" w:cs="Times New Roman"/>
                      <w:b/>
                      <w:bCs/>
                      <w:u w:val="none" w:color="auto"/>
                    </w:rPr>
                    <w:t>超标率</w:t>
                  </w:r>
                </w:p>
              </w:tc>
              <w:tc>
                <w:tcPr>
                  <w:tcW w:w="522" w:type="pct"/>
                  <w:tcBorders>
                    <w:tl2br w:val="nil"/>
                    <w:tr2bl w:val="nil"/>
                  </w:tcBorders>
                  <w:noWrap w:val="0"/>
                  <w:vAlign w:val="center"/>
                </w:tcPr>
                <w:p>
                  <w:pPr>
                    <w:pStyle w:val="39"/>
                    <w:snapToGrid w:val="0"/>
                    <w:rPr>
                      <w:rFonts w:hint="default" w:ascii="Times New Roman" w:hAnsi="Times New Roman" w:cs="Times New Roman"/>
                      <w:b/>
                      <w:bCs/>
                      <w:u w:val="none" w:color="auto"/>
                    </w:rPr>
                  </w:pPr>
                  <w:r>
                    <w:rPr>
                      <w:rFonts w:hint="default" w:ascii="Times New Roman" w:hAnsi="Times New Roman" w:cs="Times New Roman"/>
                      <w:b/>
                      <w:bCs/>
                      <w:u w:val="none" w:color="auto"/>
                    </w:rPr>
                    <w:t>最大超标倍数</w:t>
                  </w:r>
                </w:p>
              </w:tc>
              <w:tc>
                <w:tcPr>
                  <w:tcW w:w="539" w:type="pct"/>
                  <w:tcBorders>
                    <w:tl2br w:val="nil"/>
                    <w:tr2bl w:val="nil"/>
                  </w:tcBorders>
                  <w:noWrap w:val="0"/>
                  <w:vAlign w:val="center"/>
                </w:tcPr>
                <w:p>
                  <w:pPr>
                    <w:pStyle w:val="39"/>
                    <w:snapToGrid w:val="0"/>
                    <w:rPr>
                      <w:rFonts w:hint="default" w:ascii="Times New Roman" w:hAnsi="Times New Roman" w:cs="Times New Roman"/>
                      <w:b/>
                      <w:bCs/>
                      <w:u w:val="none" w:color="auto"/>
                    </w:rPr>
                  </w:pPr>
                  <w:r>
                    <w:rPr>
                      <w:rFonts w:hint="default" w:ascii="Times New Roman" w:hAnsi="Times New Roman" w:cs="Times New Roman"/>
                      <w:b/>
                      <w:bCs/>
                      <w:u w:val="none" w:color="auto"/>
                    </w:rPr>
                    <w:t>达标情况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restar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W1</w:t>
                  </w:r>
                </w:p>
              </w:tc>
              <w:tc>
                <w:tcPr>
                  <w:tcW w:w="810" w:type="pct"/>
                  <w:tcBorders>
                    <w:tl2br w:val="nil"/>
                    <w:tr2bl w:val="nil"/>
                  </w:tcBorders>
                  <w:noWrap w:val="0"/>
                  <w:vAlign w:val="center"/>
                </w:tcPr>
                <w:p>
                  <w:pPr>
                    <w:pStyle w:val="39"/>
                    <w:rPr>
                      <w:rFonts w:hint="default" w:ascii="Times New Roman" w:hAnsi="Times New Roman" w:cs="Times New Roman"/>
                      <w:u w:val="none" w:color="auto"/>
                    </w:rPr>
                  </w:pPr>
                  <w:r>
                    <w:rPr>
                      <w:rFonts w:hint="default" w:ascii="Times New Roman" w:hAnsi="Times New Roman" w:cs="Times New Roman"/>
                      <w:u w:val="none" w:color="auto"/>
                    </w:rPr>
                    <w:t>pH</w:t>
                  </w:r>
                </w:p>
              </w:tc>
              <w:tc>
                <w:tcPr>
                  <w:tcW w:w="792" w:type="pct"/>
                  <w:tcBorders>
                    <w:tl2br w:val="nil"/>
                    <w:tr2bl w:val="nil"/>
                  </w:tcBorders>
                  <w:noWrap w:val="0"/>
                  <w:vAlign w:val="center"/>
                </w:tcPr>
                <w:p>
                  <w:pPr>
                    <w:pStyle w:val="39"/>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7.1~7.2</w:t>
                  </w:r>
                </w:p>
              </w:tc>
              <w:tc>
                <w:tcPr>
                  <w:tcW w:w="661" w:type="pct"/>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ascii="Times New Roman" w:hAnsi="Times New Roman" w:cs="Times New Roman"/>
                      <w:u w:val="none" w:color="auto"/>
                    </w:rPr>
                    <w:t>6-9</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rPr>
                      <w:rFonts w:hint="default" w:ascii="Times New Roman" w:hAnsi="Times New Roman" w:cs="Times New Roman"/>
                      <w:u w:val="none" w:color="auto"/>
                    </w:rPr>
                  </w:pPr>
                  <w:r>
                    <w:rPr>
                      <w:rFonts w:ascii="Times New Roman" w:hAnsi="Times New Roman" w:cs="Times New Roman"/>
                      <w:u w:val="none" w:color="auto"/>
                    </w:rPr>
                    <w:t>CODcr</w:t>
                  </w:r>
                </w:p>
              </w:tc>
              <w:tc>
                <w:tcPr>
                  <w:tcW w:w="792" w:type="pct"/>
                  <w:tcBorders>
                    <w:tl2br w:val="nil"/>
                    <w:tr2bl w:val="nil"/>
                  </w:tcBorders>
                  <w:noWrap w:val="0"/>
                  <w:vAlign w:val="center"/>
                </w:tcPr>
                <w:p>
                  <w:pPr>
                    <w:pStyle w:val="39"/>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8~12</w:t>
                  </w:r>
                </w:p>
              </w:tc>
              <w:tc>
                <w:tcPr>
                  <w:tcW w:w="661" w:type="pct"/>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20</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rPr>
                      <w:rFonts w:hint="default" w:ascii="Times New Roman" w:hAnsi="Times New Roman" w:cs="Times New Roman"/>
                      <w:u w:val="none" w:color="auto"/>
                    </w:rPr>
                  </w:pPr>
                  <w:r>
                    <w:rPr>
                      <w:rFonts w:ascii="Times New Roman" w:hAnsi="Times New Roman" w:cs="Times New Roman"/>
                      <w:u w:val="none" w:color="auto"/>
                    </w:rPr>
                    <w:t>BOD5</w:t>
                  </w:r>
                </w:p>
              </w:tc>
              <w:tc>
                <w:tcPr>
                  <w:tcW w:w="792" w:type="pct"/>
                  <w:tcBorders>
                    <w:tl2br w:val="nil"/>
                    <w:tr2bl w:val="nil"/>
                  </w:tcBorders>
                  <w:noWrap w:val="0"/>
                  <w:vAlign w:val="center"/>
                </w:tcPr>
                <w:p>
                  <w:pPr>
                    <w:pStyle w:val="39"/>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1.0~1.1</w:t>
                  </w:r>
                </w:p>
              </w:tc>
              <w:tc>
                <w:tcPr>
                  <w:tcW w:w="661" w:type="pct"/>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4</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3/3</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rPr>
                      <w:rFonts w:hint="default" w:ascii="Times New Roman" w:hAnsi="Times New Roman" w:cs="Times New Roman"/>
                      <w:u w:val="none" w:color="auto"/>
                    </w:rPr>
                  </w:pPr>
                  <w:r>
                    <w:rPr>
                      <w:rFonts w:hint="default" w:ascii="Times New Roman" w:hAnsi="Times New Roman" w:cs="Times New Roman"/>
                      <w:u w:val="none" w:color="auto"/>
                    </w:rPr>
                    <w:t>悬浮物</w:t>
                  </w:r>
                </w:p>
              </w:tc>
              <w:tc>
                <w:tcPr>
                  <w:tcW w:w="792" w:type="pct"/>
                  <w:tcBorders>
                    <w:tl2br w:val="nil"/>
                    <w:tr2bl w:val="nil"/>
                  </w:tcBorders>
                  <w:noWrap w:val="0"/>
                  <w:vAlign w:val="center"/>
                </w:tcPr>
                <w:p>
                  <w:pPr>
                    <w:pStyle w:val="39"/>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5~6</w:t>
                  </w:r>
                </w:p>
              </w:tc>
              <w:tc>
                <w:tcPr>
                  <w:tcW w:w="661" w:type="pct"/>
                  <w:tcBorders>
                    <w:tl2br w:val="nil"/>
                    <w:tr2bl w:val="nil"/>
                  </w:tcBorders>
                  <w:noWrap w:val="0"/>
                  <w:vAlign w:val="center"/>
                </w:tcPr>
                <w:p>
                  <w:pPr>
                    <w:pStyle w:val="39"/>
                    <w:autoSpaceDE/>
                    <w:autoSpaceDN/>
                    <w:snapToGrid w:val="0"/>
                    <w:rPr>
                      <w:rFonts w:hint="default" w:ascii="Times New Roman" w:hAnsi="Times New Roman" w:eastAsia="宋体" w:cs="Times New Roman"/>
                      <w:u w:val="none" w:color="auto"/>
                      <w:lang w:eastAsia="zh-CN"/>
                    </w:rPr>
                  </w:pPr>
                  <w:r>
                    <w:rPr>
                      <w:rFonts w:hint="default" w:ascii="Times New Roman" w:hAnsi="Times New Roman" w:cs="Times New Roman"/>
                      <w:u w:val="none" w:color="auto"/>
                      <w:lang w:val="en-US" w:eastAsia="zh-CN"/>
                    </w:rPr>
                    <w:t>/</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rPr>
                      <w:rFonts w:hint="default" w:ascii="Times New Roman" w:hAnsi="Times New Roman" w:cs="Times New Roman"/>
                      <w:u w:val="none" w:color="auto"/>
                    </w:rPr>
                  </w:pPr>
                  <w:r>
                    <w:rPr>
                      <w:rFonts w:hint="default" w:ascii="Times New Roman" w:hAnsi="Times New Roman" w:cs="Times New Roman"/>
                      <w:u w:val="none" w:color="auto"/>
                    </w:rPr>
                    <w:t>氨氮</w:t>
                  </w:r>
                </w:p>
              </w:tc>
              <w:tc>
                <w:tcPr>
                  <w:tcW w:w="792" w:type="pct"/>
                  <w:tcBorders>
                    <w:tl2br w:val="nil"/>
                    <w:tr2bl w:val="nil"/>
                  </w:tcBorders>
                  <w:noWrap w:val="0"/>
                  <w:vAlign w:val="center"/>
                </w:tcPr>
                <w:p>
                  <w:pPr>
                    <w:pStyle w:val="39"/>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0.233~0.249</w:t>
                  </w:r>
                </w:p>
              </w:tc>
              <w:tc>
                <w:tcPr>
                  <w:tcW w:w="661" w:type="pct"/>
                  <w:tcBorders>
                    <w:tl2br w:val="nil"/>
                    <w:tr2bl w:val="nil"/>
                  </w:tcBorders>
                  <w:noWrap w:val="0"/>
                  <w:vAlign w:val="center"/>
                </w:tcPr>
                <w:p>
                  <w:pPr>
                    <w:pStyle w:val="39"/>
                    <w:autoSpaceDE/>
                    <w:autoSpaceDN/>
                    <w:snapToGrid w:val="0"/>
                    <w:rPr>
                      <w:rFonts w:hint="default" w:ascii="Times New Roman" w:hAnsi="Times New Roman" w:cs="Times New Roman"/>
                      <w:u w:val="none" w:color="auto"/>
                      <w:lang w:val="en-US"/>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1.0</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rPr>
                      <w:rFonts w:hint="default" w:ascii="Times New Roman" w:hAnsi="Times New Roman" w:cs="Times New Roman"/>
                      <w:u w:val="none" w:color="auto"/>
                    </w:rPr>
                  </w:pPr>
                  <w:r>
                    <w:rPr>
                      <w:rFonts w:hint="default" w:ascii="Times New Roman" w:hAnsi="Times New Roman" w:cs="Times New Roman"/>
                      <w:u w:val="none" w:color="auto"/>
                      <w:lang w:val="en-US" w:eastAsia="zh-CN"/>
                    </w:rPr>
                    <w:t>总磷</w:t>
                  </w:r>
                </w:p>
              </w:tc>
              <w:tc>
                <w:tcPr>
                  <w:tcW w:w="792" w:type="pct"/>
                  <w:tcBorders>
                    <w:tl2br w:val="nil"/>
                    <w:tr2bl w:val="nil"/>
                  </w:tcBorders>
                  <w:noWrap w:val="0"/>
                  <w:vAlign w:val="center"/>
                </w:tcPr>
                <w:p>
                  <w:pPr>
                    <w:pStyle w:val="39"/>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0.1~0.12</w:t>
                  </w:r>
                </w:p>
              </w:tc>
              <w:tc>
                <w:tcPr>
                  <w:tcW w:w="661" w:type="pct"/>
                  <w:tcBorders>
                    <w:tl2br w:val="nil"/>
                    <w:tr2bl w:val="nil"/>
                  </w:tcBorders>
                  <w:noWrap w:val="0"/>
                  <w:vAlign w:val="center"/>
                </w:tcPr>
                <w:p>
                  <w:pPr>
                    <w:pStyle w:val="39"/>
                    <w:autoSpaceDE/>
                    <w:autoSpaceDN/>
                    <w:snapToGrid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0.2</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石油类</w:t>
                  </w:r>
                </w:p>
              </w:tc>
              <w:tc>
                <w:tcPr>
                  <w:tcW w:w="792" w:type="pct"/>
                  <w:tcBorders>
                    <w:tl2br w:val="nil"/>
                    <w:tr2bl w:val="nil"/>
                  </w:tcBorders>
                  <w:noWrap w:val="0"/>
                  <w:vAlign w:val="center"/>
                </w:tcPr>
                <w:p>
                  <w:pPr>
                    <w:pStyle w:val="39"/>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0.01L</w:t>
                  </w:r>
                </w:p>
              </w:tc>
              <w:tc>
                <w:tcPr>
                  <w:tcW w:w="661" w:type="pct"/>
                  <w:tcBorders>
                    <w:tl2br w:val="nil"/>
                    <w:tr2bl w:val="nil"/>
                  </w:tcBorders>
                  <w:noWrap w:val="0"/>
                  <w:vAlign w:val="center"/>
                </w:tcPr>
                <w:p>
                  <w:pPr>
                    <w:pStyle w:val="39"/>
                    <w:autoSpaceDE/>
                    <w:autoSpaceDN/>
                    <w:snapToGrid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0.05</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rPr>
                      <w:rFonts w:hint="default" w:ascii="Times New Roman" w:hAnsi="Times New Roman" w:cs="Times New Roman"/>
                      <w:u w:val="none" w:color="auto"/>
                    </w:rPr>
                  </w:pPr>
                  <w:r>
                    <w:rPr>
                      <w:rFonts w:hint="default" w:ascii="Times New Roman" w:hAnsi="Times New Roman" w:cs="Times New Roman"/>
                      <w:u w:val="none" w:color="auto"/>
                      <w:lang w:val="en-US" w:eastAsia="zh-CN"/>
                    </w:rPr>
                    <w:t>粪大肠菌群</w:t>
                  </w:r>
                </w:p>
              </w:tc>
              <w:tc>
                <w:tcPr>
                  <w:tcW w:w="792" w:type="pct"/>
                  <w:tcBorders>
                    <w:tl2br w:val="nil"/>
                    <w:tr2bl w:val="nil"/>
                  </w:tcBorders>
                  <w:noWrap w:val="0"/>
                  <w:vAlign w:val="center"/>
                </w:tcPr>
                <w:p>
                  <w:pPr>
                    <w:pStyle w:val="39"/>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1200~1500</w:t>
                  </w:r>
                </w:p>
              </w:tc>
              <w:tc>
                <w:tcPr>
                  <w:tcW w:w="661" w:type="pct"/>
                  <w:tcBorders>
                    <w:tl2br w:val="nil"/>
                    <w:tr2bl w:val="nil"/>
                  </w:tcBorders>
                  <w:noWrap w:val="0"/>
                  <w:vAlign w:val="center"/>
                </w:tcPr>
                <w:p>
                  <w:pPr>
                    <w:pStyle w:val="39"/>
                    <w:autoSpaceDE/>
                    <w:autoSpaceDN/>
                    <w:snapToGrid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10000</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bookmarkEnd w:id="98"/>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restar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W2</w:t>
                  </w:r>
                </w:p>
              </w:tc>
              <w:tc>
                <w:tcPr>
                  <w:tcW w:w="810" w:type="pct"/>
                  <w:tcBorders>
                    <w:tl2br w:val="nil"/>
                    <w:tr2bl w:val="nil"/>
                  </w:tcBorders>
                  <w:noWrap w:val="0"/>
                  <w:vAlign w:val="center"/>
                </w:tcPr>
                <w:p>
                  <w:pPr>
                    <w:pStyle w:val="39"/>
                    <w:snapToGrid/>
                    <w:rPr>
                      <w:rFonts w:hint="default" w:ascii="Times New Roman" w:hAnsi="Times New Roman" w:cs="Times New Roman"/>
                      <w:u w:val="none" w:color="auto"/>
                    </w:rPr>
                  </w:pPr>
                  <w:r>
                    <w:rPr>
                      <w:rFonts w:hint="default" w:ascii="Times New Roman" w:hAnsi="Times New Roman" w:cs="Times New Roman"/>
                      <w:u w:val="none" w:color="auto"/>
                    </w:rPr>
                    <w:t>pH</w:t>
                  </w:r>
                </w:p>
              </w:tc>
              <w:tc>
                <w:tcPr>
                  <w:tcW w:w="792" w:type="pct"/>
                  <w:tcBorders>
                    <w:tl2br w:val="nil"/>
                    <w:tr2bl w:val="nil"/>
                  </w:tcBorders>
                  <w:noWrap w:val="0"/>
                  <w:vAlign w:val="center"/>
                </w:tcPr>
                <w:p>
                  <w:pPr>
                    <w:pStyle w:val="39"/>
                    <w:widowControl w:val="0"/>
                    <w:topLinePunct/>
                    <w:autoSpaceDE/>
                    <w:autoSpaceDN/>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7.2</w:t>
                  </w:r>
                </w:p>
              </w:tc>
              <w:tc>
                <w:tcPr>
                  <w:tcW w:w="1055" w:type="dxa"/>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ascii="Times New Roman" w:hAnsi="Times New Roman" w:cs="Times New Roman"/>
                      <w:u w:val="none" w:color="auto"/>
                    </w:rPr>
                    <w:t>6-9</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snapToGrid/>
                    <w:rPr>
                      <w:rFonts w:hint="default" w:ascii="Times New Roman" w:hAnsi="Times New Roman" w:cs="Times New Roman"/>
                      <w:u w:val="none" w:color="auto"/>
                    </w:rPr>
                  </w:pPr>
                  <w:r>
                    <w:rPr>
                      <w:rFonts w:ascii="Times New Roman" w:hAnsi="Times New Roman" w:cs="Times New Roman"/>
                      <w:u w:val="none" w:color="auto"/>
                    </w:rPr>
                    <w:t>CODcr</w:t>
                  </w:r>
                </w:p>
              </w:tc>
              <w:tc>
                <w:tcPr>
                  <w:tcW w:w="792" w:type="pct"/>
                  <w:tcBorders>
                    <w:tl2br w:val="nil"/>
                    <w:tr2bl w:val="nil"/>
                  </w:tcBorders>
                  <w:noWrap w:val="0"/>
                  <w:vAlign w:val="center"/>
                </w:tcPr>
                <w:p>
                  <w:pPr>
                    <w:pStyle w:val="39"/>
                    <w:widowControl w:val="0"/>
                    <w:topLinePunct/>
                    <w:autoSpaceDE/>
                    <w:autoSpaceDN/>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14~18</w:t>
                  </w:r>
                </w:p>
              </w:tc>
              <w:tc>
                <w:tcPr>
                  <w:tcW w:w="1055" w:type="dxa"/>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20</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snapToGrid/>
                    <w:rPr>
                      <w:rFonts w:hint="default" w:ascii="Times New Roman" w:hAnsi="Times New Roman" w:cs="Times New Roman"/>
                      <w:u w:val="none" w:color="auto"/>
                    </w:rPr>
                  </w:pPr>
                  <w:r>
                    <w:rPr>
                      <w:rFonts w:ascii="Times New Roman" w:hAnsi="Times New Roman" w:cs="Times New Roman"/>
                      <w:u w:val="none" w:color="auto"/>
                    </w:rPr>
                    <w:t>BOD5</w:t>
                  </w:r>
                </w:p>
              </w:tc>
              <w:tc>
                <w:tcPr>
                  <w:tcW w:w="792" w:type="pct"/>
                  <w:tcBorders>
                    <w:tl2br w:val="nil"/>
                    <w:tr2bl w:val="nil"/>
                  </w:tcBorders>
                  <w:noWrap w:val="0"/>
                  <w:vAlign w:val="center"/>
                </w:tcPr>
                <w:p>
                  <w:pPr>
                    <w:pStyle w:val="39"/>
                    <w:widowControl w:val="0"/>
                    <w:topLinePunct/>
                    <w:autoSpaceDE/>
                    <w:autoSpaceDN/>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1.6~1.8</w:t>
                  </w:r>
                </w:p>
              </w:tc>
              <w:tc>
                <w:tcPr>
                  <w:tcW w:w="1055" w:type="dxa"/>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4</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3/3</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snapToGrid/>
                    <w:rPr>
                      <w:rFonts w:hint="default" w:ascii="Times New Roman" w:hAnsi="Times New Roman" w:cs="Times New Roman"/>
                      <w:u w:val="none" w:color="auto"/>
                    </w:rPr>
                  </w:pPr>
                  <w:r>
                    <w:rPr>
                      <w:rFonts w:hint="default" w:ascii="Times New Roman" w:hAnsi="Times New Roman" w:cs="Times New Roman"/>
                      <w:u w:val="none" w:color="auto"/>
                    </w:rPr>
                    <w:t>悬浮物</w:t>
                  </w:r>
                </w:p>
              </w:tc>
              <w:tc>
                <w:tcPr>
                  <w:tcW w:w="792" w:type="pct"/>
                  <w:tcBorders>
                    <w:tl2br w:val="nil"/>
                    <w:tr2bl w:val="nil"/>
                  </w:tcBorders>
                  <w:noWrap w:val="0"/>
                  <w:vAlign w:val="center"/>
                </w:tcPr>
                <w:p>
                  <w:pPr>
                    <w:pStyle w:val="39"/>
                    <w:widowControl w:val="0"/>
                    <w:topLinePunct/>
                    <w:autoSpaceDE/>
                    <w:autoSpaceDN/>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7~8</w:t>
                  </w:r>
                </w:p>
              </w:tc>
              <w:tc>
                <w:tcPr>
                  <w:tcW w:w="1055" w:type="dxa"/>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lang w:val="en-US" w:eastAsia="zh-CN"/>
                    </w:rPr>
                    <w:t>/</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snapToGrid/>
                    <w:rPr>
                      <w:rFonts w:hint="default" w:ascii="Times New Roman" w:hAnsi="Times New Roman" w:cs="Times New Roman"/>
                      <w:u w:val="none" w:color="auto"/>
                    </w:rPr>
                  </w:pPr>
                  <w:r>
                    <w:rPr>
                      <w:rFonts w:hint="default" w:ascii="Times New Roman" w:hAnsi="Times New Roman" w:cs="Times New Roman"/>
                      <w:u w:val="none" w:color="auto"/>
                    </w:rPr>
                    <w:t>氨氮</w:t>
                  </w:r>
                </w:p>
              </w:tc>
              <w:tc>
                <w:tcPr>
                  <w:tcW w:w="792" w:type="pct"/>
                  <w:tcBorders>
                    <w:tl2br w:val="nil"/>
                    <w:tr2bl w:val="nil"/>
                  </w:tcBorders>
                  <w:noWrap w:val="0"/>
                  <w:vAlign w:val="center"/>
                </w:tcPr>
                <w:p>
                  <w:pPr>
                    <w:pStyle w:val="39"/>
                    <w:widowControl w:val="0"/>
                    <w:topLinePunct/>
                    <w:autoSpaceDE/>
                    <w:autoSpaceDN/>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0.506~0.541</w:t>
                  </w:r>
                </w:p>
              </w:tc>
              <w:tc>
                <w:tcPr>
                  <w:tcW w:w="1055" w:type="dxa"/>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1.0</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snapToGrid/>
                    <w:rPr>
                      <w:rFonts w:hint="default" w:ascii="Times New Roman" w:hAnsi="Times New Roman" w:cs="Times New Roman"/>
                      <w:u w:val="none" w:color="auto"/>
                    </w:rPr>
                  </w:pPr>
                  <w:r>
                    <w:rPr>
                      <w:rFonts w:hint="default" w:ascii="Times New Roman" w:hAnsi="Times New Roman" w:cs="Times New Roman"/>
                      <w:u w:val="none" w:color="auto"/>
                      <w:lang w:val="en-US" w:eastAsia="zh-CN"/>
                    </w:rPr>
                    <w:t>总磷</w:t>
                  </w:r>
                </w:p>
              </w:tc>
              <w:tc>
                <w:tcPr>
                  <w:tcW w:w="792" w:type="pct"/>
                  <w:tcBorders>
                    <w:tl2br w:val="nil"/>
                    <w:tr2bl w:val="nil"/>
                  </w:tcBorders>
                  <w:noWrap w:val="0"/>
                  <w:vAlign w:val="center"/>
                </w:tcPr>
                <w:p>
                  <w:pPr>
                    <w:pStyle w:val="39"/>
                    <w:widowControl w:val="0"/>
                    <w:topLinePunct/>
                    <w:autoSpaceDE/>
                    <w:autoSpaceDN/>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0.16~0.18</w:t>
                  </w:r>
                </w:p>
              </w:tc>
              <w:tc>
                <w:tcPr>
                  <w:tcW w:w="1055" w:type="dxa"/>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0.2</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snapToGrid/>
                    <w:rPr>
                      <w:rFonts w:hint="default" w:ascii="Times New Roman" w:hAnsi="Times New Roman" w:cs="Times New Roman"/>
                      <w:u w:val="none" w:color="auto"/>
                    </w:rPr>
                  </w:pPr>
                  <w:r>
                    <w:rPr>
                      <w:rFonts w:hint="default" w:ascii="Times New Roman" w:hAnsi="Times New Roman" w:cs="Times New Roman"/>
                      <w:u w:val="none" w:color="auto"/>
                      <w:lang w:val="en-US" w:eastAsia="zh-CN"/>
                    </w:rPr>
                    <w:t>石油类</w:t>
                  </w:r>
                </w:p>
              </w:tc>
              <w:tc>
                <w:tcPr>
                  <w:tcW w:w="792" w:type="pct"/>
                  <w:tcBorders>
                    <w:tl2br w:val="nil"/>
                    <w:tr2bl w:val="nil"/>
                  </w:tcBorders>
                  <w:noWrap w:val="0"/>
                  <w:vAlign w:val="center"/>
                </w:tcPr>
                <w:p>
                  <w:pPr>
                    <w:pStyle w:val="39"/>
                    <w:widowControl w:val="0"/>
                    <w:topLinePunct/>
                    <w:autoSpaceDE/>
                    <w:autoSpaceDN/>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0.01L</w:t>
                  </w:r>
                </w:p>
              </w:tc>
              <w:tc>
                <w:tcPr>
                  <w:tcW w:w="1055" w:type="dxa"/>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0.05</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378" w:type="pct"/>
                  <w:vMerge w:val="continue"/>
                  <w:tcBorders>
                    <w:tl2br w:val="nil"/>
                    <w:tr2bl w:val="nil"/>
                  </w:tcBorders>
                  <w:noWrap w:val="0"/>
                  <w:vAlign w:val="center"/>
                </w:tcPr>
                <w:p>
                  <w:pPr>
                    <w:pStyle w:val="39"/>
                    <w:snapToGrid w:val="0"/>
                    <w:rPr>
                      <w:rFonts w:hint="default" w:ascii="Times New Roman" w:hAnsi="Times New Roman" w:cs="Times New Roman"/>
                      <w:u w:val="none" w:color="auto"/>
                    </w:rPr>
                  </w:pPr>
                </w:p>
              </w:tc>
              <w:tc>
                <w:tcPr>
                  <w:tcW w:w="810" w:type="pct"/>
                  <w:tcBorders>
                    <w:tl2br w:val="nil"/>
                    <w:tr2bl w:val="nil"/>
                  </w:tcBorders>
                  <w:noWrap w:val="0"/>
                  <w:vAlign w:val="center"/>
                </w:tcPr>
                <w:p>
                  <w:pPr>
                    <w:pStyle w:val="39"/>
                    <w:snapToGrid/>
                    <w:rPr>
                      <w:rFonts w:hint="default" w:ascii="Times New Roman" w:hAnsi="Times New Roman" w:cs="Times New Roman"/>
                      <w:u w:val="none" w:color="auto"/>
                    </w:rPr>
                  </w:pPr>
                  <w:r>
                    <w:rPr>
                      <w:rFonts w:hint="default" w:ascii="Times New Roman" w:hAnsi="Times New Roman" w:cs="Times New Roman"/>
                      <w:u w:val="none" w:color="auto"/>
                      <w:lang w:val="en-US" w:eastAsia="zh-CN"/>
                    </w:rPr>
                    <w:t>粪大肠菌群</w:t>
                  </w:r>
                </w:p>
              </w:tc>
              <w:tc>
                <w:tcPr>
                  <w:tcW w:w="792" w:type="pct"/>
                  <w:tcBorders>
                    <w:tl2br w:val="nil"/>
                    <w:tr2bl w:val="nil"/>
                  </w:tcBorders>
                  <w:noWrap w:val="0"/>
                  <w:vAlign w:val="center"/>
                </w:tcPr>
                <w:p>
                  <w:pPr>
                    <w:pStyle w:val="39"/>
                    <w:widowControl w:val="0"/>
                    <w:topLinePunct/>
                    <w:autoSpaceDE/>
                    <w:autoSpaceDN/>
                    <w:snapToGrid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2800~3400</w:t>
                  </w:r>
                </w:p>
              </w:tc>
              <w:tc>
                <w:tcPr>
                  <w:tcW w:w="1055" w:type="dxa"/>
                  <w:tcBorders>
                    <w:tl2br w:val="nil"/>
                    <w:tr2bl w:val="nil"/>
                  </w:tcBorders>
                  <w:noWrap w:val="0"/>
                  <w:vAlign w:val="center"/>
                </w:tcPr>
                <w:p>
                  <w:pPr>
                    <w:pStyle w:val="39"/>
                    <w:autoSpaceDE/>
                    <w:autoSpaceDN/>
                    <w:snapToGrid w:val="0"/>
                    <w:rPr>
                      <w:rFonts w:hint="default"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10000</w:t>
                  </w:r>
                </w:p>
              </w:tc>
              <w:tc>
                <w:tcPr>
                  <w:tcW w:w="626"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3/0</w:t>
                  </w:r>
                </w:p>
              </w:tc>
              <w:tc>
                <w:tcPr>
                  <w:tcW w:w="668"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22"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0</w:t>
                  </w:r>
                </w:p>
              </w:tc>
              <w:tc>
                <w:tcPr>
                  <w:tcW w:w="539" w:type="pct"/>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5000" w:type="pct"/>
                  <w:gridSpan w:val="8"/>
                  <w:tcBorders>
                    <w:tl2br w:val="nil"/>
                    <w:tr2bl w:val="nil"/>
                  </w:tcBorders>
                  <w:noWrap w:val="0"/>
                  <w:vAlign w:val="center"/>
                </w:tcPr>
                <w:p>
                  <w:pPr>
                    <w:pStyle w:val="39"/>
                    <w:snapToGrid w:val="0"/>
                    <w:rPr>
                      <w:rFonts w:hint="default" w:ascii="Times New Roman" w:hAnsi="Times New Roman" w:cs="Times New Roman"/>
                      <w:u w:val="none" w:color="auto"/>
                    </w:rPr>
                  </w:pPr>
                  <w:r>
                    <w:rPr>
                      <w:rFonts w:hint="default" w:ascii="Times New Roman" w:hAnsi="Times New Roman" w:cs="Times New Roman"/>
                      <w:u w:val="none" w:color="auto"/>
                    </w:rPr>
                    <w:t>备注：“</w:t>
                  </w:r>
                  <w:r>
                    <w:rPr>
                      <w:rFonts w:hint="default" w:ascii="Times New Roman" w:hAnsi="Times New Roman" w:cs="Times New Roman"/>
                      <w:u w:val="none" w:color="auto"/>
                      <w:lang w:val="en-US" w:eastAsia="zh-CN"/>
                    </w:rPr>
                    <w:t>L</w:t>
                  </w:r>
                  <w:r>
                    <w:rPr>
                      <w:rFonts w:hint="default" w:ascii="Times New Roman" w:hAnsi="Times New Roman" w:cs="Times New Roman"/>
                      <w:u w:val="none" w:color="auto"/>
                    </w:rPr>
                    <w:t>”表示检测结果低于最低检出限</w:t>
                  </w:r>
                </w:p>
              </w:tc>
            </w:tr>
          </w:tbl>
          <w:p>
            <w:pPr>
              <w:rPr>
                <w:rFonts w:ascii="Times New Roman" w:hAnsi="Times New Roman" w:cs="Times New Roman"/>
                <w:u w:val="none" w:color="auto"/>
              </w:rPr>
            </w:pPr>
            <w:r>
              <w:rPr>
                <w:rFonts w:hint="default" w:ascii="Times New Roman" w:hAnsi="Times New Roman" w:cs="Times New Roman"/>
                <w:u w:val="none" w:color="auto"/>
              </w:rPr>
              <w:t>由表3</w:t>
            </w:r>
            <w:r>
              <w:rPr>
                <w:rFonts w:hint="default" w:ascii="Times New Roman" w:hAnsi="Times New Roman" w:cs="Times New Roman"/>
                <w:u w:val="none" w:color="auto"/>
                <w:lang w:val="en-US" w:eastAsia="zh-CN"/>
              </w:rPr>
              <w:t>.1-7</w:t>
            </w:r>
            <w:r>
              <w:rPr>
                <w:rFonts w:hint="default" w:ascii="Times New Roman" w:hAnsi="Times New Roman" w:cs="Times New Roman"/>
                <w:u w:val="none" w:color="auto"/>
              </w:rPr>
              <w:t>可知，项目地表水质现状W1、W2</w:t>
            </w:r>
            <w:r>
              <w:rPr>
                <w:rFonts w:hint="default" w:ascii="Times New Roman" w:hAnsi="Times New Roman" w:cs="Times New Roman"/>
                <w:u w:val="none" w:color="auto"/>
                <w:lang w:val="en-US" w:eastAsia="zh-CN"/>
              </w:rPr>
              <w:t>两</w:t>
            </w:r>
            <w:r>
              <w:rPr>
                <w:rFonts w:hint="default" w:ascii="Times New Roman" w:hAnsi="Times New Roman" w:cs="Times New Roman"/>
                <w:u w:val="none" w:color="auto"/>
              </w:rPr>
              <w:t>个监测断面的监测因子浓度均低于《地表水环境质量标准》</w:t>
            </w:r>
            <w:r>
              <w:rPr>
                <w:rFonts w:ascii="Times New Roman" w:hAnsi="Times New Roman" w:cs="Times New Roman"/>
                <w:u w:val="none" w:color="auto"/>
              </w:rPr>
              <w:t>（GB3838-2002）Ⅲ类标准要求</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其中SS无质量标准，不评价</w:t>
            </w:r>
            <w:r>
              <w:rPr>
                <w:rFonts w:hint="default" w:ascii="Times New Roman" w:hAnsi="Times New Roman" w:cs="Times New Roman"/>
                <w:u w:val="none" w:color="auto"/>
              </w:rPr>
              <w:t>。</w:t>
            </w:r>
          </w:p>
          <w:p>
            <w:pPr>
              <w:pStyle w:val="6"/>
              <w:bidi w:val="0"/>
              <w:rPr>
                <w:rFonts w:ascii="Times New Roman" w:hAnsi="Times New Roman" w:cs="Times New Roman"/>
                <w:u w:val="none" w:color="auto"/>
              </w:rPr>
            </w:pPr>
            <w:r>
              <w:rPr>
                <w:rFonts w:ascii="Times New Roman" w:hAnsi="Times New Roman" w:cs="Times New Roman"/>
                <w:u w:val="none" w:color="auto"/>
              </w:rPr>
              <w:t>3</w:t>
            </w:r>
            <w:r>
              <w:rPr>
                <w:rFonts w:hint="default" w:ascii="Times New Roman" w:hAnsi="Times New Roman" w:cs="Times New Roman"/>
                <w:u w:val="none" w:color="auto"/>
                <w:lang w:val="en-US"/>
              </w:rPr>
              <w:t>.1</w:t>
            </w:r>
            <w:r>
              <w:rPr>
                <w:rFonts w:ascii="Times New Roman" w:hAnsi="Times New Roman" w:cs="Times New Roman"/>
                <w:u w:val="none" w:color="auto"/>
              </w:rPr>
              <w:t>.3</w:t>
            </w:r>
            <w:r>
              <w:rPr>
                <w:rFonts w:hint="default" w:ascii="Times New Roman" w:hAnsi="Times New Roman" w:cs="Times New Roman"/>
                <w:u w:val="none" w:color="auto"/>
              </w:rPr>
              <w:t>声环境质量现状评价</w:t>
            </w:r>
          </w:p>
          <w:p>
            <w:pPr>
              <w:pageBreakBefore w:val="0"/>
              <w:widowControl/>
              <w:kinsoku/>
              <w:wordWrap/>
              <w:overflowPunct/>
              <w:topLinePunct w:val="0"/>
              <w:bidi w:val="0"/>
              <w:spacing w:before="0" w:after="0" w:line="360" w:lineRule="auto"/>
              <w:ind w:left="0" w:leftChars="0" w:right="0" w:rightChars="0" w:firstLine="480" w:firstLineChars="200"/>
              <w:outlineLvl w:val="9"/>
              <w:rPr>
                <w:rFonts w:hint="eastAsia" w:cs="Times New Roman"/>
                <w:u w:val="none" w:color="auto"/>
                <w:lang w:eastAsia="zh-CN"/>
              </w:rPr>
            </w:pPr>
            <w:bookmarkStart w:id="99" w:name="_Toc485808782"/>
            <w:bookmarkStart w:id="100" w:name="_Toc487125938"/>
            <w:r>
              <w:rPr>
                <w:rFonts w:hint="default" w:ascii="Times New Roman" w:hAnsi="Times New Roman" w:cs="Times New Roman"/>
                <w:u w:val="none" w:color="auto"/>
              </w:rPr>
              <w:t>根据《建设项目环境影响报告表编制技术指南》（污染影响类）（试行）可知，厂界外周边50米范围内存在声环境保护目标的建设项目，应监测保护目标声环境质量现状并评价达标情况。结合实地考察，本项目</w:t>
            </w:r>
            <w:r>
              <w:rPr>
                <w:rFonts w:hint="default" w:ascii="Times New Roman" w:hAnsi="Times New Roman" w:cs="Times New Roman"/>
                <w:u w:val="none" w:color="auto"/>
                <w:lang w:eastAsia="zh-CN"/>
              </w:rPr>
              <w:t>位于</w:t>
            </w:r>
            <w:r>
              <w:rPr>
                <w:rFonts w:hint="default" w:ascii="Times New Roman" w:hAnsi="Times New Roman" w:cs="Times New Roman"/>
                <w:u w:val="none" w:color="auto"/>
                <w:lang w:val="en-US" w:eastAsia="zh-CN"/>
              </w:rPr>
              <w:t>泸溪县武溪镇红土溪村</w:t>
            </w:r>
            <w:r>
              <w:rPr>
                <w:rFonts w:hint="eastAsia" w:cs="Times New Roman"/>
                <w:u w:val="none" w:color="auto"/>
                <w:lang w:val="en-US" w:eastAsia="zh-CN"/>
              </w:rPr>
              <w:t>，项目西南侧10m处存在红土溪村散户居民1户，</w:t>
            </w:r>
            <w:r>
              <w:rPr>
                <w:rFonts w:hint="default" w:ascii="Times New Roman" w:hAnsi="Times New Roman" w:cs="Times New Roman"/>
                <w:u w:val="none" w:color="auto"/>
              </w:rPr>
              <w:t>该户居民仅在春节期间有人</w:t>
            </w:r>
            <w:r>
              <w:rPr>
                <w:rFonts w:hint="eastAsia" w:cs="Times New Roman"/>
                <w:u w:val="none" w:color="auto"/>
                <w:lang w:val="en-US" w:eastAsia="zh-CN"/>
              </w:rPr>
              <w:t>短暂</w:t>
            </w:r>
            <w:r>
              <w:rPr>
                <w:rFonts w:hint="default" w:ascii="Times New Roman" w:hAnsi="Times New Roman" w:cs="Times New Roman"/>
                <w:u w:val="none" w:color="auto"/>
              </w:rPr>
              <w:t>居住，其余时间闲置</w:t>
            </w:r>
            <w:r>
              <w:rPr>
                <w:rFonts w:hint="eastAsia" w:cs="Times New Roman"/>
                <w:u w:val="none" w:color="auto"/>
                <w:lang w:eastAsia="zh-CN"/>
              </w:rPr>
              <w:t>。</w:t>
            </w:r>
          </w:p>
          <w:p>
            <w:pPr>
              <w:spacing w:line="360" w:lineRule="auto"/>
              <w:ind w:firstLine="480" w:firstLineChars="200"/>
              <w:rPr>
                <w:rFonts w:ascii="Times New Roman" w:hAnsi="Times New Roman"/>
                <w:kern w:val="0"/>
                <w:sz w:val="24"/>
              </w:rPr>
            </w:pPr>
            <w:r>
              <w:rPr>
                <w:rFonts w:ascii="Times New Roman" w:hAnsi="Times New Roman"/>
                <w:kern w:val="0"/>
                <w:sz w:val="24"/>
              </w:rPr>
              <w:t>（1）监测点位布设</w:t>
            </w:r>
          </w:p>
          <w:p>
            <w:pPr>
              <w:spacing w:line="360" w:lineRule="auto"/>
              <w:ind w:firstLine="480" w:firstLineChars="200"/>
              <w:rPr>
                <w:rFonts w:ascii="Times New Roman" w:hAnsi="Times New Roman"/>
                <w:kern w:val="0"/>
                <w:sz w:val="24"/>
              </w:rPr>
            </w:pPr>
            <w:r>
              <w:rPr>
                <w:rFonts w:ascii="Times New Roman" w:hAnsi="Times New Roman"/>
                <w:kern w:val="0"/>
                <w:sz w:val="24"/>
              </w:rPr>
              <w:t>为了解项目所在地声环境质量，共布设</w:t>
            </w:r>
            <w:r>
              <w:rPr>
                <w:rFonts w:hint="eastAsia" w:ascii="Times New Roman" w:hAnsi="Times New Roman"/>
                <w:kern w:val="0"/>
                <w:sz w:val="24"/>
                <w:lang w:val="en-US" w:eastAsia="zh-CN"/>
              </w:rPr>
              <w:t>1</w:t>
            </w:r>
            <w:r>
              <w:rPr>
                <w:rFonts w:ascii="Times New Roman" w:hAnsi="Times New Roman"/>
                <w:kern w:val="0"/>
                <w:sz w:val="24"/>
              </w:rPr>
              <w:t>个点：N1，具体见附图项目监测布点图，监测时间</w:t>
            </w:r>
            <w:r>
              <w:rPr>
                <w:rFonts w:ascii="Times New Roman" w:hAnsi="Times New Roman"/>
                <w:kern w:val="0"/>
                <w:sz w:val="24"/>
                <w:highlight w:val="none"/>
              </w:rPr>
              <w:t>：20</w:t>
            </w:r>
            <w:r>
              <w:rPr>
                <w:rFonts w:hint="eastAsia" w:ascii="Times New Roman" w:hAnsi="Times New Roman"/>
                <w:kern w:val="0"/>
                <w:sz w:val="24"/>
                <w:highlight w:val="none"/>
              </w:rPr>
              <w:t>2</w:t>
            </w:r>
            <w:r>
              <w:rPr>
                <w:rFonts w:hint="eastAsia"/>
                <w:kern w:val="0"/>
                <w:sz w:val="24"/>
                <w:highlight w:val="none"/>
                <w:lang w:val="en-US" w:eastAsia="zh-CN"/>
              </w:rPr>
              <w:t>3</w:t>
            </w:r>
            <w:r>
              <w:rPr>
                <w:rFonts w:ascii="Times New Roman" w:hAnsi="Times New Roman"/>
                <w:kern w:val="0"/>
                <w:sz w:val="24"/>
                <w:highlight w:val="none"/>
              </w:rPr>
              <w:t>年</w:t>
            </w:r>
            <w:r>
              <w:rPr>
                <w:rFonts w:hint="eastAsia" w:ascii="Times New Roman" w:hAnsi="Times New Roman"/>
                <w:kern w:val="0"/>
                <w:sz w:val="24"/>
                <w:highlight w:val="none"/>
              </w:rPr>
              <w:t>1</w:t>
            </w:r>
            <w:r>
              <w:rPr>
                <w:rFonts w:hint="eastAsia"/>
                <w:kern w:val="0"/>
                <w:sz w:val="24"/>
                <w:highlight w:val="none"/>
                <w:lang w:val="en-US" w:eastAsia="zh-CN"/>
              </w:rPr>
              <w:t>0</w:t>
            </w:r>
            <w:r>
              <w:rPr>
                <w:rFonts w:ascii="Times New Roman" w:hAnsi="Times New Roman"/>
                <w:kern w:val="0"/>
                <w:sz w:val="24"/>
                <w:highlight w:val="none"/>
              </w:rPr>
              <w:t>月</w:t>
            </w:r>
            <w:r>
              <w:rPr>
                <w:rFonts w:hint="eastAsia"/>
                <w:kern w:val="0"/>
                <w:sz w:val="24"/>
                <w:highlight w:val="none"/>
                <w:lang w:val="en-US" w:eastAsia="zh-CN"/>
              </w:rPr>
              <w:t>31</w:t>
            </w:r>
            <w:r>
              <w:rPr>
                <w:rFonts w:ascii="Times New Roman" w:hAnsi="Times New Roman"/>
                <w:kern w:val="0"/>
                <w:sz w:val="24"/>
                <w:highlight w:val="none"/>
              </w:rPr>
              <w:t>日，</w:t>
            </w:r>
            <w:r>
              <w:rPr>
                <w:rFonts w:ascii="Times New Roman" w:hAnsi="Times New Roman"/>
                <w:kern w:val="0"/>
                <w:sz w:val="24"/>
              </w:rPr>
              <w:t>按环评技术导则规定，分别测定昼间（06:00~22:00）和夜间（22:00~06:00）环境等效A声级，监测点位分布情况见</w:t>
            </w:r>
            <w:r>
              <w:rPr>
                <w:rFonts w:hint="eastAsia" w:ascii="Times New Roman" w:hAnsi="Times New Roman"/>
                <w:kern w:val="0"/>
                <w:sz w:val="24"/>
              </w:rPr>
              <w:t>下</w:t>
            </w:r>
            <w:r>
              <w:rPr>
                <w:rFonts w:ascii="Times New Roman" w:hAnsi="Times New Roman"/>
                <w:kern w:val="0"/>
                <w:sz w:val="24"/>
              </w:rPr>
              <w:t>表。</w:t>
            </w:r>
          </w:p>
          <w:p>
            <w:pPr>
              <w:pStyle w:val="42"/>
              <w:ind w:firstLine="422"/>
              <w:jc w:val="center"/>
              <w:rPr>
                <w:rFonts w:ascii="Times New Roman" w:hAnsi="Times New Roman" w:cs="Times New Roman"/>
              </w:rPr>
            </w:pPr>
            <w:r>
              <w:rPr>
                <w:rFonts w:ascii="Times New Roman" w:hAnsi="Times New Roman" w:cs="Times New Roman"/>
              </w:rPr>
              <w:t>表</w:t>
            </w:r>
            <w:r>
              <w:rPr>
                <w:rFonts w:hint="eastAsia" w:ascii="Times New Roman" w:hAnsi="Times New Roman" w:cs="Times New Roman"/>
                <w:lang w:val="en-US" w:eastAsia="zh-CN"/>
              </w:rPr>
              <w:t>3.1-8</w:t>
            </w:r>
            <w:r>
              <w:rPr>
                <w:rFonts w:hint="default" w:ascii="Times New Roman" w:hAnsi="Times New Roman" w:cs="Times New Roman"/>
              </w:rPr>
              <w:t xml:space="preserve"> </w:t>
            </w:r>
            <w:r>
              <w:rPr>
                <w:rFonts w:ascii="Times New Roman" w:hAnsi="Times New Roman" w:cs="Times New Roman"/>
              </w:rPr>
              <w:t>声环境监测点位布设</w:t>
            </w:r>
          </w:p>
          <w:tbl>
            <w:tblPr>
              <w:tblStyle w:val="28"/>
              <w:tblW w:w="82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75"/>
              <w:gridCol w:w="5404"/>
              <w:gridCol w:w="16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5" w:hRule="atLeast"/>
                <w:jc w:val="center"/>
              </w:trPr>
              <w:tc>
                <w:tcPr>
                  <w:tcW w:w="1175" w:type="dxa"/>
                  <w:tcBorders>
                    <w:tl2br w:val="nil"/>
                    <w:tr2bl w:val="nil"/>
                  </w:tcBorders>
                  <w:vAlign w:val="center"/>
                </w:tcPr>
                <w:p>
                  <w:pPr>
                    <w:pStyle w:val="39"/>
                    <w:jc w:val="center"/>
                    <w:rPr>
                      <w:b/>
                      <w:bCs/>
                    </w:rPr>
                  </w:pPr>
                  <w:r>
                    <w:rPr>
                      <w:b/>
                      <w:bCs/>
                    </w:rPr>
                    <w:t>序号</w:t>
                  </w:r>
                </w:p>
              </w:tc>
              <w:tc>
                <w:tcPr>
                  <w:tcW w:w="5404" w:type="dxa"/>
                  <w:tcBorders>
                    <w:tl2br w:val="nil"/>
                    <w:tr2bl w:val="nil"/>
                  </w:tcBorders>
                  <w:vAlign w:val="center"/>
                </w:tcPr>
                <w:p>
                  <w:pPr>
                    <w:pStyle w:val="39"/>
                    <w:jc w:val="center"/>
                    <w:rPr>
                      <w:b/>
                      <w:bCs/>
                    </w:rPr>
                  </w:pPr>
                  <w:r>
                    <w:rPr>
                      <w:b/>
                      <w:bCs/>
                    </w:rPr>
                    <w:t>监测点</w:t>
                  </w:r>
                </w:p>
              </w:tc>
              <w:tc>
                <w:tcPr>
                  <w:tcW w:w="1697" w:type="dxa"/>
                  <w:tcBorders>
                    <w:tl2br w:val="nil"/>
                    <w:tr2bl w:val="nil"/>
                  </w:tcBorders>
                  <w:vAlign w:val="center"/>
                </w:tcPr>
                <w:p>
                  <w:pPr>
                    <w:pStyle w:val="39"/>
                    <w:jc w:val="center"/>
                    <w:rPr>
                      <w:b/>
                      <w:bCs/>
                    </w:rPr>
                  </w:pPr>
                  <w:r>
                    <w:rPr>
                      <w:b/>
                      <w:bCs/>
                    </w:rPr>
                    <w:t>监测内容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1175" w:type="dxa"/>
                  <w:tcBorders>
                    <w:tl2br w:val="nil"/>
                    <w:tr2bl w:val="nil"/>
                  </w:tcBorders>
                  <w:vAlign w:val="center"/>
                </w:tcPr>
                <w:p>
                  <w:pPr>
                    <w:pStyle w:val="39"/>
                    <w:jc w:val="center"/>
                  </w:pPr>
                  <w:r>
                    <w:t>N1</w:t>
                  </w:r>
                </w:p>
              </w:tc>
              <w:tc>
                <w:tcPr>
                  <w:tcW w:w="5404" w:type="dxa"/>
                  <w:tcBorders>
                    <w:tl2br w:val="nil"/>
                    <w:tr2bl w:val="nil"/>
                  </w:tcBorders>
                  <w:vAlign w:val="center"/>
                </w:tcPr>
                <w:p>
                  <w:pPr>
                    <w:pStyle w:val="39"/>
                    <w:jc w:val="center"/>
                  </w:pPr>
                  <w:r>
                    <w:rPr>
                      <w:rFonts w:hint="eastAsia" w:cs="Times New Roman"/>
                      <w:u w:val="none" w:color="auto"/>
                      <w:lang w:val="en-US" w:eastAsia="zh-CN"/>
                    </w:rPr>
                    <w:t>项目西南侧10m处红土溪村散户居民</w:t>
                  </w:r>
                </w:p>
              </w:tc>
              <w:tc>
                <w:tcPr>
                  <w:tcW w:w="1697" w:type="dxa"/>
                  <w:tcBorders>
                    <w:tl2br w:val="nil"/>
                    <w:tr2bl w:val="nil"/>
                  </w:tcBorders>
                  <w:vAlign w:val="center"/>
                </w:tcPr>
                <w:p>
                  <w:pPr>
                    <w:pStyle w:val="39"/>
                    <w:jc w:val="center"/>
                  </w:pPr>
                  <w:r>
                    <w:rPr>
                      <w:rFonts w:hint="eastAsia"/>
                      <w:lang w:val="en-US" w:eastAsia="zh-CN"/>
                    </w:rPr>
                    <w:t>敏感点</w:t>
                  </w:r>
                  <w:r>
                    <w:t>噪声</w:t>
                  </w:r>
                </w:p>
              </w:tc>
            </w:tr>
          </w:tbl>
          <w:p>
            <w:pPr>
              <w:spacing w:line="360" w:lineRule="auto"/>
              <w:ind w:firstLine="480" w:firstLineChars="200"/>
              <w:rPr>
                <w:rFonts w:ascii="Times New Roman" w:hAnsi="Times New Roman"/>
                <w:kern w:val="0"/>
                <w:sz w:val="24"/>
              </w:rPr>
            </w:pPr>
            <w:r>
              <w:rPr>
                <w:rFonts w:ascii="Times New Roman" w:hAnsi="Times New Roman"/>
                <w:kern w:val="0"/>
                <w:sz w:val="24"/>
              </w:rPr>
              <w:t>（2）监测方法</w:t>
            </w:r>
          </w:p>
          <w:p>
            <w:pPr>
              <w:pStyle w:val="58"/>
              <w:ind w:firstLine="480"/>
              <w:rPr>
                <w:rFonts w:ascii="Times New Roman" w:hAnsi="Times New Roman"/>
                <w:szCs w:val="24"/>
              </w:rPr>
            </w:pPr>
            <w:r>
              <w:rPr>
                <w:rFonts w:ascii="Times New Roman" w:hAnsi="Times New Roman"/>
                <w:szCs w:val="24"/>
              </w:rPr>
              <w:t>按《声环境质量标准》（GB3096-2008）的要求进行。</w:t>
            </w:r>
          </w:p>
          <w:p>
            <w:pPr>
              <w:spacing w:line="360" w:lineRule="auto"/>
              <w:ind w:firstLine="480" w:firstLineChars="200"/>
              <w:rPr>
                <w:rFonts w:ascii="Times New Roman" w:hAnsi="Times New Roman"/>
                <w:kern w:val="0"/>
                <w:sz w:val="24"/>
              </w:rPr>
            </w:pPr>
            <w:r>
              <w:rPr>
                <w:rFonts w:ascii="Times New Roman" w:hAnsi="Times New Roman"/>
                <w:kern w:val="0"/>
                <w:sz w:val="24"/>
              </w:rPr>
              <w:t>（3）监测结果</w:t>
            </w:r>
          </w:p>
          <w:p>
            <w:pPr>
              <w:spacing w:line="360" w:lineRule="auto"/>
              <w:ind w:firstLine="480" w:firstLineChars="200"/>
              <w:rPr>
                <w:rFonts w:ascii="Times New Roman" w:hAnsi="Times New Roman"/>
                <w:kern w:val="0"/>
                <w:sz w:val="24"/>
              </w:rPr>
            </w:pPr>
            <w:r>
              <w:rPr>
                <w:rFonts w:ascii="Times New Roman" w:hAnsi="Times New Roman"/>
                <w:kern w:val="0"/>
                <w:sz w:val="24"/>
              </w:rPr>
              <w:t>监测结果见下表</w:t>
            </w:r>
            <w:r>
              <w:rPr>
                <w:rFonts w:hint="eastAsia" w:ascii="Times New Roman" w:hAnsi="Times New Roman"/>
                <w:kern w:val="0"/>
                <w:sz w:val="24"/>
                <w:lang w:val="en-US" w:eastAsia="zh-CN"/>
              </w:rPr>
              <w:t>3.1-9</w:t>
            </w:r>
            <w:r>
              <w:rPr>
                <w:rFonts w:ascii="Times New Roman" w:hAnsi="Times New Roman"/>
                <w:kern w:val="0"/>
                <w:sz w:val="24"/>
              </w:rPr>
              <w:t>。</w:t>
            </w:r>
          </w:p>
          <w:p>
            <w:pPr>
              <w:pStyle w:val="42"/>
              <w:spacing w:beforeLines="0"/>
              <w:rPr>
                <w:rFonts w:ascii="Times New Roman" w:hAnsi="Times New Roman" w:cs="Times New Roman"/>
              </w:rPr>
            </w:pPr>
            <w:r>
              <w:rPr>
                <w:rFonts w:ascii="Times New Roman" w:hAnsi="Times New Roman" w:cs="Times New Roman"/>
              </w:rPr>
              <w:t>表</w:t>
            </w:r>
            <w:r>
              <w:rPr>
                <w:rFonts w:hint="default" w:ascii="Times New Roman" w:hAnsi="Times New Roman" w:cs="Times New Roman"/>
                <w:lang w:val="en-US" w:eastAsia="zh-CN"/>
              </w:rPr>
              <w:t>3.1-9</w:t>
            </w:r>
            <w:r>
              <w:rPr>
                <w:rFonts w:hint="default" w:ascii="Times New Roman" w:hAnsi="Times New Roman" w:cs="Times New Roman"/>
              </w:rPr>
              <w:t xml:space="preserve"> </w:t>
            </w:r>
            <w:r>
              <w:rPr>
                <w:rFonts w:ascii="Times New Roman" w:hAnsi="Times New Roman" w:cs="Times New Roman"/>
              </w:rPr>
              <w:t>噪声监测结果表</w:t>
            </w:r>
          </w:p>
          <w:tbl>
            <w:tblPr>
              <w:tblStyle w:val="28"/>
              <w:tblW w:w="494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79"/>
              <w:gridCol w:w="1913"/>
              <w:gridCol w:w="1105"/>
              <w:gridCol w:w="1879"/>
              <w:gridCol w:w="833"/>
              <w:gridCol w:w="146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99" w:type="pct"/>
                  <w:vMerge w:val="restart"/>
                  <w:tcBorders>
                    <w:tl2br w:val="nil"/>
                    <w:tr2bl w:val="nil"/>
                  </w:tcBorders>
                  <w:vAlign w:val="center"/>
                </w:tcPr>
                <w:p>
                  <w:pPr>
                    <w:pStyle w:val="39"/>
                    <w:rPr>
                      <w:b/>
                      <w:bCs/>
                    </w:rPr>
                  </w:pPr>
                  <w:r>
                    <w:rPr>
                      <w:b/>
                      <w:bCs/>
                    </w:rPr>
                    <w:t>序号</w:t>
                  </w:r>
                </w:p>
              </w:tc>
              <w:tc>
                <w:tcPr>
                  <w:tcW w:w="1169" w:type="pct"/>
                  <w:vMerge w:val="restart"/>
                  <w:tcBorders>
                    <w:tl2br w:val="nil"/>
                    <w:tr2bl w:val="nil"/>
                  </w:tcBorders>
                  <w:vAlign w:val="center"/>
                </w:tcPr>
                <w:p>
                  <w:pPr>
                    <w:pStyle w:val="39"/>
                    <w:rPr>
                      <w:b/>
                      <w:bCs/>
                    </w:rPr>
                  </w:pPr>
                  <w:r>
                    <w:rPr>
                      <w:b/>
                      <w:bCs/>
                    </w:rPr>
                    <w:t>监测地点</w:t>
                  </w:r>
                </w:p>
              </w:tc>
              <w:tc>
                <w:tcPr>
                  <w:tcW w:w="675" w:type="pct"/>
                  <w:vMerge w:val="restart"/>
                  <w:tcBorders>
                    <w:tl2br w:val="nil"/>
                    <w:tr2bl w:val="nil"/>
                  </w:tcBorders>
                  <w:vAlign w:val="center"/>
                </w:tcPr>
                <w:p>
                  <w:pPr>
                    <w:pStyle w:val="39"/>
                    <w:rPr>
                      <w:b/>
                      <w:bCs/>
                    </w:rPr>
                  </w:pPr>
                  <w:r>
                    <w:rPr>
                      <w:b/>
                      <w:bCs/>
                    </w:rPr>
                    <w:t>监测时间</w:t>
                  </w:r>
                </w:p>
              </w:tc>
              <w:tc>
                <w:tcPr>
                  <w:tcW w:w="1148" w:type="pct"/>
                  <w:tcBorders>
                    <w:tl2br w:val="nil"/>
                    <w:tr2bl w:val="nil"/>
                  </w:tcBorders>
                  <w:vAlign w:val="center"/>
                </w:tcPr>
                <w:p>
                  <w:pPr>
                    <w:pStyle w:val="39"/>
                    <w:rPr>
                      <w:b/>
                      <w:bCs/>
                    </w:rPr>
                  </w:pPr>
                  <w:r>
                    <w:rPr>
                      <w:b/>
                      <w:bCs/>
                    </w:rPr>
                    <w:t>监测值dB（A）</w:t>
                  </w:r>
                </w:p>
              </w:tc>
              <w:tc>
                <w:tcPr>
                  <w:tcW w:w="509" w:type="pct"/>
                  <w:vMerge w:val="restart"/>
                  <w:tcBorders>
                    <w:tl2br w:val="nil"/>
                    <w:tr2bl w:val="nil"/>
                  </w:tcBorders>
                  <w:vAlign w:val="center"/>
                </w:tcPr>
                <w:p>
                  <w:pPr>
                    <w:pStyle w:val="39"/>
                    <w:rPr>
                      <w:b/>
                      <w:bCs/>
                    </w:rPr>
                  </w:pPr>
                  <w:r>
                    <w:rPr>
                      <w:b/>
                      <w:bCs/>
                    </w:rPr>
                    <w:t>评价标准</w:t>
                  </w:r>
                </w:p>
              </w:tc>
              <w:tc>
                <w:tcPr>
                  <w:tcW w:w="897" w:type="pct"/>
                  <w:vMerge w:val="restart"/>
                  <w:tcBorders>
                    <w:tl2br w:val="nil"/>
                    <w:tr2bl w:val="nil"/>
                  </w:tcBorders>
                  <w:vAlign w:val="center"/>
                </w:tcPr>
                <w:p>
                  <w:pPr>
                    <w:pStyle w:val="39"/>
                    <w:rPr>
                      <w:b/>
                      <w:bCs/>
                    </w:rPr>
                  </w:pPr>
                  <w:r>
                    <w:rPr>
                      <w:b/>
                      <w:bCs/>
                    </w:rPr>
                    <w:t>达标情况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599" w:type="pct"/>
                  <w:vMerge w:val="continue"/>
                  <w:tcBorders>
                    <w:tl2br w:val="nil"/>
                    <w:tr2bl w:val="nil"/>
                  </w:tcBorders>
                  <w:vAlign w:val="center"/>
                </w:tcPr>
                <w:p>
                  <w:pPr>
                    <w:pStyle w:val="39"/>
                  </w:pPr>
                </w:p>
              </w:tc>
              <w:tc>
                <w:tcPr>
                  <w:tcW w:w="1169" w:type="pct"/>
                  <w:vMerge w:val="continue"/>
                  <w:tcBorders>
                    <w:tl2br w:val="nil"/>
                    <w:tr2bl w:val="nil"/>
                  </w:tcBorders>
                  <w:vAlign w:val="center"/>
                </w:tcPr>
                <w:p>
                  <w:pPr>
                    <w:pStyle w:val="39"/>
                  </w:pPr>
                </w:p>
              </w:tc>
              <w:tc>
                <w:tcPr>
                  <w:tcW w:w="675" w:type="pct"/>
                  <w:vMerge w:val="continue"/>
                  <w:tcBorders>
                    <w:tl2br w:val="nil"/>
                    <w:tr2bl w:val="nil"/>
                  </w:tcBorders>
                  <w:vAlign w:val="center"/>
                </w:tcPr>
                <w:p>
                  <w:pPr>
                    <w:pStyle w:val="39"/>
                  </w:pPr>
                </w:p>
              </w:tc>
              <w:tc>
                <w:tcPr>
                  <w:tcW w:w="1148" w:type="pct"/>
                  <w:tcBorders>
                    <w:tl2br w:val="nil"/>
                    <w:tr2bl w:val="nil"/>
                  </w:tcBorders>
                  <w:vAlign w:val="center"/>
                </w:tcPr>
                <w:p>
                  <w:pPr>
                    <w:pStyle w:val="39"/>
                    <w:rPr>
                      <w:lang w:eastAsia="zh-CN"/>
                    </w:rPr>
                  </w:pPr>
                  <w:r>
                    <w:rPr>
                      <w:rFonts w:hint="eastAsia"/>
                      <w:b/>
                      <w:bCs/>
                      <w:lang w:eastAsia="zh-CN"/>
                    </w:rPr>
                    <w:t>2020-1-2</w:t>
                  </w:r>
                </w:p>
              </w:tc>
              <w:tc>
                <w:tcPr>
                  <w:tcW w:w="509" w:type="pct"/>
                  <w:vMerge w:val="continue"/>
                  <w:tcBorders>
                    <w:tl2br w:val="nil"/>
                    <w:tr2bl w:val="nil"/>
                  </w:tcBorders>
                  <w:vAlign w:val="center"/>
                </w:tcPr>
                <w:p>
                  <w:pPr>
                    <w:pStyle w:val="39"/>
                  </w:pPr>
                </w:p>
              </w:tc>
              <w:tc>
                <w:tcPr>
                  <w:tcW w:w="897" w:type="pct"/>
                  <w:vMerge w:val="continue"/>
                  <w:tcBorders>
                    <w:tl2br w:val="nil"/>
                    <w:tr2bl w:val="nil"/>
                  </w:tcBorders>
                  <w:vAlign w:val="center"/>
                </w:tcPr>
                <w:p>
                  <w:pPr>
                    <w:pStyle w:val="39"/>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599" w:type="pct"/>
                  <w:vMerge w:val="restart"/>
                  <w:tcBorders>
                    <w:tl2br w:val="nil"/>
                    <w:tr2bl w:val="nil"/>
                  </w:tcBorders>
                  <w:vAlign w:val="center"/>
                </w:tcPr>
                <w:p>
                  <w:pPr>
                    <w:pStyle w:val="39"/>
                  </w:pPr>
                  <w:r>
                    <w:t>N1</w:t>
                  </w:r>
                </w:p>
              </w:tc>
              <w:tc>
                <w:tcPr>
                  <w:tcW w:w="1169" w:type="pct"/>
                  <w:vMerge w:val="restart"/>
                  <w:tcBorders>
                    <w:tl2br w:val="nil"/>
                    <w:tr2bl w:val="nil"/>
                  </w:tcBorders>
                  <w:vAlign w:val="center"/>
                </w:tcPr>
                <w:p>
                  <w:pPr>
                    <w:pStyle w:val="39"/>
                  </w:pPr>
                  <w:r>
                    <w:rPr>
                      <w:rFonts w:hint="eastAsia" w:cs="Times New Roman"/>
                      <w:u w:val="none" w:color="auto"/>
                      <w:lang w:val="en-US" w:eastAsia="zh-CN"/>
                    </w:rPr>
                    <w:t>项目西南侧10m处红土溪村散户居民</w:t>
                  </w:r>
                </w:p>
              </w:tc>
              <w:tc>
                <w:tcPr>
                  <w:tcW w:w="675" w:type="pct"/>
                  <w:tcBorders>
                    <w:tl2br w:val="nil"/>
                    <w:tr2bl w:val="nil"/>
                  </w:tcBorders>
                  <w:shd w:val="clear" w:color="auto" w:fill="auto"/>
                  <w:vAlign w:val="center"/>
                </w:tcPr>
                <w:p>
                  <w:pPr>
                    <w:pStyle w:val="39"/>
                  </w:pPr>
                  <w:r>
                    <w:t>昼间</w:t>
                  </w:r>
                </w:p>
              </w:tc>
              <w:tc>
                <w:tcPr>
                  <w:tcW w:w="1148" w:type="pct"/>
                  <w:tcBorders>
                    <w:tl2br w:val="nil"/>
                    <w:tr2bl w:val="nil"/>
                  </w:tcBorders>
                  <w:shd w:val="clear" w:color="auto" w:fill="auto"/>
                  <w:vAlign w:val="center"/>
                </w:tcPr>
                <w:p>
                  <w:pPr>
                    <w:pStyle w:val="39"/>
                    <w:rPr>
                      <w:lang w:eastAsia="zh-CN"/>
                    </w:rPr>
                  </w:pPr>
                  <w:r>
                    <w:rPr>
                      <w:rFonts w:hint="eastAsia"/>
                      <w:lang w:val="en-US" w:eastAsia="zh-CN"/>
                    </w:rPr>
                    <w:t>52</w:t>
                  </w:r>
                </w:p>
              </w:tc>
              <w:tc>
                <w:tcPr>
                  <w:tcW w:w="509" w:type="pct"/>
                  <w:tcBorders>
                    <w:tl2br w:val="nil"/>
                    <w:tr2bl w:val="nil"/>
                  </w:tcBorders>
                  <w:vAlign w:val="center"/>
                </w:tcPr>
                <w:p>
                  <w:pPr>
                    <w:pStyle w:val="39"/>
                    <w:rPr>
                      <w:rFonts w:hint="default"/>
                      <w:lang w:val="en-US" w:eastAsia="zh-CN"/>
                    </w:rPr>
                  </w:pPr>
                  <w:r>
                    <w:rPr>
                      <w:rFonts w:hint="eastAsia"/>
                      <w:lang w:val="en-US" w:eastAsia="zh-CN"/>
                    </w:rPr>
                    <w:t>70</w:t>
                  </w:r>
                </w:p>
              </w:tc>
              <w:tc>
                <w:tcPr>
                  <w:tcW w:w="897" w:type="pct"/>
                  <w:tcBorders>
                    <w:tl2br w:val="nil"/>
                    <w:tr2bl w:val="nil"/>
                  </w:tcBorders>
                  <w:shd w:val="clear" w:color="auto" w:fill="auto"/>
                  <w:vAlign w:val="center"/>
                </w:tcPr>
                <w:p>
                  <w:pPr>
                    <w:pStyle w:val="39"/>
                  </w:pPr>
                  <w: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599" w:type="pct"/>
                  <w:vMerge w:val="continue"/>
                  <w:tcBorders>
                    <w:tl2br w:val="nil"/>
                    <w:tr2bl w:val="nil"/>
                  </w:tcBorders>
                  <w:vAlign w:val="center"/>
                </w:tcPr>
                <w:p>
                  <w:pPr>
                    <w:pStyle w:val="39"/>
                  </w:pPr>
                </w:p>
              </w:tc>
              <w:tc>
                <w:tcPr>
                  <w:tcW w:w="1169" w:type="pct"/>
                  <w:vMerge w:val="continue"/>
                  <w:tcBorders>
                    <w:tl2br w:val="nil"/>
                    <w:tr2bl w:val="nil"/>
                  </w:tcBorders>
                  <w:vAlign w:val="center"/>
                </w:tcPr>
                <w:p>
                  <w:pPr>
                    <w:pStyle w:val="39"/>
                  </w:pPr>
                </w:p>
              </w:tc>
              <w:tc>
                <w:tcPr>
                  <w:tcW w:w="675" w:type="pct"/>
                  <w:tcBorders>
                    <w:tl2br w:val="nil"/>
                    <w:tr2bl w:val="nil"/>
                  </w:tcBorders>
                  <w:shd w:val="clear" w:color="auto" w:fill="auto"/>
                  <w:vAlign w:val="center"/>
                </w:tcPr>
                <w:p>
                  <w:pPr>
                    <w:pStyle w:val="39"/>
                  </w:pPr>
                  <w:r>
                    <w:t>夜间</w:t>
                  </w:r>
                </w:p>
              </w:tc>
              <w:tc>
                <w:tcPr>
                  <w:tcW w:w="1148" w:type="pct"/>
                  <w:tcBorders>
                    <w:tl2br w:val="nil"/>
                    <w:tr2bl w:val="nil"/>
                  </w:tcBorders>
                  <w:shd w:val="clear" w:color="auto" w:fill="auto"/>
                  <w:vAlign w:val="center"/>
                </w:tcPr>
                <w:p>
                  <w:pPr>
                    <w:pStyle w:val="39"/>
                    <w:rPr>
                      <w:lang w:eastAsia="zh-CN"/>
                    </w:rPr>
                  </w:pPr>
                  <w:r>
                    <w:rPr>
                      <w:rFonts w:hint="eastAsia"/>
                      <w:lang w:val="en-US" w:eastAsia="zh-CN"/>
                    </w:rPr>
                    <w:t>44</w:t>
                  </w:r>
                </w:p>
              </w:tc>
              <w:tc>
                <w:tcPr>
                  <w:tcW w:w="509" w:type="pct"/>
                  <w:tcBorders>
                    <w:tl2br w:val="nil"/>
                    <w:tr2bl w:val="nil"/>
                  </w:tcBorders>
                  <w:vAlign w:val="center"/>
                </w:tcPr>
                <w:p>
                  <w:pPr>
                    <w:pStyle w:val="39"/>
                    <w:rPr>
                      <w:rFonts w:hint="default"/>
                      <w:lang w:val="en-US" w:eastAsia="zh-CN"/>
                    </w:rPr>
                  </w:pPr>
                  <w:r>
                    <w:rPr>
                      <w:rFonts w:hint="eastAsia"/>
                      <w:lang w:val="en-US" w:eastAsia="zh-CN"/>
                    </w:rPr>
                    <w:t>55</w:t>
                  </w:r>
                </w:p>
              </w:tc>
              <w:tc>
                <w:tcPr>
                  <w:tcW w:w="897" w:type="pct"/>
                  <w:tcBorders>
                    <w:tl2br w:val="nil"/>
                    <w:tr2bl w:val="nil"/>
                  </w:tcBorders>
                  <w:shd w:val="clear" w:color="auto" w:fill="auto"/>
                  <w:vAlign w:val="center"/>
                </w:tcPr>
                <w:p>
                  <w:pPr>
                    <w:pStyle w:val="39"/>
                  </w:pPr>
                  <w:r>
                    <w:t>达标</w:t>
                  </w:r>
                </w:p>
              </w:tc>
            </w:tr>
          </w:tbl>
          <w:p>
            <w:pPr>
              <w:pageBreakBefore w:val="0"/>
              <w:widowControl/>
              <w:kinsoku/>
              <w:wordWrap/>
              <w:overflowPunct/>
              <w:topLinePunct w:val="0"/>
              <w:bidi w:val="0"/>
              <w:spacing w:before="0" w:after="0" w:line="360" w:lineRule="auto"/>
              <w:ind w:left="0" w:leftChars="0" w:right="0" w:rightChars="0" w:firstLine="480" w:firstLineChars="200"/>
              <w:outlineLvl w:val="9"/>
              <w:rPr>
                <w:rFonts w:hint="eastAsia" w:eastAsia="宋体" w:cs="Times New Roman"/>
                <w:u w:val="none" w:color="auto"/>
                <w:lang w:eastAsia="zh-CN"/>
              </w:rPr>
            </w:pPr>
            <w:r>
              <w:rPr>
                <w:rFonts w:ascii="Times New Roman" w:hAnsi="Times New Roman"/>
                <w:sz w:val="24"/>
              </w:rPr>
              <w:t>监测表明，</w:t>
            </w:r>
            <w:r>
              <w:rPr>
                <w:rFonts w:hint="eastAsia" w:ascii="Times New Roman" w:hAnsi="Times New Roman"/>
                <w:sz w:val="24"/>
              </w:rPr>
              <w:t>N1监</w:t>
            </w:r>
            <w:r>
              <w:rPr>
                <w:rFonts w:ascii="Times New Roman" w:hAnsi="Times New Roman"/>
                <w:sz w:val="24"/>
              </w:rPr>
              <w:t>测点的昼、夜间噪声值均能达到《声环境质量标准》（GB3096-2008）中</w:t>
            </w:r>
            <w:r>
              <w:rPr>
                <w:rFonts w:hint="eastAsia" w:ascii="Times New Roman" w:hAnsi="Times New Roman"/>
                <w:sz w:val="24"/>
                <w:lang w:val="en-US" w:eastAsia="zh-CN"/>
              </w:rPr>
              <w:t>4a</w:t>
            </w:r>
            <w:r>
              <w:rPr>
                <w:rFonts w:ascii="Times New Roman" w:hAnsi="Times New Roman"/>
                <w:sz w:val="24"/>
              </w:rPr>
              <w:t>类标准，项目所在地声环境现状较好</w:t>
            </w:r>
            <w:r>
              <w:rPr>
                <w:rFonts w:hint="eastAsia" w:ascii="Times New Roman" w:hAnsi="Times New Roman"/>
                <w:sz w:val="24"/>
                <w:lang w:eastAsia="zh-CN"/>
              </w:rPr>
              <w:t>。</w:t>
            </w:r>
          </w:p>
          <w:bookmarkEnd w:id="99"/>
          <w:bookmarkEnd w:id="100"/>
          <w:p>
            <w:pPr>
              <w:pageBreakBefore w:val="0"/>
              <w:widowControl w:val="0"/>
              <w:kinsoku/>
              <w:wordWrap w:val="0"/>
              <w:overflowPunct/>
              <w:topLinePunct/>
              <w:bidi w:val="0"/>
              <w:spacing w:before="200" w:after="200" w:line="240" w:lineRule="auto"/>
              <w:ind w:left="120" w:leftChars="50" w:right="120" w:rightChars="50" w:firstLine="0" w:firstLineChars="0"/>
              <w:outlineLvl w:val="1"/>
              <w:rPr>
                <w:rFonts w:ascii="Times New Roman" w:hAnsi="Times New Roman" w:eastAsia="黑体" w:cs="Times New Roman"/>
                <w:b/>
                <w:sz w:val="32"/>
                <w:szCs w:val="36"/>
                <w:u w:val="none" w:color="auto"/>
                <w:lang w:val="en-US" w:eastAsia="zh-CN" w:bidi="zh-CN"/>
              </w:rPr>
            </w:pPr>
            <w:r>
              <w:rPr>
                <w:rFonts w:hint="default" w:ascii="Times New Roman" w:hAnsi="Times New Roman" w:eastAsia="黑体" w:cs="Times New Roman"/>
                <w:b/>
                <w:sz w:val="32"/>
                <w:szCs w:val="36"/>
                <w:u w:val="none" w:color="auto"/>
                <w:lang w:val="en-US" w:eastAsia="zh-CN" w:bidi="zh-CN"/>
              </w:rPr>
              <w:t>3.2 地下水、土壤环境</w:t>
            </w:r>
          </w:p>
          <w:p>
            <w:pPr>
              <w:keepNext w:val="0"/>
              <w:keepLines w:val="0"/>
              <w:pageBreakBefore w:val="0"/>
              <w:widowControl w:val="0"/>
              <w:kinsoku/>
              <w:wordWrap w:val="0"/>
              <w:overflowPunct/>
              <w:topLinePunct w:val="0"/>
              <w:autoSpaceDE w:val="0"/>
              <w:autoSpaceDN w:val="0"/>
              <w:bidi w:val="0"/>
              <w:adjustRightInd/>
              <w:snapToGrid/>
              <w:ind w:left="120" w:leftChars="50" w:right="120" w:rightChars="50"/>
              <w:jc w:val="both"/>
              <w:textAlignment w:val="auto"/>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eastAsia="zh-CN"/>
              </w:rPr>
              <w:t>根据现场踏勘，</w:t>
            </w:r>
            <w:r>
              <w:rPr>
                <w:rFonts w:hint="default" w:ascii="Times New Roman" w:hAnsi="Times New Roman" w:eastAsia="宋体" w:cs="Times New Roman"/>
                <w:color w:val="000000"/>
                <w:u w:val="none" w:color="auto"/>
                <w:lang w:eastAsia="zh-CN"/>
              </w:rPr>
              <w:t>项</w:t>
            </w:r>
            <w:r>
              <w:rPr>
                <w:rFonts w:hint="default" w:ascii="Times New Roman" w:hAnsi="Times New Roman" w:eastAsia="宋体" w:cs="Times New Roman"/>
                <w:u w:val="none" w:color="auto"/>
                <w:lang w:eastAsia="zh-CN"/>
              </w:rPr>
              <w:t>目厂界外</w:t>
            </w:r>
            <w:r>
              <w:rPr>
                <w:rFonts w:hint="default" w:ascii="Times New Roman" w:hAnsi="Times New Roman" w:eastAsia="宋体" w:cs="Times New Roman"/>
                <w:u w:val="none" w:color="auto"/>
                <w:lang w:val="en-US" w:eastAsia="zh-CN"/>
              </w:rPr>
              <w:t>500米范围内无地下水集中式饮用水水源和热水、矿泉水、温泉等特殊地下水资源保护目标</w:t>
            </w:r>
            <w:r>
              <w:rPr>
                <w:rFonts w:hint="default" w:ascii="Times New Roman" w:hAnsi="Times New Roman" w:cs="Times New Roman"/>
                <w:u w:val="none" w:color="auto"/>
                <w:lang w:val="en-US" w:eastAsia="zh-CN"/>
              </w:rPr>
              <w:t>，且根据实际调查，泸溪县白沙镇天然饮料厂的水源来自于</w:t>
            </w:r>
            <w:r>
              <w:rPr>
                <w:rFonts w:ascii="Times New Roman" w:hAnsi="Times New Roman" w:cs="Times New Roman"/>
                <w:u w:val="none" w:color="auto"/>
                <w:lang w:val="en-US"/>
              </w:rPr>
              <w:t>市政</w:t>
            </w:r>
            <w:r>
              <w:rPr>
                <w:rFonts w:hint="eastAsia" w:cs="Times New Roman"/>
                <w:u w:val="none" w:color="auto"/>
                <w:lang w:val="en-US" w:eastAsia="zh-CN"/>
              </w:rPr>
              <w:t>供水</w:t>
            </w:r>
            <w:r>
              <w:rPr>
                <w:rFonts w:ascii="Times New Roman" w:hAnsi="Times New Roman" w:cs="Times New Roman"/>
                <w:u w:val="none" w:color="auto"/>
                <w:lang w:val="en-US"/>
              </w:rPr>
              <w:t>管网</w:t>
            </w:r>
            <w:r>
              <w:rPr>
                <w:rFonts w:hint="eastAsia" w:cs="Times New Roman"/>
                <w:u w:val="none" w:color="auto"/>
                <w:lang w:val="en-US" w:eastAsia="zh-CN"/>
              </w:rPr>
              <w:t>以及对面水厂生产的山泉水</w:t>
            </w:r>
            <w:r>
              <w:rPr>
                <w:rFonts w:hint="default" w:ascii="Times New Roman" w:hAnsi="Times New Roman" w:cs="Times New Roman"/>
                <w:u w:val="none" w:color="auto"/>
                <w:lang w:val="en-US" w:eastAsia="zh-CN"/>
              </w:rPr>
              <w:t>。项目运营过程中不存在土壤、地下水环境污染途径，根据《建设项目环境影响报告表编制技术指南（污染影响类）试行》中要求，不需开展</w:t>
            </w:r>
            <w:r>
              <w:rPr>
                <w:rFonts w:hint="default" w:ascii="Times New Roman" w:hAnsi="Times New Roman" w:eastAsia="宋体" w:cs="Times New Roman"/>
                <w:u w:val="none" w:color="auto"/>
                <w:lang w:val="en-US" w:eastAsia="zh-CN"/>
              </w:rPr>
              <w:t>地下水</w:t>
            </w:r>
            <w:r>
              <w:rPr>
                <w:rFonts w:hint="default" w:ascii="Times New Roman" w:hAnsi="Times New Roman" w:cs="Times New Roman"/>
                <w:u w:val="none" w:color="auto"/>
                <w:lang w:val="en-US" w:eastAsia="zh-CN"/>
              </w:rPr>
              <w:t>与土壤</w:t>
            </w:r>
            <w:r>
              <w:rPr>
                <w:rFonts w:hint="default" w:ascii="Times New Roman" w:hAnsi="Times New Roman" w:eastAsia="宋体" w:cs="Times New Roman"/>
                <w:u w:val="none" w:color="auto"/>
                <w:lang w:val="en-US" w:eastAsia="zh-CN"/>
              </w:rPr>
              <w:t>专项评价工作。</w:t>
            </w:r>
          </w:p>
          <w:p>
            <w:pPr>
              <w:pageBreakBefore w:val="0"/>
              <w:widowControl w:val="0"/>
              <w:kinsoku/>
              <w:wordWrap w:val="0"/>
              <w:overflowPunct/>
              <w:topLinePunct/>
              <w:bidi w:val="0"/>
              <w:spacing w:before="200" w:after="200" w:line="240" w:lineRule="auto"/>
              <w:ind w:left="120" w:leftChars="50" w:right="120" w:rightChars="50" w:firstLine="0" w:firstLineChars="0"/>
              <w:outlineLvl w:val="1"/>
              <w:rPr>
                <w:rFonts w:ascii="Times New Roman" w:hAnsi="Times New Roman" w:eastAsia="黑体" w:cs="Times New Roman"/>
                <w:b/>
                <w:sz w:val="32"/>
                <w:szCs w:val="36"/>
                <w:highlight w:val="none"/>
                <w:u w:val="none" w:color="auto"/>
                <w:lang w:val="en-US" w:eastAsia="zh-CN" w:bidi="zh-CN"/>
              </w:rPr>
            </w:pPr>
            <w:r>
              <w:rPr>
                <w:rFonts w:hint="default" w:ascii="Times New Roman" w:hAnsi="Times New Roman" w:eastAsia="黑体" w:cs="Times New Roman"/>
                <w:b/>
                <w:sz w:val="32"/>
                <w:szCs w:val="36"/>
                <w:highlight w:val="none"/>
                <w:u w:val="none" w:color="auto"/>
                <w:lang w:val="en-US" w:eastAsia="zh-CN" w:bidi="zh-CN"/>
              </w:rPr>
              <w:t>3.3 生态环境</w:t>
            </w:r>
          </w:p>
          <w:p>
            <w:pPr>
              <w:keepNext w:val="0"/>
              <w:keepLines w:val="0"/>
              <w:pageBreakBefore w:val="0"/>
              <w:widowControl w:val="0"/>
              <w:kinsoku/>
              <w:wordWrap w:val="0"/>
              <w:overflowPunct/>
              <w:topLinePunct w:val="0"/>
              <w:autoSpaceDE w:val="0"/>
              <w:autoSpaceDN w:val="0"/>
              <w:bidi w:val="0"/>
              <w:adjustRightInd/>
              <w:snapToGrid/>
              <w:ind w:left="120" w:leftChars="50" w:right="120" w:rightChars="50"/>
              <w:jc w:val="both"/>
              <w:textAlignment w:val="auto"/>
              <w:rPr>
                <w:rFonts w:hint="default" w:ascii="Times New Roman" w:hAnsi="Times New Roman" w:cs="Times New Roman"/>
                <w:u w:val="none" w:color="auto"/>
                <w:lang w:val="en-US" w:eastAsia="zh-CN"/>
              </w:rPr>
            </w:pPr>
            <w:r>
              <w:rPr>
                <w:rFonts w:hint="default" w:ascii="Times New Roman" w:hAnsi="Times New Roman" w:eastAsia="宋体" w:cs="Times New Roman"/>
                <w:u w:val="none" w:color="auto"/>
              </w:rPr>
              <w:t>《建设项目环境影响</w:t>
            </w:r>
            <w:r>
              <w:rPr>
                <w:rFonts w:hint="default" w:ascii="Times New Roman" w:hAnsi="Times New Roman" w:eastAsia="宋体" w:cs="Times New Roman"/>
                <w:color w:val="000000"/>
                <w:u w:val="none" w:color="auto"/>
              </w:rPr>
              <w:t>报告</w:t>
            </w:r>
            <w:r>
              <w:rPr>
                <w:rFonts w:hint="default" w:ascii="Times New Roman" w:hAnsi="Times New Roman" w:eastAsia="宋体" w:cs="Times New Roman"/>
                <w:u w:val="none" w:color="auto"/>
              </w:rPr>
              <w:t>表编制技术指南》（污染影响类）（试行），“产业园区外建设项目新增用地且用地范围内含有生态环境保护目标时，应进行生态现状调查”</w:t>
            </w:r>
            <w:r>
              <w:rPr>
                <w:rFonts w:hint="default" w:ascii="Times New Roman" w:hAnsi="Times New Roman" w:cs="Times New Roman"/>
                <w:u w:val="none" w:color="auto"/>
                <w:lang w:eastAsia="zh-CN"/>
              </w:rPr>
              <w:t>。</w:t>
            </w:r>
            <w:r>
              <w:rPr>
                <w:rFonts w:hint="default" w:ascii="Times New Roman" w:hAnsi="Times New Roman" w:eastAsia="宋体" w:cs="Times New Roman"/>
                <w:u w:val="none" w:color="auto"/>
              </w:rPr>
              <w:t>本项目建设地位于湖南省湘西土家族苗族自治州泸溪县</w:t>
            </w:r>
            <w:r>
              <w:rPr>
                <w:rFonts w:hint="default" w:ascii="Times New Roman" w:hAnsi="Times New Roman" w:cs="Times New Roman"/>
                <w:u w:val="none" w:color="auto"/>
                <w:lang w:val="en-US" w:eastAsia="zh-CN"/>
              </w:rPr>
              <w:t>武溪镇红土溪村</w:t>
            </w:r>
            <w:r>
              <w:rPr>
                <w:rFonts w:hint="default" w:ascii="Times New Roman" w:hAnsi="Times New Roman" w:eastAsia="宋体" w:cs="Times New Roman"/>
                <w:u w:val="none" w:color="auto"/>
              </w:rPr>
              <w:t>，</w:t>
            </w:r>
            <w:r>
              <w:rPr>
                <w:rFonts w:hint="default" w:ascii="Times New Roman" w:hAnsi="Times New Roman" w:cs="Times New Roman"/>
                <w:u w:val="none" w:color="auto"/>
                <w:lang w:val="en-US" w:eastAsia="zh-CN"/>
              </w:rPr>
              <w:t>占地面积为845m</w:t>
            </w:r>
            <w:r>
              <w:rPr>
                <w:rFonts w:hint="default" w:ascii="Times New Roman" w:hAnsi="Times New Roman" w:cs="Times New Roman"/>
                <w:u w:val="none" w:color="auto"/>
                <w:vertAlign w:val="superscript"/>
                <w:lang w:val="en-US" w:eastAsia="zh-CN"/>
              </w:rPr>
              <w:t>2</w:t>
            </w:r>
            <w:r>
              <w:rPr>
                <w:rFonts w:hint="default" w:ascii="Times New Roman" w:hAnsi="Times New Roman" w:cs="Times New Roman"/>
                <w:u w:val="none" w:color="auto"/>
                <w:lang w:val="en-US" w:eastAsia="zh-CN"/>
              </w:rPr>
              <w:t>，项目用地临近S252，厂区原为饮料厂旧址，现各类设备均已拆除，仅剩余3栋构筑物。</w:t>
            </w:r>
          </w:p>
          <w:p>
            <w:pPr>
              <w:keepNext w:val="0"/>
              <w:keepLines w:val="0"/>
              <w:pageBreakBefore w:val="0"/>
              <w:widowControl w:val="0"/>
              <w:kinsoku/>
              <w:wordWrap w:val="0"/>
              <w:overflowPunct/>
              <w:topLinePunct w:val="0"/>
              <w:autoSpaceDE w:val="0"/>
              <w:autoSpaceDN w:val="0"/>
              <w:bidi w:val="0"/>
              <w:adjustRightInd/>
              <w:snapToGrid/>
              <w:ind w:left="120" w:leftChars="50" w:right="120" w:rightChars="50"/>
              <w:jc w:val="both"/>
              <w:textAlignment w:val="auto"/>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本项目所在区域为农村地区，区域内植被覆盖率较高。</w:t>
            </w:r>
            <w:r>
              <w:rPr>
                <w:rFonts w:hint="default" w:ascii="Times New Roman" w:hAnsi="Times New Roman" w:eastAsia="宋体" w:cs="Times New Roman"/>
                <w:u w:val="none" w:color="auto"/>
              </w:rPr>
              <w:t>经调查项目范围内无列入国家重点保护名录的珍稀野生动物分布，</w:t>
            </w:r>
            <w:r>
              <w:rPr>
                <w:rFonts w:hint="default" w:ascii="Times New Roman" w:hAnsi="Times New Roman" w:cs="Times New Roman"/>
                <w:u w:val="none" w:color="auto"/>
                <w:lang w:val="en-US" w:eastAsia="zh-CN"/>
              </w:rPr>
              <w:t>不属于生态红线范围内，不属于</w:t>
            </w:r>
            <w:r>
              <w:rPr>
                <w:rFonts w:ascii="Times New Roman" w:hAnsi="Times New Roman" w:cs="Times New Roman"/>
                <w:u w:val="none" w:color="auto"/>
              </w:rPr>
              <w:t>湖南</w:t>
            </w:r>
            <w:r>
              <w:rPr>
                <w:rFonts w:hint="default" w:ascii="Times New Roman" w:hAnsi="Times New Roman" w:cs="Times New Roman"/>
                <w:u w:val="none" w:color="auto"/>
              </w:rPr>
              <w:t>泸溪武水</w:t>
            </w:r>
            <w:r>
              <w:rPr>
                <w:rFonts w:ascii="Times New Roman" w:hAnsi="Times New Roman" w:cs="Times New Roman"/>
                <w:u w:val="none" w:color="auto"/>
              </w:rPr>
              <w:t>国家湿地公园</w:t>
            </w:r>
            <w:r>
              <w:rPr>
                <w:rFonts w:hint="default" w:ascii="Times New Roman" w:hAnsi="Times New Roman" w:cs="Times New Roman"/>
                <w:u w:val="none" w:color="auto"/>
                <w:lang w:val="en-US" w:eastAsia="zh-CN"/>
              </w:rPr>
              <w:t>范围内</w:t>
            </w:r>
            <w:r>
              <w:rPr>
                <w:rFonts w:hint="default" w:ascii="Times New Roman" w:hAnsi="Times New Roman" w:eastAsia="宋体" w:cs="Times New Roman"/>
                <w:u w:val="none" w:color="auto"/>
              </w:rPr>
              <w:t>，未发现名木古树、珍稀濒危动植物物种和其它需要特殊保护的树种</w:t>
            </w:r>
            <w:r>
              <w:rPr>
                <w:rFonts w:hint="default" w:ascii="Times New Roman" w:hAnsi="Times New Roman" w:eastAsia="宋体" w:cs="Times New Roman"/>
                <w:u w:val="none" w:color="auto"/>
                <w:lang w:val="en-US" w:eastAsia="zh-CN"/>
              </w:rPr>
              <w:t>，主要植被为马尾松、杉树等。</w:t>
            </w:r>
          </w:p>
          <w:p>
            <w:pPr>
              <w:pageBreakBefore w:val="0"/>
              <w:widowControl w:val="0"/>
              <w:kinsoku/>
              <w:wordWrap w:val="0"/>
              <w:overflowPunct/>
              <w:topLinePunct/>
              <w:bidi w:val="0"/>
              <w:spacing w:before="200" w:after="200" w:line="240" w:lineRule="auto"/>
              <w:ind w:left="120" w:leftChars="50" w:right="120" w:rightChars="50" w:firstLine="0" w:firstLineChars="0"/>
              <w:outlineLvl w:val="1"/>
              <w:rPr>
                <w:rFonts w:ascii="Times New Roman" w:hAnsi="Times New Roman" w:eastAsia="黑体" w:cs="Times New Roman"/>
                <w:b/>
                <w:sz w:val="32"/>
                <w:szCs w:val="36"/>
                <w:u w:val="none" w:color="auto"/>
                <w:lang w:val="en-US" w:eastAsia="zh-CN" w:bidi="zh-CN"/>
              </w:rPr>
            </w:pPr>
            <w:r>
              <w:rPr>
                <w:rFonts w:hint="default" w:ascii="Times New Roman" w:hAnsi="Times New Roman" w:eastAsia="黑体" w:cs="Times New Roman"/>
                <w:b/>
                <w:sz w:val="32"/>
                <w:szCs w:val="36"/>
                <w:u w:val="none" w:color="auto"/>
                <w:lang w:val="en-US" w:eastAsia="zh-CN" w:bidi="zh-CN"/>
              </w:rPr>
              <w:t>3.4 电磁辐射</w:t>
            </w:r>
          </w:p>
          <w:p>
            <w:pPr>
              <w:ind w:firstLine="480"/>
              <w:rPr>
                <w:rFonts w:ascii="Times New Roman" w:hAnsi="Times New Roman" w:cs="Times New Roman"/>
                <w:u w:val="none" w:color="auto"/>
              </w:rPr>
            </w:pPr>
            <w:r>
              <w:rPr>
                <w:rFonts w:ascii="Times New Roman" w:hAnsi="Times New Roman" w:eastAsia="宋体" w:cs="Times New Roman"/>
                <w:u w:val="none" w:color="auto"/>
              </w:rPr>
              <w:t>本项目不涉及</w:t>
            </w:r>
            <w:r>
              <w:rPr>
                <w:rFonts w:hint="default" w:ascii="Times New Roman" w:hAnsi="Times New Roman" w:eastAsia="宋体" w:cs="Times New Roman"/>
                <w:color w:val="000000"/>
                <w:u w:val="none" w:color="auto"/>
              </w:rPr>
              <w:t>电磁辐射</w:t>
            </w:r>
            <w:r>
              <w:rPr>
                <w:rFonts w:ascii="Times New Roman" w:hAnsi="Times New Roman" w:eastAsia="宋体" w:cs="Times New Roman"/>
                <w:u w:val="none" w:color="auto"/>
              </w:rPr>
              <w:t>设备，不进行电磁辐射影响评价，因此无需进行电磁辐射环境现状调查</w:t>
            </w:r>
            <w:r>
              <w:rPr>
                <w:rFonts w:hint="default" w:ascii="Times New Roman" w:hAnsi="Times New Roman" w:eastAsia="宋体" w:cs="Times New Roman"/>
                <w:u w:val="none" w:color="auto"/>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2" w:hRule="atLeast"/>
        </w:trPr>
        <w:tc>
          <w:tcPr>
            <w:tcW w:w="79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环</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境</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保</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护</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目</w:t>
            </w:r>
          </w:p>
          <w:p>
            <w:pPr>
              <w:pStyle w:val="49"/>
              <w:wordWrap/>
              <w:overflowPunct w:val="0"/>
              <w:topLinePunct w:val="0"/>
              <w:autoSpaceDE w:val="0"/>
              <w:autoSpaceDN w:val="0"/>
              <w:spacing w:line="242" w:lineRule="auto"/>
              <w:ind w:right="79"/>
              <w:jc w:val="center"/>
              <w:rPr>
                <w:rFonts w:ascii="Times New Roman" w:hAnsi="Times New Roman" w:cs="Times New Roman"/>
                <w:sz w:val="21"/>
                <w:u w:val="none" w:color="auto"/>
              </w:rPr>
            </w:pPr>
            <w:r>
              <w:rPr>
                <w:rFonts w:ascii="Times New Roman" w:hAnsi="Times New Roman" w:cs="Times New Roman"/>
                <w:b/>
                <w:bCs/>
                <w:sz w:val="30"/>
                <w:szCs w:val="30"/>
                <w:u w:val="none" w:color="auto"/>
              </w:rPr>
              <w:t>标</w:t>
            </w:r>
          </w:p>
        </w:tc>
        <w:tc>
          <w:tcPr>
            <w:tcW w:w="8190" w:type="dxa"/>
            <w:tcBorders>
              <w:top w:val="single" w:color="000000" w:sz="4" w:space="0"/>
              <w:left w:val="single" w:color="000000" w:sz="4" w:space="0"/>
              <w:bottom w:val="single" w:color="000000" w:sz="4" w:space="0"/>
            </w:tcBorders>
          </w:tcPr>
          <w:p>
            <w:pPr>
              <w:pStyle w:val="6"/>
              <w:keepNext w:val="0"/>
              <w:keepLines w:val="0"/>
              <w:wordWrap/>
              <w:overflowPunct w:val="0"/>
              <w:topLinePunct w:val="0"/>
              <w:autoSpaceDE w:val="0"/>
              <w:autoSpaceDN w:val="0"/>
              <w:ind w:firstLine="0" w:firstLineChars="0"/>
              <w:jc w:val="left"/>
              <w:rPr>
                <w:rFonts w:ascii="Times New Roman" w:hAnsi="Times New Roman" w:cs="Times New Roman"/>
                <w:u w:val="none" w:color="auto"/>
                <w:lang w:val="en-US"/>
              </w:rPr>
            </w:pPr>
            <w:r>
              <w:rPr>
                <w:rFonts w:hint="default" w:ascii="Times New Roman" w:hAnsi="Times New Roman" w:cs="Times New Roman"/>
                <w:u w:val="none" w:color="auto"/>
                <w:lang w:val="en-US"/>
              </w:rPr>
              <w:t>3.</w:t>
            </w:r>
            <w:r>
              <w:rPr>
                <w:rFonts w:hint="default" w:ascii="Times New Roman" w:hAnsi="Times New Roman" w:cs="Times New Roman"/>
                <w:u w:val="none" w:color="auto"/>
                <w:lang w:val="en-US" w:eastAsia="zh-CN"/>
              </w:rPr>
              <w:t>5</w:t>
            </w:r>
            <w:r>
              <w:rPr>
                <w:rFonts w:hint="default" w:ascii="Times New Roman" w:hAnsi="Times New Roman" w:cs="Times New Roman"/>
                <w:u w:val="none" w:color="auto"/>
                <w:lang w:val="en-US"/>
              </w:rPr>
              <w:t>主要环境保护目标：</w:t>
            </w:r>
          </w:p>
          <w:p>
            <w:pPr>
              <w:pStyle w:val="6"/>
              <w:bidi w:val="0"/>
              <w:rPr>
                <w:rFonts w:ascii="Times New Roman" w:hAnsi="Times New Roman" w:cs="Times New Roman"/>
                <w:u w:val="none" w:color="auto"/>
              </w:rPr>
            </w:pPr>
            <w:r>
              <w:rPr>
                <w:rFonts w:hint="default" w:ascii="Times New Roman" w:hAnsi="Times New Roman" w:cs="Times New Roman"/>
                <w:u w:val="none" w:color="auto"/>
                <w:lang w:val="en-US"/>
              </w:rPr>
              <w:t>3.</w:t>
            </w:r>
            <w:r>
              <w:rPr>
                <w:rFonts w:hint="default" w:ascii="Times New Roman" w:hAnsi="Times New Roman" w:cs="Times New Roman"/>
                <w:u w:val="none" w:color="auto"/>
                <w:lang w:val="en-US" w:eastAsia="zh-CN"/>
              </w:rPr>
              <w:t>5</w:t>
            </w:r>
            <w:r>
              <w:rPr>
                <w:rFonts w:hint="default" w:ascii="Times New Roman" w:hAnsi="Times New Roman" w:cs="Times New Roman"/>
                <w:u w:val="none" w:color="auto"/>
                <w:lang w:val="en-US"/>
              </w:rPr>
              <w:t>.1</w:t>
            </w:r>
            <w:r>
              <w:rPr>
                <w:rFonts w:hint="default" w:ascii="Times New Roman" w:hAnsi="Times New Roman" w:cs="Times New Roman"/>
                <w:u w:val="none" w:color="auto"/>
              </w:rPr>
              <w:t>环境保护目标</w:t>
            </w:r>
          </w:p>
          <w:p>
            <w:pPr>
              <w:ind w:firstLine="480"/>
              <w:rPr>
                <w:rFonts w:ascii="Times New Roman" w:hAnsi="Times New Roman" w:cs="Times New Roman"/>
                <w:u w:val="none" w:color="auto"/>
              </w:rPr>
            </w:pPr>
            <w:r>
              <w:rPr>
                <w:rFonts w:hint="default" w:ascii="Times New Roman" w:hAnsi="Times New Roman" w:cs="Times New Roman"/>
                <w:u w:val="none" w:color="auto"/>
              </w:rPr>
              <w:t>（</w:t>
            </w:r>
            <w:r>
              <w:rPr>
                <w:rFonts w:hint="default" w:ascii="Times New Roman" w:hAnsi="Times New Roman" w:cs="Times New Roman"/>
                <w:u w:val="none" w:color="auto"/>
                <w:lang w:val="en-US"/>
              </w:rPr>
              <w:t>1</w:t>
            </w:r>
            <w:r>
              <w:rPr>
                <w:rFonts w:hint="default" w:ascii="Times New Roman" w:hAnsi="Times New Roman" w:cs="Times New Roman"/>
                <w:u w:val="none" w:color="auto"/>
              </w:rPr>
              <w:t>）</w:t>
            </w:r>
            <w:r>
              <w:rPr>
                <w:rFonts w:ascii="Times New Roman" w:hAnsi="Times New Roman" w:cs="Times New Roman"/>
                <w:u w:val="none" w:color="auto"/>
              </w:rPr>
              <w:t>水环境保护目标</w:t>
            </w:r>
          </w:p>
          <w:p>
            <w:pPr>
              <w:ind w:firstLine="480"/>
              <w:rPr>
                <w:rFonts w:ascii="Times New Roman" w:hAnsi="Times New Roman" w:cs="Times New Roman"/>
                <w:u w:val="none" w:color="auto"/>
              </w:rPr>
            </w:pPr>
            <w:r>
              <w:rPr>
                <w:rFonts w:hint="default" w:ascii="Times New Roman" w:hAnsi="Times New Roman" w:cs="Times New Roman"/>
                <w:u w:val="none" w:color="auto"/>
              </w:rPr>
              <w:t>区域地表水环境</w:t>
            </w:r>
            <w:r>
              <w:rPr>
                <w:rFonts w:ascii="Times New Roman" w:hAnsi="Times New Roman" w:cs="Times New Roman"/>
                <w:u w:val="none" w:color="auto"/>
              </w:rPr>
              <w:t>水质达到《地表水环境质量标准》（GB3838-2002）</w:t>
            </w:r>
            <w:r>
              <w:rPr>
                <w:rFonts w:hint="default" w:ascii="Times New Roman" w:hAnsi="Times New Roman" w:eastAsia="宋体" w:cs="Times New Roman"/>
                <w:u w:val="none" w:color="auto"/>
              </w:rPr>
              <w:t>Ⅲ</w:t>
            </w:r>
            <w:r>
              <w:rPr>
                <w:rFonts w:ascii="Times New Roman" w:hAnsi="Times New Roman" w:cs="Times New Roman"/>
                <w:u w:val="none" w:color="auto"/>
              </w:rPr>
              <w:t>类水质标准。</w:t>
            </w:r>
          </w:p>
          <w:p>
            <w:pPr>
              <w:ind w:firstLine="480"/>
              <w:rPr>
                <w:rFonts w:ascii="Times New Roman" w:hAnsi="Times New Roman" w:cs="Times New Roman"/>
                <w:u w:val="none" w:color="auto"/>
              </w:rPr>
            </w:pPr>
            <w:r>
              <w:rPr>
                <w:rFonts w:ascii="Times New Roman" w:hAnsi="Times New Roman" w:cs="Times New Roman"/>
                <w:u w:val="none" w:color="auto"/>
              </w:rPr>
              <w:t>（2）大气环境保护目标</w:t>
            </w:r>
          </w:p>
          <w:p>
            <w:pPr>
              <w:ind w:firstLine="480"/>
              <w:rPr>
                <w:rFonts w:ascii="Times New Roman" w:hAnsi="Times New Roman" w:cs="Times New Roman"/>
                <w:u w:val="none" w:color="auto"/>
              </w:rPr>
            </w:pPr>
            <w:r>
              <w:rPr>
                <w:rFonts w:ascii="Times New Roman" w:hAnsi="Times New Roman" w:cs="Times New Roman"/>
                <w:u w:val="none" w:color="auto"/>
              </w:rPr>
              <w:t>项目所在区环境空气质量满足《环境空气质量标准》（GB3096-2012）二级标准</w:t>
            </w:r>
            <w:r>
              <w:rPr>
                <w:rFonts w:hint="default" w:ascii="Times New Roman" w:hAnsi="Times New Roman" w:cs="Times New Roman"/>
                <w:u w:val="none" w:color="auto"/>
              </w:rPr>
              <w:t>及</w:t>
            </w:r>
            <w:r>
              <w:rPr>
                <w:rFonts w:hint="default" w:ascii="Times New Roman" w:hAnsi="Times New Roman" w:cs="Times New Roman"/>
                <w:u w:val="none" w:color="auto"/>
                <w:lang w:val="en-US"/>
              </w:rPr>
              <w:t>2018年修改单。</w:t>
            </w:r>
          </w:p>
          <w:p>
            <w:pPr>
              <w:ind w:firstLine="480"/>
              <w:rPr>
                <w:rFonts w:ascii="Times New Roman" w:hAnsi="Times New Roman" w:cs="Times New Roman"/>
                <w:u w:val="none" w:color="auto"/>
              </w:rPr>
            </w:pPr>
            <w:r>
              <w:rPr>
                <w:rFonts w:ascii="Times New Roman" w:hAnsi="Times New Roman" w:cs="Times New Roman"/>
                <w:u w:val="none" w:color="auto"/>
              </w:rPr>
              <w:t>（3）声环境保护目标</w:t>
            </w:r>
          </w:p>
          <w:p>
            <w:pPr>
              <w:ind w:firstLine="480"/>
              <w:rPr>
                <w:rFonts w:ascii="Times New Roman" w:hAnsi="Times New Roman" w:cs="Times New Roman"/>
                <w:u w:val="none" w:color="auto"/>
              </w:rPr>
            </w:pPr>
            <w:r>
              <w:rPr>
                <w:rFonts w:ascii="Times New Roman" w:hAnsi="Times New Roman" w:cs="Times New Roman"/>
                <w:u w:val="none" w:color="auto"/>
              </w:rPr>
              <w:t>项目所在区声环境质量达《声环境质量标准》（GB3096-2008）</w:t>
            </w:r>
            <w:r>
              <w:rPr>
                <w:rFonts w:hint="default" w:ascii="Times New Roman" w:hAnsi="Times New Roman" w:cs="Times New Roman"/>
                <w:u w:val="none" w:color="auto"/>
                <w:lang w:val="en-US" w:eastAsia="zh-CN"/>
              </w:rPr>
              <w:t>2、4a</w:t>
            </w:r>
            <w:r>
              <w:rPr>
                <w:rFonts w:ascii="Times New Roman" w:hAnsi="Times New Roman" w:cs="Times New Roman"/>
                <w:u w:val="none" w:color="auto"/>
              </w:rPr>
              <w:t>类标准。</w:t>
            </w:r>
          </w:p>
          <w:p>
            <w:pPr>
              <w:ind w:firstLine="480"/>
              <w:rPr>
                <w:rFonts w:ascii="Times New Roman" w:hAnsi="Times New Roman" w:cs="Times New Roman"/>
                <w:u w:val="none" w:color="auto"/>
              </w:rPr>
            </w:pPr>
            <w:r>
              <w:rPr>
                <w:rFonts w:ascii="Times New Roman" w:hAnsi="Times New Roman" w:cs="Times New Roman"/>
                <w:u w:val="none" w:color="auto"/>
              </w:rPr>
              <w:t>（4）地下水环境保护目标</w:t>
            </w:r>
          </w:p>
          <w:p>
            <w:pPr>
              <w:ind w:firstLine="480"/>
              <w:rPr>
                <w:rFonts w:ascii="Times New Roman" w:hAnsi="Times New Roman" w:cs="Times New Roman"/>
                <w:u w:val="none" w:color="auto"/>
              </w:rPr>
            </w:pPr>
            <w:r>
              <w:rPr>
                <w:rFonts w:ascii="Times New Roman" w:hAnsi="Times New Roman" w:cs="Times New Roman"/>
                <w:u w:val="none" w:color="auto"/>
              </w:rPr>
              <w:t>厂界外500米范围内无地下水集中式饮用水水源和热水、矿泉水、温泉等特殊地下水资源。</w:t>
            </w:r>
          </w:p>
          <w:p>
            <w:pPr>
              <w:pStyle w:val="6"/>
              <w:bidi w:val="0"/>
              <w:rPr>
                <w:rFonts w:ascii="Times New Roman" w:hAnsi="Times New Roman" w:cs="Times New Roman"/>
                <w:u w:val="single" w:color="auto"/>
              </w:rPr>
            </w:pPr>
            <w:r>
              <w:rPr>
                <w:rFonts w:hint="default" w:ascii="Times New Roman" w:hAnsi="Times New Roman" w:cs="Times New Roman"/>
                <w:u w:val="single" w:color="auto"/>
                <w:lang w:val="en-US"/>
              </w:rPr>
              <w:t>3.</w:t>
            </w:r>
            <w:r>
              <w:rPr>
                <w:rFonts w:hint="default" w:ascii="Times New Roman" w:hAnsi="Times New Roman" w:cs="Times New Roman"/>
                <w:u w:val="single" w:color="auto"/>
                <w:lang w:val="en-US" w:eastAsia="zh-CN"/>
              </w:rPr>
              <w:t>5</w:t>
            </w:r>
            <w:r>
              <w:rPr>
                <w:rFonts w:hint="default" w:ascii="Times New Roman" w:hAnsi="Times New Roman" w:cs="Times New Roman"/>
                <w:u w:val="single" w:color="auto"/>
                <w:lang w:val="en-US"/>
              </w:rPr>
              <w:t>.2</w:t>
            </w:r>
            <w:r>
              <w:rPr>
                <w:rFonts w:hint="default" w:ascii="Times New Roman" w:hAnsi="Times New Roman" w:cs="Times New Roman"/>
                <w:u w:val="single" w:color="auto"/>
              </w:rPr>
              <w:t>环境</w:t>
            </w:r>
            <w:r>
              <w:rPr>
                <w:rFonts w:hint="default" w:ascii="Times New Roman" w:hAnsi="Times New Roman" w:cs="Times New Roman"/>
                <w:u w:val="single" w:color="auto"/>
                <w:lang w:val="en-US"/>
              </w:rPr>
              <w:t>敏感</w:t>
            </w:r>
            <w:r>
              <w:rPr>
                <w:rFonts w:hint="default" w:ascii="Times New Roman" w:hAnsi="Times New Roman" w:cs="Times New Roman"/>
                <w:u w:val="single" w:color="auto"/>
              </w:rPr>
              <w:t>目标</w:t>
            </w:r>
          </w:p>
          <w:p>
            <w:pPr>
              <w:ind w:firstLine="480"/>
              <w:rPr>
                <w:rFonts w:ascii="Times New Roman" w:hAnsi="Times New Roman" w:cs="Times New Roman"/>
                <w:highlight w:val="yellow"/>
                <w:u w:val="single" w:color="auto"/>
              </w:rPr>
            </w:pPr>
            <w:r>
              <w:rPr>
                <w:rFonts w:hint="default" w:ascii="Times New Roman" w:hAnsi="Times New Roman" w:cs="Times New Roman"/>
                <w:u w:val="single" w:color="auto"/>
              </w:rPr>
              <w:t>结合实地考察，本项目</w:t>
            </w:r>
            <w:r>
              <w:rPr>
                <w:rFonts w:hint="default" w:ascii="Times New Roman" w:hAnsi="Times New Roman" w:cs="Times New Roman"/>
                <w:u w:val="single" w:color="auto"/>
                <w:lang w:eastAsia="zh-CN"/>
              </w:rPr>
              <w:t>位于</w:t>
            </w:r>
            <w:r>
              <w:rPr>
                <w:rFonts w:hint="default" w:ascii="Times New Roman" w:hAnsi="Times New Roman" w:cs="Times New Roman"/>
                <w:u w:val="single" w:color="auto"/>
                <w:lang w:val="en-US" w:eastAsia="zh-CN"/>
              </w:rPr>
              <w:t>泸溪县武溪镇红土溪村</w:t>
            </w:r>
            <w:r>
              <w:rPr>
                <w:rFonts w:hint="eastAsia" w:cs="Times New Roman"/>
                <w:u w:val="single" w:color="auto"/>
                <w:lang w:val="en-US" w:eastAsia="zh-CN"/>
              </w:rPr>
              <w:t>，项目西南侧10m处存在红土溪村散户居民1户，</w:t>
            </w:r>
            <w:r>
              <w:rPr>
                <w:rFonts w:hint="default" w:ascii="Times New Roman" w:hAnsi="Times New Roman" w:cs="Times New Roman"/>
                <w:u w:val="single" w:color="auto"/>
              </w:rPr>
              <w:t>该户居民仅在春节期间有人</w:t>
            </w:r>
            <w:r>
              <w:rPr>
                <w:rFonts w:hint="eastAsia" w:cs="Times New Roman"/>
                <w:u w:val="single" w:color="auto"/>
                <w:lang w:val="en-US" w:eastAsia="zh-CN"/>
              </w:rPr>
              <w:t>短暂</w:t>
            </w:r>
            <w:r>
              <w:rPr>
                <w:rFonts w:hint="default" w:ascii="Times New Roman" w:hAnsi="Times New Roman" w:cs="Times New Roman"/>
                <w:u w:val="single" w:color="auto"/>
              </w:rPr>
              <w:t>居住，其余时间闲置</w:t>
            </w:r>
            <w:r>
              <w:rPr>
                <w:rFonts w:hint="default" w:ascii="Times New Roman" w:hAnsi="Times New Roman" w:cs="Times New Roman"/>
                <w:u w:val="single" w:color="auto"/>
                <w:lang w:val="en-US" w:eastAsia="zh-CN"/>
              </w:rPr>
              <w:t>，</w:t>
            </w:r>
            <w:r>
              <w:rPr>
                <w:rFonts w:hint="eastAsia" w:cs="Times New Roman"/>
                <w:u w:val="single" w:color="auto"/>
                <w:lang w:val="en-US" w:eastAsia="zh-CN"/>
              </w:rPr>
              <w:t>其余</w:t>
            </w:r>
            <w:r>
              <w:rPr>
                <w:rFonts w:hint="default" w:ascii="Times New Roman" w:hAnsi="Times New Roman" w:cs="Times New Roman"/>
                <w:u w:val="single" w:color="auto"/>
                <w:lang w:val="en-US" w:eastAsia="zh-CN"/>
              </w:rPr>
              <w:t>均为空房。</w:t>
            </w:r>
            <w:r>
              <w:rPr>
                <w:rFonts w:ascii="Times New Roman" w:hAnsi="Times New Roman" w:cs="Times New Roman"/>
                <w:u w:val="single" w:color="auto"/>
              </w:rPr>
              <w:t>项目主要涉及敏感目标为区域地表水系</w:t>
            </w:r>
            <w:r>
              <w:rPr>
                <w:rFonts w:hint="default" w:ascii="Times New Roman" w:hAnsi="Times New Roman" w:cs="Times New Roman"/>
                <w:u w:val="single" w:color="auto"/>
                <w:lang w:val="en-US" w:eastAsia="zh-CN"/>
              </w:rPr>
              <w:t>沅江、红土溪</w:t>
            </w:r>
            <w:r>
              <w:rPr>
                <w:rFonts w:ascii="Times New Roman" w:hAnsi="Times New Roman" w:cs="Times New Roman"/>
                <w:u w:val="single" w:color="auto"/>
              </w:rPr>
              <w:t>以及附近居民点，包括</w:t>
            </w:r>
            <w:r>
              <w:rPr>
                <w:rFonts w:hint="default" w:ascii="Times New Roman" w:hAnsi="Times New Roman" w:cs="Times New Roman"/>
                <w:u w:val="single" w:color="auto"/>
                <w:lang w:val="en-US" w:eastAsia="zh-CN"/>
              </w:rPr>
              <w:t>红土溪村散户居民</w:t>
            </w:r>
            <w:r>
              <w:rPr>
                <w:rFonts w:ascii="Times New Roman" w:hAnsi="Times New Roman" w:cs="Times New Roman"/>
                <w:u w:val="single" w:color="auto"/>
              </w:rPr>
              <w:t>、</w:t>
            </w:r>
            <w:r>
              <w:rPr>
                <w:rFonts w:hint="default" w:ascii="Times New Roman" w:hAnsi="Times New Roman" w:cs="Times New Roman"/>
                <w:u w:val="single" w:color="auto"/>
                <w:lang w:val="en-US" w:eastAsia="zh-CN"/>
              </w:rPr>
              <w:t>红土溪村</w:t>
            </w:r>
            <w:r>
              <w:rPr>
                <w:rFonts w:ascii="Times New Roman" w:hAnsi="Times New Roman" w:cs="Times New Roman"/>
                <w:u w:val="single" w:color="auto"/>
              </w:rPr>
              <w:t>等，各敏感目标与本项目位置关系详见下表</w:t>
            </w:r>
            <w:r>
              <w:rPr>
                <w:rFonts w:hint="default" w:ascii="Times New Roman" w:hAnsi="Times New Roman" w:cs="Times New Roman"/>
                <w:u w:val="single" w:color="auto"/>
                <w:lang w:val="en-US"/>
              </w:rPr>
              <w:t>3</w:t>
            </w:r>
            <w:r>
              <w:rPr>
                <w:rFonts w:hint="default" w:ascii="Times New Roman" w:hAnsi="Times New Roman" w:cs="Times New Roman"/>
                <w:u w:val="single" w:color="auto"/>
                <w:lang w:val="en-US" w:eastAsia="zh-CN"/>
              </w:rPr>
              <w:t>.5-1</w:t>
            </w:r>
            <w:r>
              <w:rPr>
                <w:rFonts w:ascii="Times New Roman" w:hAnsi="Times New Roman" w:cs="Times New Roman"/>
                <w:u w:val="single" w:color="auto"/>
              </w:rPr>
              <w:t>，详见附图</w:t>
            </w:r>
            <w:r>
              <w:rPr>
                <w:rFonts w:ascii="Times New Roman" w:hAnsi="Times New Roman" w:cs="Times New Roman"/>
                <w:u w:val="single" w:color="auto"/>
                <w:lang w:val="en-US"/>
              </w:rPr>
              <w:t>4</w:t>
            </w:r>
            <w:r>
              <w:rPr>
                <w:rFonts w:ascii="Times New Roman" w:hAnsi="Times New Roman" w:cs="Times New Roman"/>
                <w:u w:val="single" w:color="auto"/>
              </w:rPr>
              <w:t>：项目外环境</w:t>
            </w:r>
            <w:r>
              <w:rPr>
                <w:rFonts w:ascii="Times New Roman" w:hAnsi="Times New Roman" w:cs="Times New Roman"/>
                <w:highlight w:val="none"/>
                <w:u w:val="single" w:color="auto"/>
              </w:rPr>
              <w:t>关系图。</w:t>
            </w:r>
          </w:p>
          <w:p>
            <w:pPr>
              <w:pStyle w:val="43"/>
              <w:bidi w:val="0"/>
              <w:rPr>
                <w:rFonts w:ascii="Times New Roman" w:hAnsi="Times New Roman" w:cs="Times New Roman"/>
                <w:u w:val="single" w:color="auto"/>
              </w:rPr>
            </w:pPr>
            <w:r>
              <w:rPr>
                <w:rFonts w:ascii="Times New Roman" w:hAnsi="Times New Roman" w:cs="Times New Roman"/>
                <w:u w:val="single" w:color="auto"/>
              </w:rPr>
              <w:t>表</w:t>
            </w:r>
            <w:r>
              <w:rPr>
                <w:rFonts w:hint="default" w:ascii="Times New Roman" w:hAnsi="Times New Roman" w:cs="Times New Roman"/>
                <w:u w:val="single" w:color="auto"/>
                <w:lang w:val="en-US" w:eastAsia="zh-CN"/>
              </w:rPr>
              <w:t>3.5-1</w:t>
            </w:r>
            <w:r>
              <w:rPr>
                <w:rFonts w:hint="default" w:ascii="Times New Roman" w:hAnsi="Times New Roman" w:cs="Times New Roman"/>
                <w:u w:val="single" w:color="auto"/>
                <w:lang w:val="en-US"/>
              </w:rPr>
              <w:t>：</w:t>
            </w:r>
            <w:r>
              <w:rPr>
                <w:rFonts w:ascii="Times New Roman" w:hAnsi="Times New Roman" w:cs="Times New Roman"/>
                <w:u w:val="single" w:color="auto"/>
              </w:rPr>
              <w:t>本项目附近敏感目标一览表</w:t>
            </w:r>
          </w:p>
          <w:p>
            <w:pPr>
              <w:pStyle w:val="43"/>
              <w:bidi w:val="0"/>
              <w:rPr>
                <w:rFonts w:ascii="Times New Roman" w:hAnsi="Times New Roman" w:cs="Times New Roman"/>
                <w:u w:val="single" w:color="auto"/>
              </w:rPr>
            </w:pPr>
            <w:r>
              <w:rPr>
                <w:rFonts w:ascii="Times New Roman" w:hAnsi="Times New Roman" w:cs="Times New Roman"/>
                <w:b/>
                <w:bCs/>
                <w:sz w:val="21"/>
                <w:szCs w:val="21"/>
                <w:highlight w:val="none"/>
                <w:u w:val="single" w:color="auto"/>
              </w:rPr>
              <w:t>(原点坐标：</w:t>
            </w:r>
            <w:r>
              <w:rPr>
                <w:rFonts w:hint="default" w:ascii="Times New Roman" w:hAnsi="Times New Roman" w:cs="Times New Roman"/>
                <w:b/>
                <w:bCs/>
                <w:sz w:val="21"/>
                <w:szCs w:val="21"/>
                <w:highlight w:val="none"/>
                <w:u w:val="single" w:color="auto"/>
              </w:rPr>
              <w:t>东经110°11′3.14″，北纬28°11′29.65″</w:t>
            </w:r>
            <w:r>
              <w:rPr>
                <w:rFonts w:ascii="Times New Roman" w:hAnsi="Times New Roman" w:cs="Times New Roman"/>
                <w:b/>
                <w:bCs/>
                <w:sz w:val="21"/>
                <w:szCs w:val="21"/>
                <w:highlight w:val="none"/>
                <w:u w:val="single" w:color="auto"/>
              </w:rPr>
              <w:t>)</w:t>
            </w:r>
          </w:p>
          <w:tbl>
            <w:tblPr>
              <w:tblStyle w:val="28"/>
              <w:tblW w:w="49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1137"/>
              <w:gridCol w:w="634"/>
              <w:gridCol w:w="690"/>
              <w:gridCol w:w="885"/>
              <w:gridCol w:w="1064"/>
              <w:gridCol w:w="733"/>
              <w:gridCol w:w="1433"/>
              <w:gridCol w:w="12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环境要素</w:t>
                  </w:r>
                </w:p>
              </w:tc>
              <w:tc>
                <w:tcPr>
                  <w:tcW w:w="690"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环境保护</w:t>
                  </w:r>
                </w:p>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对象名称</w:t>
                  </w:r>
                </w:p>
              </w:tc>
              <w:tc>
                <w:tcPr>
                  <w:tcW w:w="803" w:type="pct"/>
                  <w:gridSpan w:val="2"/>
                  <w:tcBorders>
                    <w:tl2br w:val="nil"/>
                    <w:tr2bl w:val="nil"/>
                  </w:tcBorders>
                  <w:vAlign w:val="center"/>
                </w:tcPr>
                <w:p>
                  <w:pPr>
                    <w:pStyle w:val="72"/>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color w:val="auto"/>
                      <w:highlight w:val="none"/>
                      <w:u w:val="single" w:color="auto"/>
                    </w:rPr>
                    <w:t>坐标（相对于项目中心点坐标）</w:t>
                  </w:r>
                </w:p>
              </w:tc>
              <w:tc>
                <w:tcPr>
                  <w:tcW w:w="1628"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相对位置关系</w:t>
                  </w:r>
                </w:p>
              </w:tc>
              <w:tc>
                <w:tcPr>
                  <w:tcW w:w="869"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性质规模</w:t>
                  </w:r>
                </w:p>
              </w:tc>
              <w:tc>
                <w:tcPr>
                  <w:tcW w:w="744"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eastAsia="zh-CN"/>
                    </w:rPr>
                    <w:t>保护级别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690"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385" w:type="pct"/>
                  <w:tcBorders>
                    <w:tl2br w:val="nil"/>
                    <w:tr2bl w:val="nil"/>
                  </w:tcBorders>
                  <w:vAlign w:val="center"/>
                </w:tcPr>
                <w:p>
                  <w:pPr>
                    <w:pStyle w:val="72"/>
                    <w:rPr>
                      <w:rFonts w:hint="default" w:ascii="Times New Roman" w:hAnsi="Times New Roman" w:eastAsia="宋体" w:cs="Times New Roman"/>
                      <w:u w:val="single" w:color="auto"/>
                      <w:lang w:val="en-US"/>
                    </w:rPr>
                  </w:pPr>
                  <w:r>
                    <w:rPr>
                      <w:rFonts w:hint="default" w:ascii="Times New Roman" w:hAnsi="Times New Roman" w:eastAsia="宋体" w:cs="Times New Roman"/>
                      <w:b/>
                      <w:bCs/>
                      <w:color w:val="auto"/>
                      <w:highlight w:val="none"/>
                      <w:u w:val="single" w:color="auto"/>
                    </w:rPr>
                    <w:t>X</w:t>
                  </w:r>
                </w:p>
              </w:tc>
              <w:tc>
                <w:tcPr>
                  <w:tcW w:w="418" w:type="pct"/>
                  <w:tcBorders>
                    <w:tl2br w:val="nil"/>
                    <w:tr2bl w:val="nil"/>
                  </w:tcBorders>
                  <w:vAlign w:val="center"/>
                </w:tcPr>
                <w:p>
                  <w:pPr>
                    <w:pStyle w:val="72"/>
                    <w:rPr>
                      <w:rFonts w:hint="default" w:ascii="Times New Roman" w:hAnsi="Times New Roman" w:eastAsia="宋体" w:cs="Times New Roman"/>
                      <w:u w:val="single" w:color="auto"/>
                      <w:lang w:val="en-US"/>
                    </w:rPr>
                  </w:pPr>
                  <w:r>
                    <w:rPr>
                      <w:rFonts w:hint="default" w:ascii="Times New Roman" w:hAnsi="Times New Roman" w:eastAsia="宋体" w:cs="Times New Roman"/>
                      <w:b/>
                      <w:bCs/>
                      <w:color w:val="auto"/>
                      <w:highlight w:val="none"/>
                      <w:u w:val="single" w:color="auto"/>
                    </w:rPr>
                    <w:t>Y</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方位</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最近距离（m）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single" w:color="auto"/>
                      <w:lang w:val="en-US"/>
                    </w:rPr>
                  </w:pPr>
                  <w:r>
                    <w:rPr>
                      <w:rFonts w:hint="default" w:ascii="Times New Roman" w:hAnsi="Times New Roman" w:eastAsia="宋体" w:cs="Times New Roman"/>
                      <w:b/>
                      <w:bCs/>
                      <w:u w:val="single" w:color="auto"/>
                      <w:lang w:val="en-US"/>
                    </w:rPr>
                    <w:t>山体阻隔</w:t>
                  </w:r>
                </w:p>
              </w:tc>
              <w:tc>
                <w:tcPr>
                  <w:tcW w:w="869"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74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大气环境</w:t>
                  </w:r>
                </w:p>
              </w:tc>
              <w:tc>
                <w:tcPr>
                  <w:tcW w:w="6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红土溪村散户①</w:t>
                  </w:r>
                </w:p>
              </w:tc>
              <w:tc>
                <w:tcPr>
                  <w:tcW w:w="38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w:t>
                  </w:r>
                </w:p>
              </w:tc>
              <w:tc>
                <w:tcPr>
                  <w:tcW w:w="41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-26</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SW</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无</w:t>
                  </w:r>
                </w:p>
              </w:tc>
              <w:tc>
                <w:tcPr>
                  <w:tcW w:w="869"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none" w:color="auto"/>
                      <w:lang w:val="en-US" w:eastAsia="zh-CN"/>
                    </w:rPr>
                    <w:t>过年期间短暂</w:t>
                  </w:r>
                  <w:r>
                    <w:rPr>
                      <w:rFonts w:hint="default" w:ascii="Times New Roman" w:hAnsi="Times New Roman" w:eastAsia="宋体" w:cs="Times New Roman"/>
                      <w:u w:val="none" w:color="auto"/>
                    </w:rPr>
                    <w:t>居住，其余时间闲置</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lang w:val="en-US" w:eastAsia="zh-CN"/>
                    </w:rPr>
                    <w:t>1户约4人</w:t>
                  </w:r>
                </w:p>
              </w:tc>
              <w:tc>
                <w:tcPr>
                  <w:tcW w:w="744"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color w:val="auto"/>
                      <w:sz w:val="21"/>
                      <w:szCs w:val="21"/>
                      <w:u w:val="single" w:color="auto"/>
                    </w:rPr>
                    <w:t>（GB3095-2012）</w:t>
                  </w:r>
                  <w:r>
                    <w:rPr>
                      <w:rFonts w:hint="default" w:ascii="Times New Roman" w:hAnsi="Times New Roman" w:eastAsia="宋体" w:cs="Times New Roman"/>
                      <w:color w:val="auto"/>
                      <w:sz w:val="21"/>
                      <w:szCs w:val="21"/>
                      <w:u w:val="single" w:color="auto"/>
                      <w:lang w:val="en-US" w:eastAsia="zh-CN"/>
                    </w:rPr>
                    <w:t>及2018年修改单</w:t>
                  </w:r>
                  <w:r>
                    <w:rPr>
                      <w:rFonts w:hint="default" w:ascii="Times New Roman" w:hAnsi="Times New Roman" w:eastAsia="宋体" w:cs="Times New Roman"/>
                      <w:color w:val="auto"/>
                      <w:sz w:val="21"/>
                      <w:szCs w:val="21"/>
                      <w:u w:val="single" w:color="auto"/>
                    </w:rPr>
                    <w:t>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6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红土溪村散户②</w:t>
                  </w:r>
                </w:p>
              </w:tc>
              <w:tc>
                <w:tcPr>
                  <w:tcW w:w="38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36</w:t>
                  </w:r>
                </w:p>
              </w:tc>
              <w:tc>
                <w:tcPr>
                  <w:tcW w:w="41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-116</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SW</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90</w:t>
                  </w:r>
                  <w:r>
                    <w:rPr>
                      <w:rFonts w:hint="default" w:ascii="Times New Roman" w:hAnsi="Times New Roman" w:eastAsia="宋体" w:cs="Times New Roman"/>
                      <w:u w:val="single" w:color="auto"/>
                      <w:lang w:val="en-US"/>
                    </w:rPr>
                    <w:t>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无</w:t>
                  </w:r>
                </w:p>
              </w:tc>
              <w:tc>
                <w:tcPr>
                  <w:tcW w:w="869"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居住，约10户，40人</w:t>
                  </w:r>
                </w:p>
              </w:tc>
              <w:tc>
                <w:tcPr>
                  <w:tcW w:w="74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6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红土溪村</w:t>
                  </w:r>
                </w:p>
              </w:tc>
              <w:tc>
                <w:tcPr>
                  <w:tcW w:w="38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-96</w:t>
                  </w:r>
                </w:p>
              </w:tc>
              <w:tc>
                <w:tcPr>
                  <w:tcW w:w="41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-533</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SW</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512</w:t>
                  </w:r>
                  <w:r>
                    <w:rPr>
                      <w:rFonts w:hint="default" w:ascii="Times New Roman" w:hAnsi="Times New Roman" w:eastAsia="宋体" w:cs="Times New Roman"/>
                      <w:u w:val="single" w:color="auto"/>
                      <w:lang w:val="en-US"/>
                    </w:rPr>
                    <w:t>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有</w:t>
                  </w:r>
                </w:p>
              </w:tc>
              <w:tc>
                <w:tcPr>
                  <w:tcW w:w="869" w:type="pc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rPr>
                  </w:pPr>
                  <w:r>
                    <w:rPr>
                      <w:rFonts w:hint="default" w:ascii="Times New Roman" w:hAnsi="Times New Roman" w:eastAsia="宋体" w:cs="Times New Roman"/>
                      <w:sz w:val="21"/>
                      <w:szCs w:val="21"/>
                      <w:u w:val="single" w:color="auto"/>
                      <w:lang w:val="en-US" w:eastAsia="zh-CN"/>
                    </w:rPr>
                    <w:t>居住，约500人</w:t>
                  </w:r>
                </w:p>
              </w:tc>
              <w:tc>
                <w:tcPr>
                  <w:tcW w:w="744" w:type="pct"/>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6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红土溪村散户③</w:t>
                  </w:r>
                </w:p>
              </w:tc>
              <w:tc>
                <w:tcPr>
                  <w:tcW w:w="38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28</w:t>
                  </w:r>
                </w:p>
              </w:tc>
              <w:tc>
                <w:tcPr>
                  <w:tcW w:w="41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-513</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SW</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206</w:t>
                  </w:r>
                  <w:r>
                    <w:rPr>
                      <w:rFonts w:hint="default" w:ascii="Times New Roman" w:hAnsi="Times New Roman" w:eastAsia="宋体" w:cs="Times New Roman"/>
                      <w:u w:val="single" w:color="auto"/>
                      <w:lang w:val="en-US"/>
                    </w:rPr>
                    <w:t>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有</w:t>
                  </w:r>
                </w:p>
              </w:tc>
              <w:tc>
                <w:tcPr>
                  <w:tcW w:w="869" w:type="pc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rPr>
                  </w:pPr>
                  <w:r>
                    <w:rPr>
                      <w:rFonts w:hint="default" w:ascii="Times New Roman" w:hAnsi="Times New Roman" w:eastAsia="宋体" w:cs="Times New Roman"/>
                      <w:sz w:val="21"/>
                      <w:szCs w:val="21"/>
                      <w:u w:val="single" w:color="auto"/>
                      <w:lang w:val="en-US" w:eastAsia="zh-CN"/>
                    </w:rPr>
                    <w:t>居住，约12户  ，50人</w:t>
                  </w:r>
                </w:p>
              </w:tc>
              <w:tc>
                <w:tcPr>
                  <w:tcW w:w="744" w:type="pct"/>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6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红土溪村散户④</w:t>
                  </w:r>
                </w:p>
              </w:tc>
              <w:tc>
                <w:tcPr>
                  <w:tcW w:w="38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45</w:t>
                  </w:r>
                </w:p>
              </w:tc>
              <w:tc>
                <w:tcPr>
                  <w:tcW w:w="41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-222</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SW</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479m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有</w:t>
                  </w:r>
                </w:p>
              </w:tc>
              <w:tc>
                <w:tcPr>
                  <w:tcW w:w="869" w:type="pc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rPr>
                  </w:pPr>
                  <w:r>
                    <w:rPr>
                      <w:rFonts w:hint="default" w:ascii="Times New Roman" w:hAnsi="Times New Roman" w:eastAsia="宋体" w:cs="Times New Roman"/>
                      <w:sz w:val="21"/>
                      <w:szCs w:val="21"/>
                      <w:u w:val="single" w:color="auto"/>
                      <w:lang w:val="en-US" w:eastAsia="zh-CN"/>
                    </w:rPr>
                    <w:t>居住，约3户，12人</w:t>
                  </w:r>
                </w:p>
              </w:tc>
              <w:tc>
                <w:tcPr>
                  <w:tcW w:w="744" w:type="pct"/>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6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红土溪村散户⑤</w:t>
                  </w:r>
                </w:p>
              </w:tc>
              <w:tc>
                <w:tcPr>
                  <w:tcW w:w="38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0</w:t>
                  </w:r>
                </w:p>
              </w:tc>
              <w:tc>
                <w:tcPr>
                  <w:tcW w:w="41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187</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E</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140m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有</w:t>
                  </w:r>
                </w:p>
              </w:tc>
              <w:tc>
                <w:tcPr>
                  <w:tcW w:w="869" w:type="pc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rPr>
                  </w:pPr>
                  <w:r>
                    <w:rPr>
                      <w:rFonts w:hint="default" w:ascii="Times New Roman" w:hAnsi="Times New Roman" w:eastAsia="宋体" w:cs="Times New Roman"/>
                      <w:sz w:val="21"/>
                      <w:szCs w:val="21"/>
                      <w:u w:val="single" w:color="auto"/>
                      <w:lang w:val="en-US" w:eastAsia="zh-CN"/>
                    </w:rPr>
                    <w:t>居住，约5户，20人</w:t>
                  </w:r>
                </w:p>
              </w:tc>
              <w:tc>
                <w:tcPr>
                  <w:tcW w:w="744" w:type="pct"/>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6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桥下</w:t>
                  </w:r>
                </w:p>
              </w:tc>
              <w:tc>
                <w:tcPr>
                  <w:tcW w:w="38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418</w:t>
                  </w:r>
                </w:p>
              </w:tc>
              <w:tc>
                <w:tcPr>
                  <w:tcW w:w="41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118</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E</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350m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有</w:t>
                  </w:r>
                </w:p>
              </w:tc>
              <w:tc>
                <w:tcPr>
                  <w:tcW w:w="869" w:type="pct"/>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rPr>
                  </w:pPr>
                  <w:r>
                    <w:rPr>
                      <w:rFonts w:hint="default" w:ascii="Times New Roman" w:hAnsi="Times New Roman" w:eastAsia="宋体" w:cs="Times New Roman"/>
                      <w:sz w:val="21"/>
                      <w:szCs w:val="21"/>
                      <w:u w:val="single" w:color="auto"/>
                      <w:lang w:val="en-US" w:eastAsia="zh-CN"/>
                    </w:rPr>
                    <w:t>居住，约56户，220人</w:t>
                  </w:r>
                </w:p>
              </w:tc>
              <w:tc>
                <w:tcPr>
                  <w:tcW w:w="744" w:type="pct"/>
                  <w:vMerge w:val="continue"/>
                  <w:tcBorders>
                    <w:tl2br w:val="nil"/>
                    <w:tr2bl w:val="nil"/>
                  </w:tcBorders>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声环境</w:t>
                  </w:r>
                </w:p>
              </w:tc>
              <w:tc>
                <w:tcPr>
                  <w:tcW w:w="1119"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红土溪村散户①</w:t>
                  </w:r>
                </w:p>
              </w:tc>
              <w:tc>
                <w:tcPr>
                  <w:tcW w:w="625"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w:t>
                  </w:r>
                </w:p>
              </w:tc>
              <w:tc>
                <w:tcPr>
                  <w:tcW w:w="680"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-26</w:t>
                  </w:r>
                </w:p>
              </w:tc>
              <w:tc>
                <w:tcPr>
                  <w:tcW w:w="872"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SW</w:t>
                  </w:r>
                </w:p>
              </w:tc>
              <w:tc>
                <w:tcPr>
                  <w:tcW w:w="1049"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10m</w:t>
                  </w:r>
                </w:p>
              </w:tc>
              <w:tc>
                <w:tcPr>
                  <w:tcW w:w="723"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无</w:t>
                  </w:r>
                </w:p>
              </w:tc>
              <w:tc>
                <w:tcPr>
                  <w:tcW w:w="1413"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none" w:color="auto"/>
                      <w:lang w:val="en-US" w:eastAsia="zh-CN"/>
                    </w:rPr>
                    <w:t>过年期间短暂</w:t>
                  </w:r>
                  <w:r>
                    <w:rPr>
                      <w:rFonts w:hint="default" w:ascii="Times New Roman" w:hAnsi="Times New Roman" w:eastAsia="宋体" w:cs="Times New Roman"/>
                      <w:u w:val="none" w:color="auto"/>
                    </w:rPr>
                    <w:t>居住，其余时间闲置</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lang w:val="en-US" w:eastAsia="zh-CN"/>
                    </w:rPr>
                    <w:t>1户约4人</w:t>
                  </w:r>
                </w:p>
              </w:tc>
              <w:tc>
                <w:tcPr>
                  <w:tcW w:w="74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sz w:val="21"/>
                      <w:szCs w:val="21"/>
                      <w:u w:val="single" w:color="auto"/>
                    </w:rPr>
                    <w:t>《声环境质量标准》（GB3096-2008）</w:t>
                  </w:r>
                  <w:r>
                    <w:rPr>
                      <w:rFonts w:hint="default" w:ascii="Times New Roman" w:hAnsi="Times New Roman" w:eastAsia="宋体" w:cs="Times New Roman"/>
                      <w:sz w:val="21"/>
                      <w:szCs w:val="21"/>
                      <w:u w:val="single" w:color="auto"/>
                      <w:lang w:val="en-US" w:eastAsia="zh-CN"/>
                    </w:rPr>
                    <w:t>4a类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地表水环境</w:t>
                  </w:r>
                </w:p>
              </w:tc>
              <w:tc>
                <w:tcPr>
                  <w:tcW w:w="1494"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红土溪</w:t>
                  </w:r>
                </w:p>
              </w:tc>
              <w:tc>
                <w:tcPr>
                  <w:tcW w:w="2498" w:type="pct"/>
                  <w:gridSpan w:val="4"/>
                  <w:tcBorders>
                    <w:tl2br w:val="nil"/>
                    <w:tr2bl w:val="nil"/>
                  </w:tcBorders>
                  <w:vAlign w:val="center"/>
                </w:tcPr>
                <w:p>
                  <w:pPr>
                    <w:pStyle w:val="51"/>
                    <w:widowControl w:val="0"/>
                    <w:wordWrap/>
                    <w:overflowPunct w:val="0"/>
                    <w:topLinePunct w:val="0"/>
                    <w:autoSpaceDE w:val="0"/>
                    <w:autoSpaceDN w:val="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highlight w:val="none"/>
                      <w:u w:val="single" w:color="auto"/>
                      <w:lang w:val="en-US" w:eastAsia="zh-CN"/>
                    </w:rPr>
                    <w:t>位于项目地北侧67m处，农业用水区，项目地最近点红土溪距离沅江汇入口为1080m，河宽约3~4m，</w:t>
                  </w:r>
                  <w:r>
                    <w:rPr>
                      <w:rFonts w:hint="default" w:ascii="Times New Roman" w:hAnsi="Times New Roman" w:eastAsia="宋体" w:cs="Times New Roman"/>
                      <w:sz w:val="21"/>
                      <w:szCs w:val="21"/>
                      <w:u w:val="single" w:color="auto"/>
                    </w:rPr>
                    <w:t>年平均流量</w:t>
                  </w:r>
                  <w:r>
                    <w:rPr>
                      <w:rFonts w:hint="default" w:ascii="Times New Roman" w:hAnsi="Times New Roman" w:eastAsia="宋体" w:cs="Times New Roman"/>
                      <w:sz w:val="21"/>
                      <w:szCs w:val="21"/>
                      <w:u w:val="single" w:color="auto"/>
                      <w:lang w:val="en-US" w:eastAsia="zh-CN"/>
                    </w:rPr>
                    <w:t>0.6m</w:t>
                  </w:r>
                  <w:r>
                    <w:rPr>
                      <w:rFonts w:hint="default" w:ascii="Times New Roman" w:hAnsi="Times New Roman" w:eastAsia="宋体" w:cs="Times New Roman"/>
                      <w:sz w:val="21"/>
                      <w:szCs w:val="21"/>
                      <w:u w:val="single" w:color="auto"/>
                      <w:vertAlign w:val="superscript"/>
                      <w:lang w:val="en-US" w:eastAsia="zh-CN"/>
                    </w:rPr>
                    <w:t>3</w:t>
                  </w:r>
                  <w:r>
                    <w:rPr>
                      <w:rFonts w:hint="default" w:ascii="Times New Roman" w:hAnsi="Times New Roman" w:eastAsia="宋体" w:cs="Times New Roman"/>
                      <w:sz w:val="21"/>
                      <w:szCs w:val="21"/>
                      <w:u w:val="single" w:color="auto"/>
                      <w:lang w:val="en-US" w:eastAsia="zh-CN"/>
                    </w:rPr>
                    <w:t>/s，汇入沅江前1km段为</w:t>
                  </w:r>
                  <w:r>
                    <w:rPr>
                      <w:rFonts w:hint="default" w:ascii="Times New Roman" w:hAnsi="Times New Roman" w:eastAsia="宋体" w:cs="Times New Roman"/>
                      <w:u w:val="single" w:color="auto"/>
                      <w:lang w:val="en-US" w:eastAsia="zh-CN"/>
                    </w:rPr>
                    <w:t>泸溪县沅江白沙段饮用水水源保护区的</w:t>
                  </w:r>
                  <w:r>
                    <w:rPr>
                      <w:rFonts w:hint="default" w:ascii="Times New Roman" w:hAnsi="Times New Roman" w:eastAsia="宋体" w:cs="Times New Roman"/>
                      <w:sz w:val="21"/>
                      <w:szCs w:val="21"/>
                      <w:u w:val="single" w:color="auto"/>
                      <w:lang w:val="en-US" w:eastAsia="zh-CN"/>
                    </w:rPr>
                    <w:t>二级水域保护区</w:t>
                  </w:r>
                </w:p>
              </w:tc>
              <w:tc>
                <w:tcPr>
                  <w:tcW w:w="744" w:type="pct"/>
                  <w:vMerge w:val="restart"/>
                  <w:tcBorders>
                    <w:tl2br w:val="nil"/>
                    <w:tr2bl w:val="nil"/>
                  </w:tcBorders>
                  <w:vAlign w:val="center"/>
                </w:tcPr>
                <w:p>
                  <w:pPr>
                    <w:pStyle w:val="51"/>
                    <w:widowControl w:val="0"/>
                    <w:wordWrap/>
                    <w:overflowPunct w:val="0"/>
                    <w:topLinePunct w:val="0"/>
                    <w:autoSpaceDE w:val="0"/>
                    <w:autoSpaceDN w:val="0"/>
                    <w:jc w:val="center"/>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rPr>
                    <w:t>《地表水环境质量标准》（GB3838-2002）Ⅲ类标准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1494"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沅江</w:t>
                  </w:r>
                </w:p>
              </w:tc>
              <w:tc>
                <w:tcPr>
                  <w:tcW w:w="2498" w:type="pct"/>
                  <w:gridSpan w:val="4"/>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位于项目地东侧690m处，饮用水水源保护区，</w:t>
                  </w:r>
                  <w:r>
                    <w:rPr>
                      <w:rFonts w:hint="default" w:ascii="Times New Roman" w:hAnsi="Times New Roman" w:eastAsia="宋体" w:cs="Times New Roman"/>
                      <w:color w:val="auto"/>
                      <w:u w:val="single" w:color="auto"/>
                    </w:rPr>
                    <w:t>平均流量为1132.6680m</w:t>
                  </w:r>
                  <w:r>
                    <w:rPr>
                      <w:rFonts w:hint="default" w:ascii="Times New Roman" w:hAnsi="Times New Roman" w:eastAsia="宋体" w:cs="Times New Roman"/>
                      <w:color w:val="auto"/>
                      <w:u w:val="single" w:color="auto"/>
                      <w:vertAlign w:val="superscript"/>
                    </w:rPr>
                    <w:t>3</w:t>
                  </w:r>
                  <w:r>
                    <w:rPr>
                      <w:rFonts w:hint="default" w:ascii="Times New Roman" w:hAnsi="Times New Roman" w:eastAsia="宋体" w:cs="Times New Roman"/>
                      <w:color w:val="auto"/>
                      <w:u w:val="single" w:color="auto"/>
                    </w:rPr>
                    <w:t>/s</w:t>
                  </w:r>
                </w:p>
              </w:tc>
              <w:tc>
                <w:tcPr>
                  <w:tcW w:w="74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生态环境</w:t>
                  </w:r>
                </w:p>
              </w:tc>
              <w:tc>
                <w:tcPr>
                  <w:tcW w:w="1494"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泸溪县沅江白沙段饮用水水源保护区</w:t>
                  </w:r>
                </w:p>
              </w:tc>
              <w:tc>
                <w:tcPr>
                  <w:tcW w:w="2498" w:type="pct"/>
                  <w:gridSpan w:val="4"/>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位于项目地东北侧，80m，</w:t>
                  </w:r>
                  <w:r>
                    <w:rPr>
                      <w:rFonts w:hint="default" w:ascii="Times New Roman" w:hAnsi="Times New Roman" w:eastAsia="宋体" w:cs="Times New Roman"/>
                      <w:u w:val="single" w:color="auto"/>
                      <w:lang w:eastAsia="zh-CN"/>
                    </w:rPr>
                    <w:t>有山体阻隔；</w:t>
                  </w:r>
                  <w:r>
                    <w:rPr>
                      <w:rFonts w:hint="default" w:ascii="Times New Roman" w:hAnsi="Times New Roman" w:eastAsia="宋体" w:cs="Times New Roman"/>
                      <w:u w:val="single" w:color="auto"/>
                      <w:lang w:val="en-US" w:eastAsia="zh-CN"/>
                    </w:rPr>
                    <w:t>项目灌溉地位于饮用水水源保护区的二级陆域，均有水利联系</w:t>
                  </w:r>
                </w:p>
              </w:tc>
              <w:tc>
                <w:tcPr>
                  <w:tcW w:w="744"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不受影响破坏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1494"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湖南泸溪武水国家湿地公园</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eastAsia="zh-CN"/>
                    </w:rPr>
                    <w:t>NE</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3.4km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eastAsia="zh-CN"/>
                    </w:rPr>
                    <w:t>有山体阻隔</w:t>
                  </w:r>
                </w:p>
              </w:tc>
              <w:tc>
                <w:tcPr>
                  <w:tcW w:w="869"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湿地公园</w:t>
                  </w:r>
                </w:p>
              </w:tc>
              <w:tc>
                <w:tcPr>
                  <w:tcW w:w="74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1494" w:type="pct"/>
                  <w:gridSpan w:val="3"/>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沅水风景名胜区</w:t>
                  </w:r>
                </w:p>
              </w:tc>
              <w:tc>
                <w:tcPr>
                  <w:tcW w:w="53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S</w:t>
                  </w:r>
                </w:p>
              </w:tc>
              <w:tc>
                <w:tcPr>
                  <w:tcW w:w="646"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10m</w:t>
                  </w:r>
                </w:p>
              </w:tc>
              <w:tc>
                <w:tcPr>
                  <w:tcW w:w="44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无</w:t>
                  </w:r>
                </w:p>
              </w:tc>
              <w:tc>
                <w:tcPr>
                  <w:tcW w:w="869"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风景名胜区</w:t>
                  </w:r>
                </w:p>
              </w:tc>
              <w:tc>
                <w:tcPr>
                  <w:tcW w:w="74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c>
                <w:tcPr>
                  <w:tcW w:w="3992" w:type="pct"/>
                  <w:gridSpan w:val="7"/>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保持项目周边村庄、农田、植被等其他景观、生态的生态系统的完整性</w:t>
                  </w:r>
                </w:p>
              </w:tc>
              <w:tc>
                <w:tcPr>
                  <w:tcW w:w="74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lang w:val="en-US"/>
                    </w:rPr>
                    <w:t>地下水环境</w:t>
                  </w:r>
                </w:p>
              </w:tc>
              <w:tc>
                <w:tcPr>
                  <w:tcW w:w="3992" w:type="pct"/>
                  <w:gridSpan w:val="7"/>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经调查，</w:t>
                  </w:r>
                  <w:r>
                    <w:rPr>
                      <w:rFonts w:hint="default" w:ascii="Times New Roman" w:hAnsi="Times New Roman" w:eastAsia="宋体" w:cs="Times New Roman"/>
                      <w:u w:val="single" w:color="auto"/>
                    </w:rPr>
                    <w:t>项目厂界外500米范围内</w:t>
                  </w:r>
                  <w:r>
                    <w:rPr>
                      <w:rFonts w:hint="default" w:ascii="Times New Roman" w:hAnsi="Times New Roman" w:eastAsia="宋体" w:cs="Times New Roman"/>
                      <w:u w:val="single" w:color="auto"/>
                      <w:lang w:val="en-US" w:eastAsia="zh-CN"/>
                    </w:rPr>
                    <w:t>无</w:t>
                  </w:r>
                  <w:r>
                    <w:rPr>
                      <w:rFonts w:hint="default" w:ascii="Times New Roman" w:hAnsi="Times New Roman" w:eastAsia="宋体" w:cs="Times New Roman"/>
                      <w:u w:val="single" w:color="auto"/>
                    </w:rPr>
                    <w:t>地下水</w:t>
                  </w:r>
                  <w:r>
                    <w:rPr>
                      <w:rFonts w:hint="default" w:ascii="Times New Roman" w:hAnsi="Times New Roman" w:eastAsia="宋体" w:cs="Times New Roman"/>
                      <w:u w:val="single" w:color="auto"/>
                      <w:lang w:eastAsia="zh-CN"/>
                    </w:rPr>
                    <w:t>、</w:t>
                  </w:r>
                  <w:r>
                    <w:rPr>
                      <w:rFonts w:hint="default" w:ascii="Times New Roman" w:hAnsi="Times New Roman" w:eastAsia="宋体" w:cs="Times New Roman"/>
                      <w:u w:val="single" w:color="auto"/>
                      <w:lang w:val="en-US" w:eastAsia="zh-CN"/>
                    </w:rPr>
                    <w:t>山泉水</w:t>
                  </w:r>
                  <w:r>
                    <w:rPr>
                      <w:rFonts w:hint="default" w:ascii="Times New Roman" w:hAnsi="Times New Roman" w:eastAsia="宋体" w:cs="Times New Roman"/>
                      <w:u w:val="single" w:color="auto"/>
                      <w:lang w:eastAsia="zh-CN"/>
                    </w:rPr>
                    <w:t>环境保护目标，</w:t>
                  </w:r>
                  <w:r>
                    <w:rPr>
                      <w:rFonts w:hint="default" w:ascii="Times New Roman" w:hAnsi="Times New Roman" w:eastAsia="宋体" w:cs="Times New Roman"/>
                      <w:u w:val="single" w:color="auto"/>
                      <w:lang w:val="en-US" w:eastAsia="zh-CN"/>
                    </w:rPr>
                    <w:t>周边居民生活饮用水均来源于市政自来水管网</w:t>
                  </w:r>
                </w:p>
              </w:tc>
              <w:tc>
                <w:tcPr>
                  <w:tcW w:w="74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single" w:color="auto"/>
                    </w:rPr>
                  </w:pPr>
                  <w:r>
                    <w:rPr>
                      <w:rFonts w:hint="default" w:ascii="Times New Roman" w:hAnsi="Times New Roman" w:eastAsia="宋体" w:cs="Times New Roman"/>
                      <w:u w:val="single" w:color="auto"/>
                      <w:lang w:val="en-US" w:eastAsia="zh-CN"/>
                    </w:rPr>
                    <w:t>/</w:t>
                  </w:r>
                </w:p>
              </w:tc>
            </w:tr>
          </w:tbl>
          <w:p>
            <w:pPr>
              <w:pStyle w:val="49"/>
              <w:wordWrap/>
              <w:overflowPunct w:val="0"/>
              <w:topLinePunct w:val="0"/>
              <w:autoSpaceDE w:val="0"/>
              <w:autoSpaceDN w:val="0"/>
              <w:ind w:right="3967"/>
              <w:jc w:val="left"/>
              <w:rPr>
                <w:rFonts w:ascii="Times New Roman" w:hAnsi="Times New Roman" w:cs="Times New Roman"/>
                <w:sz w:val="21"/>
                <w:u w:val="none" w:color="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1" w:hRule="atLeast"/>
        </w:trPr>
        <w:tc>
          <w:tcPr>
            <w:tcW w:w="799"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污</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染</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物</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排</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放</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控</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制</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标</w:t>
            </w:r>
          </w:p>
          <w:p>
            <w:pPr>
              <w:pStyle w:val="49"/>
              <w:wordWrap/>
              <w:overflowPunct w:val="0"/>
              <w:topLinePunct w:val="0"/>
              <w:autoSpaceDE w:val="0"/>
              <w:autoSpaceDN w:val="0"/>
              <w:spacing w:line="242" w:lineRule="auto"/>
              <w:ind w:right="79"/>
              <w:jc w:val="center"/>
              <w:rPr>
                <w:rFonts w:ascii="Times New Roman" w:hAnsi="Times New Roman" w:cs="Times New Roman"/>
                <w:sz w:val="21"/>
                <w:u w:val="none" w:color="auto"/>
              </w:rPr>
            </w:pPr>
            <w:r>
              <w:rPr>
                <w:rFonts w:ascii="Times New Roman" w:hAnsi="Times New Roman" w:cs="Times New Roman"/>
                <w:b/>
                <w:bCs/>
                <w:sz w:val="30"/>
                <w:szCs w:val="30"/>
                <w:u w:val="none" w:color="auto"/>
              </w:rPr>
              <w:t>准</w:t>
            </w:r>
          </w:p>
        </w:tc>
        <w:tc>
          <w:tcPr>
            <w:tcW w:w="8190" w:type="dxa"/>
            <w:tcBorders>
              <w:top w:val="single" w:color="000000" w:sz="4" w:space="0"/>
              <w:left w:val="single" w:color="000000" w:sz="4" w:space="0"/>
              <w:bottom w:val="single" w:color="000000" w:sz="4" w:space="0"/>
            </w:tcBorders>
            <w:vAlign w:val="center"/>
          </w:tcPr>
          <w:p>
            <w:pPr>
              <w:pStyle w:val="6"/>
              <w:keepNext w:val="0"/>
              <w:keepLines w:val="0"/>
              <w:wordWrap/>
              <w:overflowPunct w:val="0"/>
              <w:topLinePunct w:val="0"/>
              <w:autoSpaceDE w:val="0"/>
              <w:autoSpaceDN w:val="0"/>
              <w:ind w:firstLine="0" w:firstLineChars="0"/>
              <w:rPr>
                <w:rFonts w:ascii="Times New Roman" w:hAnsi="Times New Roman" w:cs="Times New Roman"/>
                <w:u w:val="none" w:color="auto"/>
                <w:lang w:val="en-US"/>
              </w:rPr>
            </w:pPr>
            <w:r>
              <w:rPr>
                <w:rFonts w:hint="default" w:ascii="Times New Roman" w:hAnsi="Times New Roman" w:cs="Times New Roman"/>
                <w:u w:val="none" w:color="auto"/>
                <w:lang w:val="en-US"/>
              </w:rPr>
              <w:t>3.</w:t>
            </w:r>
            <w:r>
              <w:rPr>
                <w:rFonts w:hint="default" w:ascii="Times New Roman" w:hAnsi="Times New Roman" w:cs="Times New Roman"/>
                <w:u w:val="none" w:color="auto"/>
                <w:lang w:val="en-US" w:eastAsia="zh-CN"/>
              </w:rPr>
              <w:t>6</w:t>
            </w:r>
            <w:r>
              <w:rPr>
                <w:rFonts w:ascii="Times New Roman" w:hAnsi="Times New Roman" w:cs="Times New Roman"/>
                <w:u w:val="none" w:color="auto"/>
              </w:rPr>
              <w:t>污染物排放控制标准</w:t>
            </w:r>
          </w:p>
          <w:p>
            <w:pPr>
              <w:pStyle w:val="6"/>
              <w:bidi w:val="0"/>
              <w:rPr>
                <w:rFonts w:ascii="Times New Roman" w:hAnsi="Times New Roman" w:cs="Times New Roman"/>
                <w:u w:val="none" w:color="auto"/>
              </w:rPr>
            </w:pPr>
            <w:r>
              <w:rPr>
                <w:rFonts w:hint="default" w:ascii="Times New Roman" w:hAnsi="Times New Roman" w:cs="Times New Roman"/>
                <w:u w:val="none" w:color="auto"/>
                <w:lang w:val="en-US"/>
              </w:rPr>
              <w:t>3</w:t>
            </w:r>
            <w:r>
              <w:rPr>
                <w:rFonts w:ascii="Times New Roman" w:hAnsi="Times New Roman" w:cs="Times New Roman"/>
                <w:u w:val="none" w:color="auto"/>
              </w:rPr>
              <w:t>.</w:t>
            </w:r>
            <w:r>
              <w:rPr>
                <w:rFonts w:hint="default" w:ascii="Times New Roman" w:hAnsi="Times New Roman" w:cs="Times New Roman"/>
                <w:u w:val="none" w:color="auto"/>
                <w:lang w:val="en-US" w:eastAsia="zh-CN"/>
              </w:rPr>
              <w:t>6</w:t>
            </w:r>
            <w:r>
              <w:rPr>
                <w:rFonts w:ascii="Times New Roman" w:hAnsi="Times New Roman" w:cs="Times New Roman"/>
                <w:u w:val="none" w:color="auto"/>
              </w:rPr>
              <w:t>.</w:t>
            </w:r>
            <w:r>
              <w:rPr>
                <w:rFonts w:hint="default" w:ascii="Times New Roman" w:hAnsi="Times New Roman" w:cs="Times New Roman"/>
                <w:u w:val="none" w:color="auto"/>
              </w:rPr>
              <w:t>1</w:t>
            </w:r>
            <w:r>
              <w:rPr>
                <w:rFonts w:ascii="Times New Roman" w:hAnsi="Times New Roman" w:cs="Times New Roman"/>
                <w:u w:val="none" w:color="auto"/>
              </w:rPr>
              <w:t>大气污染物排放标准</w:t>
            </w:r>
          </w:p>
          <w:p>
            <w:pPr>
              <w:widowControl/>
              <w:ind w:firstLine="480"/>
              <w:jc w:val="left"/>
              <w:rPr>
                <w:rFonts w:hint="default" w:ascii="Times New Roman" w:hAnsi="Times New Roman" w:cs="Times New Roman"/>
                <w:u w:val="none" w:color="auto"/>
                <w:lang w:val="en-US"/>
              </w:rPr>
            </w:pPr>
            <w:r>
              <w:rPr>
                <w:rFonts w:hint="default" w:ascii="Times New Roman" w:hAnsi="Times New Roman" w:cs="Times New Roman"/>
                <w:u w:val="none" w:color="auto"/>
                <w:lang w:val="en-US"/>
              </w:rPr>
              <w:t>本项目</w:t>
            </w:r>
            <w:r>
              <w:rPr>
                <w:rFonts w:hint="default" w:ascii="Times New Roman" w:hAnsi="Times New Roman" w:cs="Times New Roman"/>
                <w:u w:val="none" w:color="auto"/>
              </w:rPr>
              <w:t>锅炉燃烧废气污染物二氧化硫、氮氧化物、颗粒物执行《锅炉大气污染物排放标准》</w:t>
            </w:r>
            <w:r>
              <w:rPr>
                <w:rFonts w:ascii="Times New Roman" w:hAnsi="Times New Roman" w:cs="Times New Roman"/>
                <w:u w:val="none" w:color="auto"/>
              </w:rPr>
              <w:t>GB 13271-2014</w:t>
            </w:r>
            <w:r>
              <w:rPr>
                <w:rFonts w:hint="default" w:ascii="Times New Roman" w:hAnsi="Times New Roman" w:cs="Times New Roman"/>
                <w:u w:val="none" w:color="auto"/>
                <w:lang w:val="en-US"/>
              </w:rPr>
              <w:t>表</w:t>
            </w:r>
            <w:r>
              <w:rPr>
                <w:rFonts w:ascii="Times New Roman" w:hAnsi="Times New Roman" w:cs="Times New Roman"/>
                <w:u w:val="none" w:color="auto"/>
                <w:lang w:val="en-US"/>
              </w:rPr>
              <w:t xml:space="preserve"> 2 </w:t>
            </w:r>
            <w:r>
              <w:rPr>
                <w:rFonts w:hint="default" w:ascii="Times New Roman" w:hAnsi="Times New Roman" w:cs="Times New Roman"/>
                <w:u w:val="none" w:color="auto"/>
                <w:lang w:val="en-US"/>
              </w:rPr>
              <w:t>新建锅炉大气污染物排放浓度限值。</w:t>
            </w:r>
            <w:r>
              <w:rPr>
                <w:rFonts w:hint="default" w:ascii="Times New Roman" w:hAnsi="Times New Roman" w:cs="Times New Roman"/>
                <w:u w:val="none" w:color="auto"/>
                <w:lang w:val="en-US" w:eastAsia="zh-CN"/>
              </w:rPr>
              <w:t>无组织</w:t>
            </w:r>
            <w:r>
              <w:rPr>
                <w:rFonts w:hint="default" w:ascii="Times New Roman" w:hAnsi="Times New Roman" w:cs="Times New Roman"/>
                <w:u w:val="none" w:color="auto"/>
                <w:lang w:val="en-US"/>
              </w:rPr>
              <w:t>粉尘（颗粒物）</w:t>
            </w:r>
            <w:r>
              <w:rPr>
                <w:rFonts w:hint="default" w:ascii="Times New Roman" w:hAnsi="Times New Roman" w:cs="Times New Roman"/>
                <w:u w:val="none" w:color="auto"/>
                <w:lang w:val="en-US" w:eastAsia="zh-CN"/>
              </w:rPr>
              <w:t>、二氧化硫、氮氧化物</w:t>
            </w:r>
            <w:r>
              <w:rPr>
                <w:rFonts w:hint="default" w:ascii="Times New Roman" w:hAnsi="Times New Roman" w:cs="Times New Roman"/>
                <w:u w:val="none" w:color="auto"/>
                <w:lang w:val="en-US"/>
              </w:rPr>
              <w:t>执行《大气污染物综合排放标准》(GB16297-1996) 中的新污染源大气污染物排放限值无组织排放浓度限值。污水处理站恶臭（氨、硫化氢、臭气浓度）污染物执行《恶臭污染物排放标准》（GB14554-93）表1中二级标准限值。</w:t>
            </w:r>
          </w:p>
          <w:p>
            <w:pPr>
              <w:pStyle w:val="42"/>
              <w:spacing w:before="48"/>
              <w:ind w:firstLine="600"/>
              <w:rPr>
                <w:rFonts w:hint="default" w:ascii="Times New Roman" w:hAnsi="Times New Roman" w:eastAsia="宋体" w:cs="Times New Roman"/>
                <w:u w:val="none" w:color="auto"/>
              </w:rPr>
            </w:pPr>
            <w:r>
              <w:rPr>
                <w:rFonts w:hint="default" w:ascii="Times New Roman" w:hAnsi="Times New Roman" w:eastAsia="宋体" w:cs="Times New Roman"/>
                <w:bCs/>
                <w:u w:val="none" w:color="auto"/>
              </w:rPr>
              <w:t>表</w:t>
            </w:r>
            <w:r>
              <w:rPr>
                <w:rFonts w:hint="default" w:ascii="Times New Roman" w:hAnsi="Times New Roman" w:eastAsia="宋体" w:cs="Times New Roman"/>
                <w:bCs/>
                <w:u w:val="none" w:color="auto"/>
                <w:lang w:val="en-US"/>
              </w:rPr>
              <w:t>3</w:t>
            </w:r>
            <w:r>
              <w:rPr>
                <w:rFonts w:hint="default" w:ascii="Times New Roman" w:hAnsi="Times New Roman" w:eastAsia="宋体" w:cs="Times New Roman"/>
                <w:bCs/>
                <w:u w:val="none" w:color="auto"/>
                <w:lang w:val="en-US" w:eastAsia="zh-CN"/>
              </w:rPr>
              <w:t>.6-1</w:t>
            </w:r>
            <w:r>
              <w:rPr>
                <w:rFonts w:hint="default" w:ascii="Times New Roman" w:hAnsi="Times New Roman" w:eastAsia="宋体" w:cs="Times New Roman"/>
                <w:bCs/>
                <w:u w:val="none" w:color="auto"/>
              </w:rPr>
              <w:t xml:space="preserve"> 《锅炉大气污染物排放标准》   单位：mg/m</w:t>
            </w:r>
            <w:r>
              <w:rPr>
                <w:rFonts w:hint="default" w:ascii="Times New Roman" w:hAnsi="Times New Roman" w:eastAsia="宋体" w:cs="Times New Roman"/>
                <w:bCs/>
                <w:u w:val="none" w:color="auto"/>
                <w:vertAlign w:val="superscript"/>
              </w:rPr>
              <w:t>3</w:t>
            </w:r>
          </w:p>
          <w:tbl>
            <w:tblPr>
              <w:tblStyle w:val="28"/>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2772"/>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pct"/>
                  <w:tcBorders>
                    <w:tl2br w:val="nil"/>
                    <w:tr2bl w:val="nil"/>
                  </w:tcBorders>
                  <w:vAlign w:val="center"/>
                </w:tcPr>
                <w:p>
                  <w:pPr>
                    <w:pStyle w:val="51"/>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污染物项目</w:t>
                  </w:r>
                </w:p>
              </w:tc>
              <w:tc>
                <w:tcPr>
                  <w:tcW w:w="1686" w:type="pct"/>
                  <w:tcBorders>
                    <w:tl2br w:val="nil"/>
                    <w:tr2bl w:val="nil"/>
                  </w:tcBorders>
                  <w:vAlign w:val="center"/>
                </w:tcPr>
                <w:p>
                  <w:pPr>
                    <w:pStyle w:val="51"/>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燃煤锅炉限值</w:t>
                  </w:r>
                </w:p>
              </w:tc>
              <w:tc>
                <w:tcPr>
                  <w:tcW w:w="1429" w:type="pct"/>
                  <w:tcBorders>
                    <w:tl2br w:val="nil"/>
                    <w:tr2bl w:val="nil"/>
                  </w:tcBorders>
                  <w:vAlign w:val="center"/>
                </w:tcPr>
                <w:p>
                  <w:pPr>
                    <w:pStyle w:val="51"/>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颗粒物</w:t>
                  </w:r>
                </w:p>
              </w:tc>
              <w:tc>
                <w:tcPr>
                  <w:tcW w:w="1686"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50</w:t>
                  </w:r>
                </w:p>
              </w:tc>
              <w:tc>
                <w:tcPr>
                  <w:tcW w:w="1429" w:type="pct"/>
                  <w:vMerge w:val="restar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二氧化硫</w:t>
                  </w:r>
                </w:p>
              </w:tc>
              <w:tc>
                <w:tcPr>
                  <w:tcW w:w="1686"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300</w:t>
                  </w:r>
                </w:p>
              </w:tc>
              <w:tc>
                <w:tcPr>
                  <w:tcW w:w="1429" w:type="pct"/>
                  <w:vMerge w:val="continue"/>
                  <w:tcBorders>
                    <w:tl2br w:val="nil"/>
                    <w:tr2bl w:val="nil"/>
                  </w:tcBorders>
                  <w:vAlign w:val="center"/>
                </w:tcPr>
                <w:p>
                  <w:pPr>
                    <w:pStyle w:val="51"/>
                    <w:rPr>
                      <w:rFonts w:hint="default" w:ascii="Times New Roman" w:hAnsi="Times New Roman" w:eastAsia="宋体" w:cs="Times New Roman"/>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氮氧化物</w:t>
                  </w:r>
                </w:p>
              </w:tc>
              <w:tc>
                <w:tcPr>
                  <w:tcW w:w="1686"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300</w:t>
                  </w:r>
                </w:p>
              </w:tc>
              <w:tc>
                <w:tcPr>
                  <w:tcW w:w="1429" w:type="pct"/>
                  <w:vMerge w:val="continue"/>
                  <w:tcBorders>
                    <w:tl2br w:val="nil"/>
                    <w:tr2bl w:val="nil"/>
                  </w:tcBorders>
                  <w:vAlign w:val="center"/>
                </w:tcPr>
                <w:p>
                  <w:pPr>
                    <w:pStyle w:val="51"/>
                    <w:rPr>
                      <w:rFonts w:hint="default" w:ascii="Times New Roman" w:hAnsi="Times New Roman" w:eastAsia="宋体" w:cs="Times New Roman"/>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汞及其化合物</w:t>
                  </w:r>
                </w:p>
              </w:tc>
              <w:tc>
                <w:tcPr>
                  <w:tcW w:w="1686"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0.05</w:t>
                  </w:r>
                </w:p>
              </w:tc>
              <w:tc>
                <w:tcPr>
                  <w:tcW w:w="1429" w:type="pct"/>
                  <w:vMerge w:val="continue"/>
                  <w:tcBorders>
                    <w:tl2br w:val="nil"/>
                    <w:tr2bl w:val="nil"/>
                  </w:tcBorders>
                  <w:vAlign w:val="center"/>
                </w:tcPr>
                <w:p>
                  <w:pPr>
                    <w:pStyle w:val="51"/>
                    <w:rPr>
                      <w:rFonts w:hint="default" w:ascii="Times New Roman" w:hAnsi="Times New Roman" w:eastAsia="宋体" w:cs="Times New Roman"/>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烟气黑度（林格曼黑度，级）</w:t>
                  </w:r>
                </w:p>
              </w:tc>
              <w:tc>
                <w:tcPr>
                  <w:tcW w:w="1686"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≤1</w:t>
                  </w:r>
                </w:p>
              </w:tc>
              <w:tc>
                <w:tcPr>
                  <w:tcW w:w="1429" w:type="pct"/>
                  <w:tcBorders>
                    <w:tl2br w:val="nil"/>
                    <w:tr2bl w:val="nil"/>
                  </w:tcBorders>
                  <w:vAlign w:val="center"/>
                </w:tcPr>
                <w:p>
                  <w:pPr>
                    <w:pStyle w:val="51"/>
                    <w:rPr>
                      <w:rFonts w:hint="default" w:ascii="Times New Roman" w:hAnsi="Times New Roman" w:eastAsia="宋体" w:cs="Times New Roman"/>
                      <w:u w:val="none" w:color="auto"/>
                    </w:rPr>
                  </w:pPr>
                  <w:r>
                    <w:rPr>
                      <w:rFonts w:hint="default" w:ascii="Times New Roman" w:hAnsi="Times New Roman" w:eastAsia="宋体" w:cs="Times New Roman"/>
                      <w:u w:val="none" w:color="auto"/>
                    </w:rPr>
                    <w:t>烟囱排放口</w:t>
                  </w:r>
                </w:p>
              </w:tc>
            </w:tr>
          </w:tbl>
          <w:p>
            <w:pPr>
              <w:pStyle w:val="43"/>
              <w:rPr>
                <w:rFonts w:hint="default" w:ascii="Times New Roman" w:hAnsi="Times New Roman" w:eastAsia="宋体" w:cs="Times New Roman"/>
                <w:u w:val="none" w:color="auto"/>
              </w:rPr>
            </w:pPr>
            <w:r>
              <w:rPr>
                <w:rFonts w:hint="default" w:ascii="Times New Roman" w:hAnsi="Times New Roman" w:eastAsia="宋体" w:cs="Times New Roman"/>
                <w:u w:val="none" w:color="auto"/>
              </w:rPr>
              <w:t>表</w:t>
            </w:r>
            <w:r>
              <w:rPr>
                <w:rFonts w:hint="default" w:ascii="Times New Roman" w:hAnsi="Times New Roman" w:eastAsia="宋体" w:cs="Times New Roman"/>
                <w:u w:val="none" w:color="auto"/>
                <w:lang w:val="en-US" w:eastAsia="zh-CN"/>
              </w:rPr>
              <w:t>3.6-2</w:t>
            </w:r>
            <w:r>
              <w:rPr>
                <w:rFonts w:hint="default" w:ascii="Times New Roman" w:hAnsi="Times New Roman" w:eastAsia="宋体" w:cs="Times New Roman"/>
                <w:u w:val="none" w:color="auto"/>
              </w:rPr>
              <w:t>：《大气污染物综合排放标准》（GB16297-1996）</w:t>
            </w:r>
          </w:p>
          <w:tbl>
            <w:tblPr>
              <w:tblStyle w:val="28"/>
              <w:tblW w:w="494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6" w:space="0"/>
              </w:tblBorders>
              <w:tblLayout w:type="autofit"/>
              <w:tblCellMar>
                <w:top w:w="0" w:type="dxa"/>
                <w:left w:w="108" w:type="dxa"/>
                <w:bottom w:w="0" w:type="dxa"/>
                <w:right w:w="108" w:type="dxa"/>
              </w:tblCellMar>
            </w:tblPr>
            <w:tblGrid>
              <w:gridCol w:w="2202"/>
              <w:gridCol w:w="2527"/>
              <w:gridCol w:w="34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6" w:space="0"/>
                </w:tblBorders>
                <w:tblCellMar>
                  <w:top w:w="0" w:type="dxa"/>
                  <w:left w:w="108" w:type="dxa"/>
                  <w:bottom w:w="0" w:type="dxa"/>
                  <w:right w:w="108" w:type="dxa"/>
                </w:tblCellMar>
              </w:tblPrEx>
              <w:trPr>
                <w:trHeight w:val="397" w:hRule="atLeast"/>
                <w:jc w:val="center"/>
              </w:trPr>
              <w:tc>
                <w:tcPr>
                  <w:tcW w:w="1346" w:type="pct"/>
                  <w:vMerge w:val="restar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b/>
                      <w:color w:val="auto"/>
                      <w:kern w:val="2"/>
                      <w:u w:val="none" w:color="auto"/>
                    </w:rPr>
                  </w:pPr>
                  <w:r>
                    <w:rPr>
                      <w:rFonts w:hint="default" w:ascii="Times New Roman" w:hAnsi="Times New Roman" w:eastAsia="宋体" w:cs="Times New Roman"/>
                      <w:b/>
                      <w:color w:val="auto"/>
                      <w:u w:val="none" w:color="auto"/>
                    </w:rPr>
                    <w:t>污染物</w:t>
                  </w:r>
                </w:p>
              </w:tc>
              <w:tc>
                <w:tcPr>
                  <w:tcW w:w="1545" w:type="pct"/>
                  <w:vMerge w:val="restar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b/>
                      <w:color w:val="auto"/>
                      <w:u w:val="none" w:color="auto"/>
                    </w:rPr>
                  </w:pPr>
                  <w:r>
                    <w:rPr>
                      <w:rFonts w:hint="default" w:ascii="Times New Roman" w:hAnsi="Times New Roman" w:eastAsia="宋体" w:cs="Times New Roman"/>
                      <w:b/>
                      <w:color w:val="auto"/>
                      <w:u w:val="none" w:color="auto"/>
                    </w:rPr>
                    <w:t>最高允许排放浓度mg/m</w:t>
                  </w:r>
                  <w:r>
                    <w:rPr>
                      <w:rFonts w:hint="default" w:ascii="Times New Roman" w:hAnsi="Times New Roman" w:eastAsia="宋体" w:cs="Times New Roman"/>
                      <w:b/>
                      <w:color w:val="auto"/>
                      <w:u w:val="none" w:color="auto"/>
                      <w:vertAlign w:val="superscript"/>
                    </w:rPr>
                    <w:t>3</w:t>
                  </w:r>
                </w:p>
              </w:tc>
              <w:tc>
                <w:tcPr>
                  <w:tcW w:w="2108" w:type="pct"/>
                  <w:vMerge w:val="restar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b/>
                      <w:color w:val="auto"/>
                      <w:u w:val="none" w:color="auto"/>
                    </w:rPr>
                  </w:pPr>
                  <w:r>
                    <w:rPr>
                      <w:rFonts w:hint="default" w:ascii="Times New Roman" w:hAnsi="Times New Roman" w:eastAsia="宋体" w:cs="Times New Roman"/>
                      <w:b/>
                      <w:color w:val="auto"/>
                      <w:u w:val="none" w:color="auto"/>
                    </w:rPr>
                    <w:t>无组织排放监控浓度限值mg/m</w:t>
                  </w:r>
                  <w:r>
                    <w:rPr>
                      <w:rFonts w:hint="default" w:ascii="Times New Roman" w:hAnsi="Times New Roman" w:eastAsia="宋体" w:cs="Times New Roman"/>
                      <w:b/>
                      <w:color w:val="auto"/>
                      <w:u w:val="none" w:color="auto"/>
                      <w:vertAlign w:val="superscript"/>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6" w:space="0"/>
                </w:tblBorders>
                <w:tblCellMar>
                  <w:top w:w="0" w:type="dxa"/>
                  <w:left w:w="108" w:type="dxa"/>
                  <w:bottom w:w="0" w:type="dxa"/>
                  <w:right w:w="108" w:type="dxa"/>
                </w:tblCellMar>
              </w:tblPrEx>
              <w:trPr>
                <w:trHeight w:val="312" w:hRule="atLeast"/>
                <w:jc w:val="center"/>
              </w:trPr>
              <w:tc>
                <w:tcPr>
                  <w:tcW w:w="1346" w:type="pct"/>
                  <w:vMerge w:val="continue"/>
                  <w:tcBorders>
                    <w:tl2br w:val="nil"/>
                    <w:tr2bl w:val="nil"/>
                  </w:tcBorders>
                  <w:vAlign w:val="center"/>
                </w:tcPr>
                <w:p>
                  <w:pPr>
                    <w:pStyle w:val="51"/>
                    <w:rPr>
                      <w:rFonts w:hint="default" w:ascii="Times New Roman" w:hAnsi="Times New Roman" w:eastAsia="宋体" w:cs="Times New Roman"/>
                      <w:color w:val="auto"/>
                      <w:u w:val="none" w:color="auto"/>
                    </w:rPr>
                  </w:pPr>
                </w:p>
              </w:tc>
              <w:tc>
                <w:tcPr>
                  <w:tcW w:w="1545" w:type="pct"/>
                  <w:vMerge w:val="continue"/>
                  <w:tcBorders>
                    <w:tl2br w:val="nil"/>
                    <w:tr2bl w:val="nil"/>
                  </w:tcBorders>
                  <w:vAlign w:val="center"/>
                </w:tcPr>
                <w:p>
                  <w:pPr>
                    <w:pStyle w:val="51"/>
                    <w:rPr>
                      <w:rFonts w:hint="default" w:ascii="Times New Roman" w:hAnsi="Times New Roman" w:eastAsia="宋体" w:cs="Times New Roman"/>
                      <w:color w:val="auto"/>
                      <w:u w:val="none" w:color="auto"/>
                    </w:rPr>
                  </w:pPr>
                </w:p>
              </w:tc>
              <w:tc>
                <w:tcPr>
                  <w:tcW w:w="2108" w:type="pct"/>
                  <w:vMerge w:val="continue"/>
                  <w:tcBorders>
                    <w:tl2br w:val="nil"/>
                    <w:tr2bl w:val="nil"/>
                  </w:tcBorders>
                  <w:vAlign w:val="center"/>
                </w:tcPr>
                <w:p>
                  <w:pPr>
                    <w:pStyle w:val="51"/>
                    <w:rPr>
                      <w:rFonts w:hint="default" w:ascii="Times New Roman" w:hAnsi="Times New Roman" w:eastAsia="宋体" w:cs="Times New Roman"/>
                      <w:color w:val="auto"/>
                      <w:u w:val="none" w:color="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6" w:space="0"/>
                </w:tblBorders>
                <w:tblCellMar>
                  <w:top w:w="0" w:type="dxa"/>
                  <w:left w:w="108" w:type="dxa"/>
                  <w:bottom w:w="0" w:type="dxa"/>
                  <w:right w:w="108" w:type="dxa"/>
                </w:tblCellMar>
              </w:tblPrEx>
              <w:trPr>
                <w:trHeight w:val="397" w:hRule="atLeast"/>
                <w:jc w:val="center"/>
              </w:trPr>
              <w:tc>
                <w:tcPr>
                  <w:tcW w:w="1346"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二氧化硫</w:t>
                  </w:r>
                </w:p>
              </w:tc>
              <w:tc>
                <w:tcPr>
                  <w:tcW w:w="1545"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550</w:t>
                  </w:r>
                </w:p>
              </w:tc>
              <w:tc>
                <w:tcPr>
                  <w:tcW w:w="2108"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6" w:space="0"/>
                </w:tblBorders>
                <w:tblCellMar>
                  <w:top w:w="0" w:type="dxa"/>
                  <w:left w:w="108" w:type="dxa"/>
                  <w:bottom w:w="0" w:type="dxa"/>
                  <w:right w:w="108" w:type="dxa"/>
                </w:tblCellMar>
              </w:tblPrEx>
              <w:trPr>
                <w:trHeight w:val="397" w:hRule="atLeast"/>
                <w:jc w:val="center"/>
              </w:trPr>
              <w:tc>
                <w:tcPr>
                  <w:tcW w:w="1346"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氮氧化物</w:t>
                  </w:r>
                </w:p>
              </w:tc>
              <w:tc>
                <w:tcPr>
                  <w:tcW w:w="1545"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240</w:t>
                  </w:r>
                </w:p>
              </w:tc>
              <w:tc>
                <w:tcPr>
                  <w:tcW w:w="2108"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6" w:space="0"/>
                </w:tblBorders>
                <w:tblCellMar>
                  <w:top w:w="0" w:type="dxa"/>
                  <w:left w:w="108" w:type="dxa"/>
                  <w:bottom w:w="0" w:type="dxa"/>
                  <w:right w:w="108" w:type="dxa"/>
                </w:tblCellMar>
              </w:tblPrEx>
              <w:trPr>
                <w:trHeight w:val="397" w:hRule="atLeast"/>
                <w:jc w:val="center"/>
              </w:trPr>
              <w:tc>
                <w:tcPr>
                  <w:tcW w:w="1346"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颗粒物</w:t>
                  </w:r>
                </w:p>
              </w:tc>
              <w:tc>
                <w:tcPr>
                  <w:tcW w:w="1545"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120</w:t>
                  </w:r>
                </w:p>
              </w:tc>
              <w:tc>
                <w:tcPr>
                  <w:tcW w:w="2108" w:type="pct"/>
                  <w:tcBorders>
                    <w:tl2br w:val="nil"/>
                    <w:tr2bl w:val="nil"/>
                  </w:tcBorders>
                  <w:tcMar>
                    <w:top w:w="0" w:type="dxa"/>
                    <w:left w:w="28" w:type="dxa"/>
                    <w:bottom w:w="0" w:type="dxa"/>
                    <w:right w:w="28" w:type="dxa"/>
                  </w:tcMar>
                  <w:vAlign w:val="center"/>
                </w:tcPr>
                <w:p>
                  <w:pPr>
                    <w:pStyle w:val="51"/>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1.0</w:t>
                  </w:r>
                </w:p>
              </w:tc>
            </w:tr>
          </w:tbl>
          <w:p>
            <w:pPr>
              <w:pStyle w:val="43"/>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rPr>
              <w:t>表</w:t>
            </w:r>
            <w:r>
              <w:rPr>
                <w:rFonts w:hint="default" w:ascii="Times New Roman" w:hAnsi="Times New Roman" w:eastAsia="宋体" w:cs="Times New Roman"/>
                <w:u w:val="none" w:color="auto"/>
                <w:lang w:val="en-US" w:eastAsia="zh-CN"/>
              </w:rPr>
              <w:t>3.6-3</w:t>
            </w:r>
            <w:r>
              <w:rPr>
                <w:rFonts w:hint="default" w:ascii="Times New Roman" w:hAnsi="Times New Roman" w:eastAsia="宋体" w:cs="Times New Roman"/>
                <w:u w:val="none" w:color="auto"/>
              </w:rPr>
              <w:t>《恶臭污染物排放标准》表</w:t>
            </w:r>
            <w:r>
              <w:rPr>
                <w:rFonts w:hint="default" w:ascii="Times New Roman" w:hAnsi="Times New Roman" w:eastAsia="宋体" w:cs="Times New Roman"/>
                <w:u w:val="none" w:color="auto"/>
                <w:lang w:val="en-US"/>
              </w:rPr>
              <w:t>1中二级标准限值</w:t>
            </w:r>
          </w:p>
          <w:tbl>
            <w:tblPr>
              <w:tblStyle w:val="28"/>
              <w:tblW w:w="80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88"/>
              <w:gridCol w:w="2999"/>
              <w:gridCol w:w="22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78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项目</w:t>
                  </w:r>
                </w:p>
              </w:tc>
              <w:tc>
                <w:tcPr>
                  <w:tcW w:w="2999"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单位</w:t>
                  </w:r>
                </w:p>
              </w:tc>
              <w:tc>
                <w:tcPr>
                  <w:tcW w:w="2231"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u w:val="none" w:color="auto"/>
                      <w:lang w:val="en-US"/>
                    </w:rPr>
                  </w:pPr>
                  <w:r>
                    <w:rPr>
                      <w:rFonts w:hint="default" w:ascii="Times New Roman" w:hAnsi="Times New Roman" w:eastAsia="宋体" w:cs="Times New Roman"/>
                      <w:b/>
                      <w:bCs/>
                      <w:u w:val="none" w:color="auto"/>
                      <w:lang w:val="en-US"/>
                    </w:rPr>
                    <w:t>二级新建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78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氨</w:t>
                  </w:r>
                </w:p>
              </w:tc>
              <w:tc>
                <w:tcPr>
                  <w:tcW w:w="2999"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mg/m</w:t>
                  </w:r>
                  <w:r>
                    <w:rPr>
                      <w:rFonts w:hint="default" w:ascii="Times New Roman" w:hAnsi="Times New Roman" w:eastAsia="宋体" w:cs="Times New Roman"/>
                      <w:u w:val="none" w:color="auto"/>
                      <w:vertAlign w:val="superscript"/>
                      <w:lang w:val="en-US"/>
                    </w:rPr>
                    <w:t>3</w:t>
                  </w:r>
                </w:p>
              </w:tc>
              <w:tc>
                <w:tcPr>
                  <w:tcW w:w="2231"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78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硫化氢</w:t>
                  </w:r>
                </w:p>
              </w:tc>
              <w:tc>
                <w:tcPr>
                  <w:tcW w:w="2999"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mg/m</w:t>
                  </w:r>
                  <w:r>
                    <w:rPr>
                      <w:rFonts w:hint="default" w:ascii="Times New Roman" w:hAnsi="Times New Roman" w:eastAsia="宋体" w:cs="Times New Roman"/>
                      <w:u w:val="none" w:color="auto"/>
                      <w:vertAlign w:val="superscript"/>
                      <w:lang w:val="en-US"/>
                    </w:rPr>
                    <w:t>3</w:t>
                  </w:r>
                </w:p>
              </w:tc>
              <w:tc>
                <w:tcPr>
                  <w:tcW w:w="2231"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78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臭气浓度</w:t>
                  </w:r>
                </w:p>
              </w:tc>
              <w:tc>
                <w:tcPr>
                  <w:tcW w:w="2999"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无量纲</w:t>
                  </w:r>
                </w:p>
              </w:tc>
              <w:tc>
                <w:tcPr>
                  <w:tcW w:w="2231"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20</w:t>
                  </w:r>
                </w:p>
              </w:tc>
            </w:tr>
          </w:tbl>
          <w:p>
            <w:pPr>
              <w:pStyle w:val="6"/>
              <w:bidi w:val="0"/>
              <w:rPr>
                <w:rFonts w:ascii="Times New Roman" w:hAnsi="Times New Roman" w:cs="Times New Roman"/>
                <w:u w:val="none" w:color="auto"/>
              </w:rPr>
            </w:pPr>
            <w:r>
              <w:rPr>
                <w:rFonts w:hint="default" w:ascii="Times New Roman" w:hAnsi="Times New Roman" w:cs="Times New Roman"/>
                <w:u w:val="none" w:color="auto"/>
                <w:lang w:val="en-US"/>
              </w:rPr>
              <w:t>3</w:t>
            </w:r>
            <w:r>
              <w:rPr>
                <w:rFonts w:ascii="Times New Roman" w:hAnsi="Times New Roman" w:cs="Times New Roman"/>
                <w:u w:val="none" w:color="auto"/>
              </w:rPr>
              <w:t>.</w:t>
            </w:r>
            <w:r>
              <w:rPr>
                <w:rFonts w:hint="default" w:ascii="Times New Roman" w:hAnsi="Times New Roman" w:cs="Times New Roman"/>
                <w:u w:val="none" w:color="auto"/>
                <w:lang w:val="en-US" w:eastAsia="zh-CN"/>
              </w:rPr>
              <w:t>6</w:t>
            </w:r>
            <w:r>
              <w:rPr>
                <w:rFonts w:ascii="Times New Roman" w:hAnsi="Times New Roman" w:cs="Times New Roman"/>
                <w:u w:val="none" w:color="auto"/>
              </w:rPr>
              <w:t>.2</w:t>
            </w:r>
            <w:r>
              <w:rPr>
                <w:rFonts w:hint="default" w:ascii="Times New Roman" w:hAnsi="Times New Roman" w:cs="Times New Roman"/>
                <w:u w:val="none" w:color="auto"/>
              </w:rPr>
              <w:t>水污染物排放</w:t>
            </w:r>
            <w:r>
              <w:rPr>
                <w:rFonts w:ascii="Times New Roman" w:hAnsi="Times New Roman" w:cs="Times New Roman"/>
                <w:u w:val="none" w:color="auto"/>
              </w:rPr>
              <w:t>标准</w:t>
            </w:r>
          </w:p>
          <w:p>
            <w:pPr>
              <w:bidi w:val="0"/>
              <w:rPr>
                <w:rFonts w:hint="default" w:ascii="Times New Roman" w:hAnsi="Times New Roman" w:cs="Times New Roman"/>
                <w:u w:val="single" w:color="auto"/>
              </w:rPr>
            </w:pPr>
            <w:r>
              <w:rPr>
                <w:rFonts w:hint="default" w:ascii="Times New Roman" w:hAnsi="Times New Roman" w:cs="Times New Roman"/>
                <w:u w:val="single" w:color="auto"/>
              </w:rPr>
              <w:t>运营期：生活</w:t>
            </w:r>
            <w:r>
              <w:rPr>
                <w:rFonts w:ascii="Times New Roman" w:hAnsi="Times New Roman" w:cs="Times New Roman"/>
                <w:u w:val="single" w:color="auto"/>
              </w:rPr>
              <w:t>污水</w:t>
            </w:r>
            <w:r>
              <w:rPr>
                <w:rFonts w:hint="default" w:ascii="Times New Roman" w:hAnsi="Times New Roman" w:cs="Times New Roman"/>
                <w:u w:val="single" w:color="auto"/>
                <w:lang w:val="en-US" w:eastAsia="zh-CN"/>
              </w:rPr>
              <w:t>及</w:t>
            </w:r>
            <w:r>
              <w:rPr>
                <w:rFonts w:hint="default" w:ascii="Times New Roman" w:hAnsi="Times New Roman" w:cs="Times New Roman"/>
                <w:u w:val="single" w:color="auto"/>
              </w:rPr>
              <w:t>生产废水进入</w:t>
            </w:r>
            <w:r>
              <w:rPr>
                <w:rFonts w:hint="default" w:ascii="Times New Roman" w:hAnsi="Times New Roman" w:cs="Times New Roman"/>
                <w:u w:val="single" w:color="auto"/>
                <w:lang w:eastAsia="zh-CN"/>
              </w:rPr>
              <w:t>污水处理站处理后达到《农田灌溉水质标准》（GB5084-20</w:t>
            </w:r>
            <w:r>
              <w:rPr>
                <w:rFonts w:hint="default" w:ascii="Times New Roman" w:hAnsi="Times New Roman" w:cs="Times New Roman"/>
                <w:u w:val="single" w:color="auto"/>
                <w:lang w:val="en-US" w:eastAsia="zh-CN"/>
              </w:rPr>
              <w:t>21</w:t>
            </w:r>
            <w:r>
              <w:rPr>
                <w:rFonts w:hint="default" w:ascii="Times New Roman" w:hAnsi="Times New Roman" w:cs="Times New Roman"/>
                <w:u w:val="single" w:color="auto"/>
                <w:lang w:eastAsia="zh-CN"/>
              </w:rPr>
              <w:t>）中</w:t>
            </w:r>
            <w:r>
              <w:rPr>
                <w:rFonts w:hint="eastAsia"/>
                <w:u w:val="single"/>
                <w:lang w:val="en-US" w:eastAsia="zh-CN"/>
              </w:rPr>
              <w:t>最严格的</w:t>
            </w:r>
            <w:r>
              <w:rPr>
                <w:rFonts w:hint="default" w:ascii="Times New Roman" w:hAnsi="Times New Roman" w:cs="Times New Roman"/>
                <w:u w:val="single" w:color="auto"/>
                <w:lang w:val="en-US" w:eastAsia="zh-CN"/>
              </w:rPr>
              <w:t>水田</w:t>
            </w:r>
            <w:r>
              <w:rPr>
                <w:rFonts w:hint="default" w:ascii="Times New Roman" w:hAnsi="Times New Roman" w:cs="Times New Roman"/>
                <w:u w:val="single" w:color="auto"/>
                <w:lang w:eastAsia="zh-CN"/>
              </w:rPr>
              <w:t>标准后</w:t>
            </w:r>
            <w:r>
              <w:rPr>
                <w:rFonts w:hint="default" w:ascii="Times New Roman" w:hAnsi="Times New Roman" w:cs="Times New Roman"/>
                <w:u w:val="single" w:color="auto"/>
              </w:rPr>
              <w:t>用于</w:t>
            </w:r>
            <w:r>
              <w:rPr>
                <w:rFonts w:hint="default" w:ascii="Times New Roman" w:hAnsi="Times New Roman" w:cs="Times New Roman"/>
                <w:u w:val="single" w:color="auto"/>
                <w:lang w:val="en-US" w:eastAsia="zh-CN"/>
              </w:rPr>
              <w:t>水田、</w:t>
            </w:r>
            <w:r>
              <w:rPr>
                <w:rFonts w:hint="default" w:ascii="Times New Roman" w:hAnsi="Times New Roman" w:cs="Times New Roman"/>
                <w:u w:val="single" w:color="auto"/>
                <w:lang w:eastAsia="zh-CN"/>
              </w:rPr>
              <w:t>旱地</w:t>
            </w:r>
            <w:r>
              <w:rPr>
                <w:rFonts w:hint="default" w:ascii="Times New Roman" w:hAnsi="Times New Roman" w:cs="Times New Roman"/>
                <w:u w:val="single" w:color="auto"/>
                <w:lang w:val="en-US" w:eastAsia="zh-CN"/>
              </w:rPr>
              <w:t>的灌溉</w:t>
            </w:r>
            <w:r>
              <w:rPr>
                <w:rFonts w:hint="eastAsia" w:cs="Times New Roman"/>
                <w:u w:val="single" w:color="auto"/>
                <w:lang w:val="en-US" w:eastAsia="zh-CN"/>
              </w:rPr>
              <w:t>，不涉及蔬菜地的灌溉</w:t>
            </w:r>
            <w:r>
              <w:rPr>
                <w:rFonts w:hint="default" w:ascii="Times New Roman" w:hAnsi="Times New Roman" w:cs="Times New Roman"/>
                <w:u w:val="single" w:color="auto"/>
              </w:rPr>
              <w:t>。</w:t>
            </w:r>
          </w:p>
          <w:p>
            <w:pPr>
              <w:pStyle w:val="71"/>
              <w:widowControl w:val="0"/>
              <w:bidi w:val="0"/>
              <w:rPr>
                <w:rFonts w:ascii="Times New Roman" w:hAnsi="Times New Roman" w:cs="Times New Roman"/>
                <w:u w:val="single" w:color="auto"/>
              </w:rPr>
            </w:pPr>
            <w:r>
              <w:rPr>
                <w:rFonts w:ascii="Times New Roman" w:hAnsi="Times New Roman" w:cs="Times New Roman"/>
                <w:u w:val="single" w:color="auto"/>
              </w:rPr>
              <w:t>表</w:t>
            </w:r>
            <w:r>
              <w:rPr>
                <w:rFonts w:hint="default" w:ascii="Times New Roman" w:hAnsi="Times New Roman" w:cs="Times New Roman"/>
                <w:u w:val="single" w:color="auto"/>
                <w:lang w:val="en-US" w:eastAsia="zh-CN"/>
              </w:rPr>
              <w:t>3.6-</w:t>
            </w:r>
            <w:r>
              <w:rPr>
                <w:rFonts w:hint="eastAsia" w:ascii="Times New Roman" w:hAnsi="Times New Roman" w:cs="Times New Roman"/>
                <w:u w:val="single" w:color="auto"/>
                <w:lang w:val="en-US" w:eastAsia="zh-CN"/>
              </w:rPr>
              <w:t>4</w:t>
            </w:r>
            <w:r>
              <w:rPr>
                <w:rFonts w:hint="default" w:ascii="Times New Roman" w:hAnsi="Times New Roman" w:cs="Times New Roman"/>
                <w:u w:val="single" w:color="auto"/>
                <w:lang w:eastAsia="zh-CN"/>
              </w:rPr>
              <w:t>：</w:t>
            </w:r>
            <w:r>
              <w:rPr>
                <w:rFonts w:hint="default" w:ascii="Times New Roman" w:hAnsi="Times New Roman" w:cs="Times New Roman"/>
                <w:u w:val="single" w:color="auto"/>
              </w:rPr>
              <w:t>《农田灌溉水质标准》（GB5084-20</w:t>
            </w:r>
            <w:r>
              <w:rPr>
                <w:rFonts w:hint="default" w:ascii="Times New Roman" w:hAnsi="Times New Roman" w:cs="Times New Roman"/>
                <w:u w:val="single" w:color="auto"/>
                <w:lang w:val="en-US" w:eastAsia="zh-CN"/>
              </w:rPr>
              <w:t>21</w:t>
            </w:r>
            <w:r>
              <w:rPr>
                <w:rFonts w:hint="default" w:ascii="Times New Roman" w:hAnsi="Times New Roman" w:cs="Times New Roman"/>
                <w:u w:val="single" w:color="auto"/>
              </w:rPr>
              <w:t>）中的</w:t>
            </w:r>
            <w:r>
              <w:rPr>
                <w:rFonts w:hint="default" w:ascii="Times New Roman" w:hAnsi="Times New Roman" w:cs="Times New Roman"/>
                <w:u w:val="single" w:color="auto"/>
                <w:lang w:val="en-US" w:eastAsia="zh-CN"/>
              </w:rPr>
              <w:t>水田</w:t>
            </w:r>
            <w:r>
              <w:rPr>
                <w:rFonts w:hint="default" w:ascii="Times New Roman" w:hAnsi="Times New Roman" w:cs="Times New Roman"/>
                <w:u w:val="single" w:color="auto"/>
              </w:rPr>
              <w:t>标准  单位：</w:t>
            </w:r>
            <w:r>
              <w:rPr>
                <w:rFonts w:ascii="Times New Roman" w:hAnsi="Times New Roman" w:cs="Times New Roman"/>
                <w:u w:val="single" w:color="auto"/>
              </w:rPr>
              <w:t>mg/L</w:t>
            </w:r>
          </w:p>
          <w:tbl>
            <w:tblPr>
              <w:tblStyle w:val="28"/>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75"/>
              <w:gridCol w:w="46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46" w:type="pct"/>
                  <w:vMerge w:val="restart"/>
                  <w:tcBorders>
                    <w:tl2br w:val="nil"/>
                    <w:tr2bl w:val="nil"/>
                  </w:tcBorders>
                  <w:vAlign w:val="center"/>
                </w:tcPr>
                <w:p>
                  <w:pPr>
                    <w:pStyle w:val="70"/>
                    <w:bidi w:val="0"/>
                    <w:rPr>
                      <w:rFonts w:ascii="Times New Roman" w:hAnsi="Times New Roman" w:cs="Times New Roman"/>
                      <w:b/>
                      <w:bCs/>
                      <w:sz w:val="21"/>
                      <w:szCs w:val="21"/>
                      <w:u w:val="single" w:color="auto"/>
                    </w:rPr>
                  </w:pPr>
                  <w:r>
                    <w:rPr>
                      <w:rFonts w:ascii="Times New Roman" w:hAnsi="Times New Roman" w:cs="Times New Roman"/>
                      <w:b/>
                      <w:bCs/>
                      <w:sz w:val="21"/>
                      <w:szCs w:val="21"/>
                      <w:u w:val="single" w:color="auto"/>
                    </w:rPr>
                    <w:t>项目类别</w:t>
                  </w:r>
                </w:p>
              </w:tc>
              <w:tc>
                <w:tcPr>
                  <w:tcW w:w="2853" w:type="pct"/>
                  <w:tcBorders>
                    <w:tl2br w:val="nil"/>
                    <w:tr2bl w:val="nil"/>
                  </w:tcBorders>
                  <w:vAlign w:val="center"/>
                </w:tcPr>
                <w:p>
                  <w:pPr>
                    <w:pStyle w:val="70"/>
                    <w:bidi w:val="0"/>
                    <w:rPr>
                      <w:rFonts w:hint="default" w:ascii="Times New Roman" w:hAnsi="Times New Roman" w:cs="Times New Roman"/>
                      <w:b/>
                      <w:bCs/>
                      <w:sz w:val="21"/>
                      <w:szCs w:val="21"/>
                      <w:u w:val="single" w:color="auto"/>
                    </w:rPr>
                  </w:pPr>
                  <w:r>
                    <w:rPr>
                      <w:rFonts w:hint="default" w:ascii="Times New Roman" w:hAnsi="Times New Roman" w:cs="Times New Roman"/>
                      <w:b/>
                      <w:bCs/>
                      <w:sz w:val="21"/>
                      <w:szCs w:val="21"/>
                      <w:u w:val="single" w:color="auto"/>
                    </w:rPr>
                    <w:t>作物</w:t>
                  </w:r>
                  <w:r>
                    <w:rPr>
                      <w:rFonts w:ascii="Times New Roman" w:hAnsi="Times New Roman" w:cs="Times New Roman"/>
                      <w:b/>
                      <w:bCs/>
                      <w:sz w:val="21"/>
                      <w:szCs w:val="21"/>
                      <w:u w:val="single" w:color="auto"/>
                    </w:rPr>
                    <w:t>种类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146" w:type="pct"/>
                  <w:vMerge w:val="continue"/>
                  <w:tcBorders>
                    <w:tl2br w:val="nil"/>
                    <w:tr2bl w:val="nil"/>
                  </w:tcBorders>
                  <w:vAlign w:val="center"/>
                </w:tcPr>
                <w:p>
                  <w:pPr>
                    <w:pStyle w:val="70"/>
                    <w:bidi w:val="0"/>
                    <w:rPr>
                      <w:rFonts w:ascii="Times New Roman" w:hAnsi="Times New Roman" w:cs="Times New Roman"/>
                      <w:b/>
                      <w:bCs/>
                      <w:sz w:val="21"/>
                      <w:szCs w:val="21"/>
                      <w:u w:val="single" w:color="auto"/>
                    </w:rPr>
                  </w:pPr>
                </w:p>
              </w:tc>
              <w:tc>
                <w:tcPr>
                  <w:tcW w:w="2853" w:type="pct"/>
                  <w:tcBorders>
                    <w:tl2br w:val="nil"/>
                    <w:tr2bl w:val="nil"/>
                  </w:tcBorders>
                  <w:vAlign w:val="center"/>
                </w:tcPr>
                <w:p>
                  <w:pPr>
                    <w:pStyle w:val="70"/>
                    <w:bidi w:val="0"/>
                    <w:rPr>
                      <w:rFonts w:hint="default" w:ascii="Times New Roman" w:hAnsi="Times New Roman" w:eastAsia="宋体" w:cs="Times New Roman"/>
                      <w:b/>
                      <w:bCs/>
                      <w:sz w:val="21"/>
                      <w:szCs w:val="21"/>
                      <w:u w:val="single" w:color="auto"/>
                      <w:lang w:val="en-US" w:eastAsia="zh-CN"/>
                    </w:rPr>
                  </w:pPr>
                  <w:r>
                    <w:rPr>
                      <w:rFonts w:hint="default" w:ascii="Times New Roman" w:hAnsi="Times New Roman" w:cs="Times New Roman"/>
                      <w:b/>
                      <w:bCs/>
                      <w:sz w:val="21"/>
                      <w:szCs w:val="21"/>
                      <w:u w:val="single" w:color="auto"/>
                      <w:lang w:val="en-US" w:eastAsia="zh-CN"/>
                    </w:rPr>
                    <w:t>水田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146" w:type="pct"/>
                  <w:tcBorders>
                    <w:tl2br w:val="nil"/>
                    <w:tr2bl w:val="nil"/>
                  </w:tcBorders>
                  <w:vAlign w:val="center"/>
                </w:tcPr>
                <w:p>
                  <w:pPr>
                    <w:pStyle w:val="70"/>
                    <w:bidi w:val="0"/>
                    <w:rPr>
                      <w:rFonts w:ascii="Times New Roman" w:hAnsi="Times New Roman" w:cs="Times New Roman"/>
                      <w:sz w:val="21"/>
                      <w:szCs w:val="21"/>
                      <w:u w:val="single" w:color="auto"/>
                    </w:rPr>
                  </w:pPr>
                  <w:r>
                    <w:rPr>
                      <w:rFonts w:ascii="Times New Roman" w:hAnsi="Times New Roman" w:cs="Times New Roman"/>
                      <w:sz w:val="21"/>
                      <w:szCs w:val="21"/>
                      <w:u w:val="single" w:color="auto"/>
                    </w:rPr>
                    <w:t>COD</w:t>
                  </w:r>
                  <w:r>
                    <w:rPr>
                      <w:rFonts w:ascii="Times New Roman" w:hAnsi="Times New Roman" w:cs="Times New Roman"/>
                      <w:sz w:val="21"/>
                      <w:szCs w:val="21"/>
                      <w:u w:val="single" w:color="auto"/>
                      <w:vertAlign w:val="subscript"/>
                    </w:rPr>
                    <w:t>Cr</w:t>
                  </w:r>
                </w:p>
              </w:tc>
              <w:tc>
                <w:tcPr>
                  <w:tcW w:w="2853" w:type="pct"/>
                  <w:tcBorders>
                    <w:tl2br w:val="nil"/>
                    <w:tr2bl w:val="nil"/>
                  </w:tcBorders>
                  <w:vAlign w:val="center"/>
                </w:tcPr>
                <w:p>
                  <w:pPr>
                    <w:pStyle w:val="70"/>
                    <w:bidi w:val="0"/>
                    <w:rPr>
                      <w:rFonts w:hint="default" w:ascii="Times New Roman" w:hAnsi="Times New Roman" w:eastAsia="宋体"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146" w:type="pct"/>
                  <w:tcBorders>
                    <w:tl2br w:val="nil"/>
                    <w:tr2bl w:val="nil"/>
                  </w:tcBorders>
                  <w:vAlign w:val="center"/>
                </w:tcPr>
                <w:p>
                  <w:pPr>
                    <w:pStyle w:val="70"/>
                    <w:bidi w:val="0"/>
                    <w:rPr>
                      <w:rFonts w:ascii="Times New Roman" w:hAnsi="Times New Roman" w:cs="Times New Roman"/>
                      <w:sz w:val="21"/>
                      <w:szCs w:val="21"/>
                      <w:u w:val="single" w:color="auto"/>
                    </w:rPr>
                  </w:pPr>
                  <w:r>
                    <w:rPr>
                      <w:rFonts w:ascii="Times New Roman" w:hAnsi="Times New Roman" w:cs="Times New Roman"/>
                      <w:sz w:val="21"/>
                      <w:szCs w:val="21"/>
                      <w:u w:val="single" w:color="auto"/>
                    </w:rPr>
                    <w:t>BOD</w:t>
                  </w:r>
                  <w:r>
                    <w:rPr>
                      <w:rFonts w:ascii="Times New Roman" w:hAnsi="Times New Roman" w:cs="Times New Roman"/>
                      <w:sz w:val="21"/>
                      <w:szCs w:val="21"/>
                      <w:u w:val="single" w:color="auto"/>
                      <w:vertAlign w:val="subscript"/>
                    </w:rPr>
                    <w:t>5</w:t>
                  </w:r>
                </w:p>
              </w:tc>
              <w:tc>
                <w:tcPr>
                  <w:tcW w:w="2853" w:type="pct"/>
                  <w:tcBorders>
                    <w:tl2br w:val="nil"/>
                    <w:tr2bl w:val="nil"/>
                  </w:tcBorders>
                  <w:vAlign w:val="center"/>
                </w:tcPr>
                <w:p>
                  <w:pPr>
                    <w:pStyle w:val="70"/>
                    <w:bidi w:val="0"/>
                    <w:rPr>
                      <w:rFonts w:hint="default" w:ascii="Times New Roman" w:hAnsi="Times New Roman" w:eastAsia="宋体"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146" w:type="pct"/>
                  <w:tcBorders>
                    <w:tl2br w:val="nil"/>
                    <w:tr2bl w:val="nil"/>
                  </w:tcBorders>
                  <w:vAlign w:val="center"/>
                </w:tcPr>
                <w:p>
                  <w:pPr>
                    <w:pStyle w:val="70"/>
                    <w:bidi w:val="0"/>
                    <w:rPr>
                      <w:rFonts w:ascii="Times New Roman" w:hAnsi="Times New Roman" w:cs="Times New Roman"/>
                      <w:sz w:val="21"/>
                      <w:szCs w:val="21"/>
                      <w:u w:val="single" w:color="auto"/>
                    </w:rPr>
                  </w:pPr>
                  <w:r>
                    <w:rPr>
                      <w:rFonts w:ascii="Times New Roman" w:hAnsi="Times New Roman" w:cs="Times New Roman"/>
                      <w:sz w:val="21"/>
                      <w:szCs w:val="21"/>
                      <w:u w:val="single" w:color="auto"/>
                    </w:rPr>
                    <w:t>SS</w:t>
                  </w:r>
                </w:p>
              </w:tc>
              <w:tc>
                <w:tcPr>
                  <w:tcW w:w="2853" w:type="pct"/>
                  <w:tcBorders>
                    <w:tl2br w:val="nil"/>
                    <w:tr2bl w:val="nil"/>
                  </w:tcBorders>
                  <w:vAlign w:val="center"/>
                </w:tcPr>
                <w:p>
                  <w:pPr>
                    <w:pStyle w:val="70"/>
                    <w:bidi w:val="0"/>
                    <w:rPr>
                      <w:rFonts w:hint="default" w:ascii="Times New Roman" w:hAnsi="Times New Roman" w:eastAsia="宋体"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146" w:type="pct"/>
                  <w:tcBorders>
                    <w:tl2br w:val="nil"/>
                    <w:tr2bl w:val="nil"/>
                  </w:tcBorders>
                  <w:vAlign w:val="center"/>
                </w:tcPr>
                <w:p>
                  <w:pPr>
                    <w:pStyle w:val="70"/>
                    <w:bidi w:val="0"/>
                    <w:rPr>
                      <w:rFonts w:hint="default" w:ascii="Times New Roman" w:hAnsi="Times New Roman" w:eastAsia="宋体" w:cs="Times New Roman"/>
                      <w:sz w:val="21"/>
                      <w:szCs w:val="21"/>
                      <w:u w:val="single" w:color="auto"/>
                      <w:lang w:eastAsia="zh-CN"/>
                    </w:rPr>
                  </w:pPr>
                  <w:r>
                    <w:rPr>
                      <w:rFonts w:hint="default" w:ascii="Times New Roman" w:hAnsi="Times New Roman" w:cs="Times New Roman"/>
                      <w:sz w:val="21"/>
                      <w:szCs w:val="21"/>
                      <w:u w:val="single" w:color="auto"/>
                      <w:lang w:eastAsia="zh-CN"/>
                    </w:rPr>
                    <w:t>氨氮</w:t>
                  </w:r>
                </w:p>
              </w:tc>
              <w:tc>
                <w:tcPr>
                  <w:tcW w:w="2853" w:type="pct"/>
                  <w:tcBorders>
                    <w:tl2br w:val="nil"/>
                    <w:tr2bl w:val="nil"/>
                  </w:tcBorders>
                  <w:vAlign w:val="center"/>
                </w:tcPr>
                <w:p>
                  <w:pPr>
                    <w:pStyle w:val="70"/>
                    <w:bidi w:val="0"/>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146" w:type="pct"/>
                  <w:tcBorders>
                    <w:tl2br w:val="nil"/>
                    <w:tr2bl w:val="nil"/>
                  </w:tcBorders>
                  <w:vAlign w:val="center"/>
                </w:tcPr>
                <w:p>
                  <w:pPr>
                    <w:pStyle w:val="70"/>
                    <w:bidi w:val="0"/>
                    <w:rPr>
                      <w:rFonts w:hint="default" w:ascii="Times New Roman" w:hAnsi="Times New Roman" w:eastAsia="宋体" w:cs="Times New Roman"/>
                      <w:sz w:val="21"/>
                      <w:szCs w:val="21"/>
                      <w:u w:val="single" w:color="auto"/>
                      <w:lang w:eastAsia="zh-CN"/>
                    </w:rPr>
                  </w:pPr>
                  <w:r>
                    <w:rPr>
                      <w:rFonts w:hint="default" w:ascii="Times New Roman" w:hAnsi="Times New Roman" w:cs="Times New Roman"/>
                      <w:sz w:val="21"/>
                      <w:szCs w:val="21"/>
                      <w:u w:val="single" w:color="auto"/>
                      <w:lang w:eastAsia="zh-CN"/>
                    </w:rPr>
                    <w:t>动植物油</w:t>
                  </w:r>
                </w:p>
              </w:tc>
              <w:tc>
                <w:tcPr>
                  <w:tcW w:w="2853" w:type="pct"/>
                  <w:tcBorders>
                    <w:tl2br w:val="nil"/>
                    <w:tr2bl w:val="nil"/>
                  </w:tcBorders>
                  <w:vAlign w:val="center"/>
                </w:tcPr>
                <w:p>
                  <w:pPr>
                    <w:pStyle w:val="70"/>
                    <w:bidi w:val="0"/>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146" w:type="pct"/>
                  <w:tcBorders>
                    <w:tl2br w:val="nil"/>
                    <w:tr2bl w:val="nil"/>
                  </w:tcBorders>
                  <w:vAlign w:val="center"/>
                </w:tcPr>
                <w:p>
                  <w:pPr>
                    <w:pStyle w:val="70"/>
                    <w:bidi w:val="0"/>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粪大肠菌群数（MPN/L）</w:t>
                  </w:r>
                </w:p>
              </w:tc>
              <w:tc>
                <w:tcPr>
                  <w:tcW w:w="2853" w:type="pct"/>
                  <w:tcBorders>
                    <w:tl2br w:val="nil"/>
                    <w:tr2bl w:val="nil"/>
                  </w:tcBorders>
                  <w:vAlign w:val="center"/>
                </w:tcPr>
                <w:p>
                  <w:pPr>
                    <w:pStyle w:val="70"/>
                    <w:bidi w:val="0"/>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40000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146" w:type="pct"/>
                  <w:tcBorders>
                    <w:tl2br w:val="nil"/>
                    <w:tr2bl w:val="nil"/>
                  </w:tcBorders>
                  <w:vAlign w:val="center"/>
                </w:tcPr>
                <w:p>
                  <w:pPr>
                    <w:pStyle w:val="70"/>
                    <w:bidi w:val="0"/>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蛔虫卵数（个/10L）</w:t>
                  </w:r>
                </w:p>
              </w:tc>
              <w:tc>
                <w:tcPr>
                  <w:tcW w:w="2853" w:type="pct"/>
                  <w:tcBorders>
                    <w:tl2br w:val="nil"/>
                    <w:tr2bl w:val="nil"/>
                  </w:tcBorders>
                  <w:vAlign w:val="center"/>
                </w:tcPr>
                <w:p>
                  <w:pPr>
                    <w:pStyle w:val="70"/>
                    <w:bidi w:val="0"/>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000" w:type="pct"/>
                  <w:gridSpan w:val="2"/>
                  <w:tcBorders>
                    <w:tl2br w:val="nil"/>
                    <w:tr2bl w:val="nil"/>
                  </w:tcBorders>
                  <w:vAlign w:val="center"/>
                </w:tcPr>
                <w:p>
                  <w:pPr>
                    <w:pStyle w:val="70"/>
                    <w:bidi w:val="0"/>
                    <w:rPr>
                      <w:rFonts w:hint="default" w:ascii="Times New Roman" w:hAnsi="Times New Roman" w:cs="Times New Roman"/>
                      <w:sz w:val="21"/>
                      <w:szCs w:val="21"/>
                      <w:u w:val="single" w:color="auto"/>
                      <w:lang w:eastAsia="zh-CN"/>
                    </w:rPr>
                  </w:pPr>
                  <w:r>
                    <w:rPr>
                      <w:rFonts w:hint="default" w:ascii="Times New Roman" w:hAnsi="Times New Roman" w:cs="Times New Roman"/>
                      <w:sz w:val="21"/>
                      <w:szCs w:val="21"/>
                      <w:u w:val="single" w:color="auto"/>
                      <w:lang w:eastAsia="zh-CN"/>
                    </w:rPr>
                    <w:t>备注：《农田灌溉水质标准》（GB5084-20</w:t>
                  </w:r>
                  <w:r>
                    <w:rPr>
                      <w:rFonts w:hint="default" w:ascii="Times New Roman" w:hAnsi="Times New Roman" w:cs="Times New Roman"/>
                      <w:sz w:val="21"/>
                      <w:szCs w:val="21"/>
                      <w:u w:val="single" w:color="auto"/>
                      <w:lang w:val="en-US" w:eastAsia="zh-CN"/>
                    </w:rPr>
                    <w:t>21</w:t>
                  </w:r>
                  <w:r>
                    <w:rPr>
                      <w:rFonts w:hint="default" w:ascii="Times New Roman" w:hAnsi="Times New Roman" w:cs="Times New Roman"/>
                      <w:sz w:val="21"/>
                      <w:szCs w:val="21"/>
                      <w:u w:val="single" w:color="auto"/>
                      <w:lang w:eastAsia="zh-CN"/>
                    </w:rPr>
                    <w:t>）无氨氮、动植物油相关标准限值，本</w:t>
                  </w:r>
                  <w:r>
                    <w:rPr>
                      <w:rFonts w:hint="default" w:ascii="Times New Roman" w:hAnsi="Times New Roman" w:cs="Times New Roman"/>
                      <w:sz w:val="21"/>
                      <w:szCs w:val="21"/>
                      <w:u w:val="single" w:color="auto"/>
                      <w:lang w:val="en-US" w:eastAsia="zh-CN"/>
                    </w:rPr>
                    <w:t>环评</w:t>
                  </w:r>
                  <w:r>
                    <w:rPr>
                      <w:rFonts w:hint="default" w:ascii="Times New Roman" w:hAnsi="Times New Roman" w:cs="Times New Roman"/>
                      <w:sz w:val="21"/>
                      <w:szCs w:val="21"/>
                      <w:u w:val="single" w:color="auto"/>
                      <w:lang w:eastAsia="zh-CN"/>
                    </w:rPr>
                    <w:t>参照</w:t>
                  </w:r>
                  <w:r>
                    <w:rPr>
                      <w:rFonts w:hint="default" w:ascii="Times New Roman" w:hAnsi="Times New Roman" w:cs="Times New Roman"/>
                      <w:u w:val="single" w:color="auto"/>
                      <w:lang w:eastAsia="zh-CN"/>
                    </w:rPr>
                    <w:t>《污水综合排放标准》（</w:t>
                  </w:r>
                  <w:r>
                    <w:rPr>
                      <w:rFonts w:hint="default" w:ascii="Times New Roman" w:hAnsi="Times New Roman" w:cs="Times New Roman"/>
                      <w:u w:val="single" w:color="auto"/>
                      <w:lang w:val="en-US" w:eastAsia="zh-CN"/>
                    </w:rPr>
                    <w:t>GB8978-1996</w:t>
                  </w:r>
                  <w:r>
                    <w:rPr>
                      <w:rFonts w:hint="default" w:ascii="Times New Roman" w:hAnsi="Times New Roman" w:cs="Times New Roman"/>
                      <w:u w:val="single" w:color="auto"/>
                      <w:lang w:eastAsia="zh-CN"/>
                    </w:rPr>
                    <w:t>）中一级标准限值</w:t>
                  </w:r>
                </w:p>
              </w:tc>
            </w:tr>
          </w:tbl>
          <w:p>
            <w:pPr>
              <w:pStyle w:val="6"/>
              <w:bidi w:val="0"/>
              <w:rPr>
                <w:rFonts w:ascii="Times New Roman" w:hAnsi="Times New Roman" w:cs="Times New Roman"/>
                <w:u w:val="none" w:color="auto"/>
              </w:rPr>
            </w:pPr>
            <w:r>
              <w:rPr>
                <w:rFonts w:hint="default" w:ascii="Times New Roman" w:hAnsi="Times New Roman" w:cs="Times New Roman"/>
                <w:u w:val="none" w:color="auto"/>
                <w:lang w:val="en-US"/>
              </w:rPr>
              <w:t>3</w:t>
            </w:r>
            <w:r>
              <w:rPr>
                <w:rFonts w:ascii="Times New Roman" w:hAnsi="Times New Roman" w:cs="Times New Roman"/>
                <w:u w:val="none" w:color="auto"/>
              </w:rPr>
              <w:t>.</w:t>
            </w:r>
            <w:r>
              <w:rPr>
                <w:rFonts w:hint="default" w:ascii="Times New Roman" w:hAnsi="Times New Roman" w:cs="Times New Roman"/>
                <w:u w:val="none" w:color="auto"/>
                <w:lang w:val="en-US" w:eastAsia="zh-CN"/>
              </w:rPr>
              <w:t>6</w:t>
            </w:r>
            <w:r>
              <w:rPr>
                <w:rFonts w:ascii="Times New Roman" w:hAnsi="Times New Roman" w:cs="Times New Roman"/>
                <w:u w:val="none" w:color="auto"/>
              </w:rPr>
              <w:t>.3</w:t>
            </w:r>
            <w:r>
              <w:rPr>
                <w:rFonts w:hint="default" w:ascii="Times New Roman" w:hAnsi="Times New Roman" w:cs="Times New Roman"/>
                <w:u w:val="none" w:color="auto"/>
                <w:lang w:val="en-US"/>
              </w:rPr>
              <w:t xml:space="preserve"> </w:t>
            </w:r>
            <w:r>
              <w:rPr>
                <w:rFonts w:ascii="Times New Roman" w:hAnsi="Times New Roman" w:cs="Times New Roman"/>
                <w:u w:val="none" w:color="auto"/>
              </w:rPr>
              <w:t>噪声排放标准</w:t>
            </w:r>
          </w:p>
          <w:p>
            <w:pPr>
              <w:wordWrap/>
              <w:overflowPunct w:val="0"/>
              <w:topLinePunct w:val="0"/>
              <w:autoSpaceDE w:val="0"/>
              <w:autoSpaceDN w:val="0"/>
              <w:ind w:firstLine="480"/>
              <w:rPr>
                <w:rFonts w:ascii="Times New Roman" w:hAnsi="Times New Roman" w:cs="Times New Roman"/>
                <w:u w:val="none" w:color="auto"/>
                <w:lang w:val="en-US"/>
              </w:rPr>
            </w:pPr>
            <w:r>
              <w:rPr>
                <w:rFonts w:ascii="Times New Roman" w:hAnsi="Times New Roman" w:cs="Times New Roman"/>
                <w:u w:val="none" w:color="auto"/>
              </w:rPr>
              <w:t>项目施工期噪声排放执行《建筑施工场界环境噪声排放标准》（GB12523-2011）中表1规定的排放限值，即</w:t>
            </w:r>
            <w:r>
              <w:rPr>
                <w:rFonts w:hint="default" w:ascii="Times New Roman" w:hAnsi="Times New Roman" w:cs="Times New Roman"/>
                <w:u w:val="none" w:color="auto"/>
              </w:rPr>
              <w:t>：</w:t>
            </w:r>
            <w:r>
              <w:rPr>
                <w:rFonts w:ascii="Times New Roman" w:hAnsi="Times New Roman" w:cs="Times New Roman"/>
                <w:u w:val="none" w:color="auto"/>
              </w:rPr>
              <w:t>昼间≤70 dB(A)，夜间≤55 dB(A)</w:t>
            </w:r>
            <w:r>
              <w:rPr>
                <w:rFonts w:hint="default" w:ascii="Times New Roman" w:hAnsi="Times New Roman" w:cs="Times New Roman"/>
                <w:u w:val="none" w:color="auto"/>
              </w:rPr>
              <w:t>；</w:t>
            </w:r>
            <w:r>
              <w:rPr>
                <w:rFonts w:ascii="Times New Roman" w:hAnsi="Times New Roman" w:cs="Times New Roman"/>
                <w:u w:val="none" w:color="auto"/>
              </w:rPr>
              <w:t>营运期</w:t>
            </w:r>
            <w:r>
              <w:rPr>
                <w:rFonts w:hint="default" w:ascii="Times New Roman" w:hAnsi="Times New Roman" w:cs="Times New Roman"/>
                <w:u w:val="none" w:color="auto"/>
                <w:lang w:val="en-US" w:eastAsia="zh-CN"/>
              </w:rPr>
              <w:t>厂界东西北侧</w:t>
            </w:r>
            <w:r>
              <w:rPr>
                <w:rFonts w:ascii="Times New Roman" w:hAnsi="Times New Roman" w:cs="Times New Roman"/>
                <w:u w:val="none" w:color="auto"/>
              </w:rPr>
              <w:t>执行</w:t>
            </w:r>
            <w:r>
              <w:rPr>
                <w:rFonts w:hint="default" w:ascii="Times New Roman" w:hAnsi="Times New Roman" w:cs="Times New Roman"/>
                <w:u w:val="none" w:color="auto"/>
              </w:rPr>
              <w:t>《工业企业厂界环境噪声排放标准》(GB12348-2008)中</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rPr>
              <w:t>类区标准，</w:t>
            </w:r>
            <w:r>
              <w:rPr>
                <w:rFonts w:ascii="Times New Roman" w:hAnsi="Times New Roman" w:cs="Times New Roman"/>
                <w:u w:val="none" w:color="auto"/>
              </w:rPr>
              <w:t>即</w:t>
            </w:r>
            <w:r>
              <w:rPr>
                <w:rFonts w:hint="default" w:ascii="Times New Roman" w:hAnsi="Times New Roman" w:cs="Times New Roman"/>
                <w:u w:val="none" w:color="auto"/>
              </w:rPr>
              <w:t>：</w:t>
            </w:r>
            <w:r>
              <w:rPr>
                <w:rFonts w:ascii="Times New Roman" w:hAnsi="Times New Roman" w:cs="Times New Roman"/>
                <w:u w:val="none" w:color="auto"/>
              </w:rPr>
              <w:t>昼间≤</w:t>
            </w:r>
            <w:r>
              <w:rPr>
                <w:rFonts w:hint="default" w:ascii="Times New Roman" w:hAnsi="Times New Roman" w:cs="Times New Roman"/>
                <w:u w:val="none" w:color="auto"/>
                <w:lang w:val="en-US"/>
              </w:rPr>
              <w:t>6</w:t>
            </w:r>
            <w:r>
              <w:rPr>
                <w:rFonts w:hint="default" w:ascii="Times New Roman" w:hAnsi="Times New Roman" w:cs="Times New Roman"/>
                <w:u w:val="none" w:color="auto"/>
                <w:lang w:val="en-US" w:eastAsia="zh-CN"/>
              </w:rPr>
              <w:t>0</w:t>
            </w:r>
            <w:r>
              <w:rPr>
                <w:rFonts w:ascii="Times New Roman" w:hAnsi="Times New Roman" w:cs="Times New Roman"/>
                <w:u w:val="none" w:color="auto"/>
              </w:rPr>
              <w:t xml:space="preserve"> dB(A)，夜间≤5</w:t>
            </w:r>
            <w:r>
              <w:rPr>
                <w:rFonts w:hint="default" w:ascii="Times New Roman" w:hAnsi="Times New Roman" w:cs="Times New Roman"/>
                <w:u w:val="none" w:color="auto"/>
                <w:lang w:val="en-US" w:eastAsia="zh-CN"/>
              </w:rPr>
              <w:t>0</w:t>
            </w:r>
            <w:r>
              <w:rPr>
                <w:rFonts w:ascii="Times New Roman" w:hAnsi="Times New Roman" w:cs="Times New Roman"/>
                <w:u w:val="none" w:color="auto"/>
              </w:rPr>
              <w:t xml:space="preserve"> dB(A)</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南侧</w:t>
            </w:r>
            <w:r>
              <w:rPr>
                <w:rFonts w:ascii="Times New Roman" w:hAnsi="Times New Roman" w:cs="Times New Roman"/>
                <w:u w:val="none" w:color="auto"/>
              </w:rPr>
              <w:t>执行</w:t>
            </w:r>
            <w:r>
              <w:rPr>
                <w:rFonts w:hint="default" w:ascii="Times New Roman" w:hAnsi="Times New Roman" w:cs="Times New Roman"/>
                <w:u w:val="none" w:color="auto"/>
              </w:rPr>
              <w:t>《工业企业厂界环境噪声排放标准》(GB12348-2008)中</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rPr>
              <w:t>类区标准，</w:t>
            </w:r>
            <w:r>
              <w:rPr>
                <w:rFonts w:ascii="Times New Roman" w:hAnsi="Times New Roman" w:cs="Times New Roman"/>
                <w:u w:val="none" w:color="auto"/>
              </w:rPr>
              <w:t>即</w:t>
            </w:r>
            <w:r>
              <w:rPr>
                <w:rFonts w:hint="default" w:ascii="Times New Roman" w:hAnsi="Times New Roman" w:cs="Times New Roman"/>
                <w:u w:val="none" w:color="auto"/>
              </w:rPr>
              <w:t>：</w:t>
            </w:r>
            <w:r>
              <w:rPr>
                <w:rFonts w:ascii="Times New Roman" w:hAnsi="Times New Roman" w:cs="Times New Roman"/>
                <w:u w:val="none" w:color="auto"/>
              </w:rPr>
              <w:t>昼间≤</w:t>
            </w:r>
            <w:r>
              <w:rPr>
                <w:rFonts w:hint="default" w:ascii="Times New Roman" w:hAnsi="Times New Roman" w:cs="Times New Roman"/>
                <w:u w:val="none" w:color="auto"/>
                <w:lang w:val="en-US" w:eastAsia="zh-CN"/>
              </w:rPr>
              <w:t>70</w:t>
            </w:r>
            <w:r>
              <w:rPr>
                <w:rFonts w:ascii="Times New Roman" w:hAnsi="Times New Roman" w:cs="Times New Roman"/>
                <w:u w:val="none" w:color="auto"/>
              </w:rPr>
              <w:t xml:space="preserve"> dB(A)，夜间≤</w:t>
            </w:r>
            <w:r>
              <w:rPr>
                <w:rFonts w:hint="default" w:ascii="Times New Roman" w:hAnsi="Times New Roman" w:cs="Times New Roman"/>
                <w:u w:val="none" w:color="auto"/>
                <w:lang w:val="en-US" w:eastAsia="zh-CN"/>
              </w:rPr>
              <w:t>55</w:t>
            </w:r>
            <w:r>
              <w:rPr>
                <w:rFonts w:ascii="Times New Roman" w:hAnsi="Times New Roman" w:cs="Times New Roman"/>
                <w:u w:val="none" w:color="auto"/>
              </w:rPr>
              <w:t xml:space="preserve"> dB(A)</w:t>
            </w:r>
            <w:r>
              <w:rPr>
                <w:rFonts w:hint="default" w:ascii="Times New Roman" w:hAnsi="Times New Roman" w:cs="Times New Roman"/>
                <w:u w:val="none" w:color="auto"/>
                <w:lang w:eastAsia="zh-CN"/>
              </w:rPr>
              <w:t>。</w:t>
            </w:r>
          </w:p>
          <w:p>
            <w:pPr>
              <w:pStyle w:val="6"/>
              <w:bidi w:val="0"/>
              <w:rPr>
                <w:rFonts w:ascii="Times New Roman" w:hAnsi="Times New Roman" w:cs="Times New Roman"/>
                <w:u w:val="none" w:color="auto"/>
              </w:rPr>
            </w:pPr>
            <w:r>
              <w:rPr>
                <w:rFonts w:hint="default" w:ascii="Times New Roman" w:hAnsi="Times New Roman" w:cs="Times New Roman"/>
                <w:u w:val="none" w:color="auto"/>
                <w:lang w:val="en-US"/>
              </w:rPr>
              <w:t>3</w:t>
            </w:r>
            <w:r>
              <w:rPr>
                <w:rFonts w:ascii="Times New Roman" w:hAnsi="Times New Roman" w:cs="Times New Roman"/>
                <w:u w:val="none" w:color="auto"/>
              </w:rPr>
              <w:t>.</w:t>
            </w:r>
            <w:r>
              <w:rPr>
                <w:rFonts w:hint="default" w:ascii="Times New Roman" w:hAnsi="Times New Roman" w:cs="Times New Roman"/>
                <w:u w:val="none" w:color="auto"/>
                <w:lang w:val="en-US" w:eastAsia="zh-CN"/>
              </w:rPr>
              <w:t>6</w:t>
            </w:r>
            <w:r>
              <w:rPr>
                <w:rFonts w:ascii="Times New Roman" w:hAnsi="Times New Roman" w:cs="Times New Roman"/>
                <w:u w:val="none" w:color="auto"/>
              </w:rPr>
              <w:t>.4</w:t>
            </w:r>
            <w:r>
              <w:rPr>
                <w:rFonts w:hint="default" w:ascii="Times New Roman" w:hAnsi="Times New Roman" w:cs="Times New Roman"/>
                <w:u w:val="none" w:color="auto"/>
                <w:lang w:val="en-US"/>
              </w:rPr>
              <w:t xml:space="preserve"> </w:t>
            </w:r>
            <w:r>
              <w:rPr>
                <w:rFonts w:ascii="Times New Roman" w:hAnsi="Times New Roman" w:cs="Times New Roman"/>
                <w:u w:val="none" w:color="auto"/>
              </w:rPr>
              <w:t>固体废物控制标准</w:t>
            </w:r>
          </w:p>
          <w:p>
            <w:pPr>
              <w:ind w:firstLine="480"/>
              <w:rPr>
                <w:rFonts w:ascii="Times New Roman" w:hAnsi="Times New Roman" w:cs="Times New Roman"/>
                <w:u w:val="none" w:color="auto"/>
              </w:rPr>
            </w:pPr>
            <w:r>
              <w:rPr>
                <w:rFonts w:ascii="Times New Roman" w:hAnsi="Times New Roman" w:cs="Times New Roman"/>
                <w:highlight w:val="none"/>
                <w:u w:val="none" w:color="auto"/>
              </w:rPr>
              <w:t>项目产生的</w:t>
            </w:r>
            <w:r>
              <w:rPr>
                <w:rFonts w:hint="default" w:ascii="Times New Roman" w:hAnsi="Times New Roman" w:cs="Times New Roman"/>
                <w:highlight w:val="none"/>
                <w:u w:val="none" w:color="auto"/>
                <w:lang w:val="en-US"/>
              </w:rPr>
              <w:t>废弃料、废包装、收集粉尘等</w:t>
            </w:r>
            <w:r>
              <w:rPr>
                <w:rFonts w:ascii="Times New Roman" w:hAnsi="Times New Roman" w:cs="Times New Roman"/>
                <w:highlight w:val="none"/>
                <w:u w:val="none" w:color="auto"/>
              </w:rPr>
              <w:t>一般工业固体废物贮存执行《一般工业固体废物贮存</w:t>
            </w:r>
            <w:r>
              <w:rPr>
                <w:rFonts w:hint="default" w:ascii="Times New Roman" w:hAnsi="Times New Roman" w:cs="Times New Roman"/>
                <w:highlight w:val="none"/>
                <w:u w:val="none" w:color="auto"/>
                <w:lang w:val="en-US"/>
              </w:rPr>
              <w:t>和填埋</w:t>
            </w:r>
            <w:r>
              <w:rPr>
                <w:rFonts w:ascii="Times New Roman" w:hAnsi="Times New Roman" w:cs="Times New Roman"/>
                <w:highlight w:val="none"/>
                <w:u w:val="none" w:color="auto"/>
              </w:rPr>
              <w:t>污染控制标准》(GB18599-20</w:t>
            </w:r>
            <w:r>
              <w:rPr>
                <w:rFonts w:hint="default" w:ascii="Times New Roman" w:hAnsi="Times New Roman" w:cs="Times New Roman"/>
                <w:highlight w:val="none"/>
                <w:u w:val="none" w:color="auto"/>
                <w:lang w:val="en-US"/>
              </w:rPr>
              <w:t>20</w:t>
            </w:r>
            <w:r>
              <w:rPr>
                <w:rFonts w:ascii="Times New Roman" w:hAnsi="Times New Roman" w:cs="Times New Roman"/>
                <w:highlight w:val="none"/>
                <w:u w:val="none" w:color="auto"/>
              </w:rPr>
              <w:t>)，</w:t>
            </w:r>
            <w:r>
              <w:rPr>
                <w:rFonts w:hint="default" w:ascii="Times New Roman" w:hAnsi="Times New Roman" w:cs="Times New Roman"/>
                <w:highlight w:val="none"/>
                <w:u w:val="none" w:color="auto"/>
                <w:lang w:val="en-US"/>
              </w:rPr>
              <w:t>污泥、</w:t>
            </w:r>
            <w:r>
              <w:rPr>
                <w:rFonts w:ascii="Times New Roman" w:hAnsi="Times New Roman" w:cs="Times New Roman"/>
                <w:highlight w:val="none"/>
                <w:u w:val="none" w:color="auto"/>
                <w:lang w:val="en-US"/>
              </w:rPr>
              <w:t>生活垃圾</w:t>
            </w:r>
            <w:r>
              <w:rPr>
                <w:rFonts w:ascii="Times New Roman" w:hAnsi="Times New Roman" w:cs="Times New Roman"/>
                <w:highlight w:val="none"/>
                <w:u w:val="none" w:color="auto"/>
              </w:rPr>
              <w:t>固废处置执行</w:t>
            </w:r>
            <w:r>
              <w:rPr>
                <w:rFonts w:hint="default" w:ascii="Times New Roman" w:hAnsi="Times New Roman" w:cs="Times New Roman"/>
                <w:color w:val="auto"/>
                <w:highlight w:val="none"/>
                <w:u w:val="none" w:color="auto"/>
              </w:rPr>
              <w:t>《生活垃圾焚烧污染控制标准》（GB18485-2014）</w:t>
            </w:r>
            <w:r>
              <w:rPr>
                <w:rFonts w:hint="default" w:ascii="Times New Roman" w:hAnsi="Times New Roman" w:cs="Times New Roman"/>
                <w:highlight w:val="none"/>
                <w:u w:val="none" w:color="auto"/>
                <w:lang w:eastAsia="zh-CN"/>
              </w:rPr>
              <w:t>；</w:t>
            </w:r>
            <w:r>
              <w:rPr>
                <w:rFonts w:ascii="Times New Roman" w:hAnsi="Times New Roman" w:cs="Times New Roman"/>
                <w:color w:val="auto"/>
                <w:spacing w:val="1"/>
                <w:highlight w:val="none"/>
                <w:u w:val="none" w:color="auto"/>
              </w:rPr>
              <w:t>危险废</w:t>
            </w:r>
            <w:r>
              <w:rPr>
                <w:rFonts w:ascii="Times New Roman" w:hAnsi="Times New Roman" w:cs="Times New Roman"/>
                <w:color w:val="auto"/>
                <w:highlight w:val="none"/>
                <w:u w:val="none" w:color="auto"/>
              </w:rPr>
              <w:t>物执行《危险废物贮存污染物控制标准》（</w:t>
            </w:r>
            <w:r>
              <w:rPr>
                <w:rFonts w:ascii="Times New Roman" w:hAnsi="Times New Roman" w:eastAsia="Times New Roman" w:cs="Times New Roman"/>
                <w:color w:val="auto"/>
                <w:highlight w:val="none"/>
                <w:u w:val="none" w:color="auto"/>
              </w:rPr>
              <w:t>GB18597-20</w:t>
            </w:r>
            <w:r>
              <w:rPr>
                <w:rFonts w:hint="default" w:ascii="Times New Roman" w:hAnsi="Times New Roman" w:eastAsia="宋体" w:cs="Times New Roman"/>
                <w:color w:val="auto"/>
                <w:highlight w:val="none"/>
                <w:u w:val="none" w:color="auto"/>
                <w:lang w:val="en-US" w:eastAsia="zh-CN"/>
              </w:rPr>
              <w:t>23</w:t>
            </w:r>
            <w:r>
              <w:rPr>
                <w:rFonts w:ascii="Times New Roman" w:hAnsi="Times New Roman" w:cs="Times New Roman"/>
                <w:color w:val="auto"/>
                <w:highlight w:val="none"/>
                <w:u w:val="none" w:color="auto"/>
              </w:rPr>
              <w:t>）</w:t>
            </w:r>
            <w:r>
              <w:rPr>
                <w:rFonts w:ascii="Times New Roman" w:hAnsi="Times New Roman" w:cs="Times New Roman"/>
                <w:u w:val="none" w:color="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1" w:hRule="atLeast"/>
        </w:trPr>
        <w:tc>
          <w:tcPr>
            <w:tcW w:w="799" w:type="dxa"/>
            <w:tcBorders>
              <w:top w:val="single" w:color="000000" w:sz="4" w:space="0"/>
              <w:right w:val="single" w:color="000000" w:sz="4" w:space="0"/>
            </w:tcBorders>
            <w:vAlign w:val="center"/>
          </w:tcPr>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总</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量</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控</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制</w:t>
            </w:r>
          </w:p>
          <w:p>
            <w:pPr>
              <w:pStyle w:val="49"/>
              <w:wordWrap/>
              <w:overflowPunct w:val="0"/>
              <w:topLinePunct w:val="0"/>
              <w:autoSpaceDE w:val="0"/>
              <w:autoSpaceDN w:val="0"/>
              <w:spacing w:line="242" w:lineRule="auto"/>
              <w:ind w:right="79"/>
              <w:jc w:val="center"/>
              <w:rPr>
                <w:rFonts w:ascii="Times New Roman" w:hAnsi="Times New Roman" w:cs="Times New Roman"/>
                <w:b/>
                <w:bCs/>
                <w:sz w:val="30"/>
                <w:szCs w:val="30"/>
                <w:u w:val="none" w:color="auto"/>
              </w:rPr>
            </w:pPr>
            <w:r>
              <w:rPr>
                <w:rFonts w:ascii="Times New Roman" w:hAnsi="Times New Roman" w:cs="Times New Roman"/>
                <w:b/>
                <w:bCs/>
                <w:sz w:val="30"/>
                <w:szCs w:val="30"/>
                <w:u w:val="none" w:color="auto"/>
              </w:rPr>
              <w:t>指</w:t>
            </w:r>
          </w:p>
          <w:p>
            <w:pPr>
              <w:pStyle w:val="49"/>
              <w:wordWrap/>
              <w:overflowPunct w:val="0"/>
              <w:topLinePunct w:val="0"/>
              <w:autoSpaceDE w:val="0"/>
              <w:autoSpaceDN w:val="0"/>
              <w:spacing w:line="242" w:lineRule="auto"/>
              <w:ind w:right="79"/>
              <w:jc w:val="center"/>
              <w:rPr>
                <w:rFonts w:ascii="Times New Roman" w:hAnsi="Times New Roman" w:cs="Times New Roman"/>
                <w:sz w:val="21"/>
                <w:u w:val="none" w:color="auto"/>
              </w:rPr>
            </w:pPr>
            <w:r>
              <w:rPr>
                <w:rFonts w:ascii="Times New Roman" w:hAnsi="Times New Roman" w:cs="Times New Roman"/>
                <w:b/>
                <w:bCs/>
                <w:sz w:val="30"/>
                <w:szCs w:val="30"/>
                <w:u w:val="none" w:color="auto"/>
              </w:rPr>
              <w:t>标</w:t>
            </w:r>
          </w:p>
        </w:tc>
        <w:tc>
          <w:tcPr>
            <w:tcW w:w="8190" w:type="dxa"/>
            <w:tcBorders>
              <w:top w:val="single" w:color="000000" w:sz="4" w:space="0"/>
              <w:left w:val="single" w:color="000000" w:sz="4" w:space="0"/>
            </w:tcBorders>
          </w:tcPr>
          <w:p>
            <w:pPr>
              <w:ind w:firstLine="0" w:firstLineChars="0"/>
              <w:rPr>
                <w:rFonts w:ascii="Times New Roman" w:hAnsi="Times New Roman" w:cs="Times New Roman"/>
                <w:b/>
                <w:sz w:val="28"/>
                <w:szCs w:val="28"/>
                <w:u w:val="none" w:color="auto"/>
                <w:lang w:val="en-US"/>
              </w:rPr>
            </w:pPr>
            <w:r>
              <w:rPr>
                <w:rFonts w:hint="default" w:ascii="Times New Roman" w:hAnsi="Times New Roman" w:cs="Times New Roman"/>
                <w:b/>
                <w:sz w:val="28"/>
                <w:szCs w:val="28"/>
                <w:u w:val="none" w:color="auto"/>
                <w:lang w:val="en-US"/>
              </w:rPr>
              <w:t>3.</w:t>
            </w:r>
            <w:r>
              <w:rPr>
                <w:rFonts w:hint="default" w:ascii="Times New Roman" w:hAnsi="Times New Roman" w:cs="Times New Roman"/>
                <w:b/>
                <w:sz w:val="28"/>
                <w:szCs w:val="28"/>
                <w:u w:val="none" w:color="auto"/>
                <w:lang w:val="en-US" w:eastAsia="zh-CN"/>
              </w:rPr>
              <w:t>7</w:t>
            </w:r>
            <w:r>
              <w:rPr>
                <w:rFonts w:hint="default" w:ascii="Times New Roman" w:hAnsi="Times New Roman" w:cs="Times New Roman"/>
                <w:b/>
                <w:sz w:val="28"/>
                <w:szCs w:val="28"/>
                <w:u w:val="none" w:color="auto"/>
                <w:lang w:val="en-US"/>
              </w:rPr>
              <w:t>总量控制指标</w:t>
            </w:r>
          </w:p>
          <w:p>
            <w:pPr>
              <w:adjustRightInd w:val="0"/>
              <w:spacing w:line="360" w:lineRule="auto"/>
              <w:ind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sz w:val="24"/>
                <w:szCs w:val="24"/>
                <w:u w:val="none" w:color="auto"/>
                <w:lang w:eastAsia="zh-CN"/>
              </w:rPr>
              <w:t>根据</w:t>
            </w:r>
            <w:r>
              <w:rPr>
                <w:rFonts w:hint="default" w:ascii="Times New Roman" w:hAnsi="Times New Roman" w:cs="Times New Roman"/>
                <w:color w:val="auto"/>
                <w:sz w:val="24"/>
                <w:szCs w:val="24"/>
                <w:u w:val="none" w:color="auto"/>
                <w:lang w:val="en-US" w:eastAsia="zh-CN"/>
              </w:rPr>
              <w:t>本</w:t>
            </w:r>
            <w:r>
              <w:rPr>
                <w:rFonts w:hint="default" w:ascii="Times New Roman" w:hAnsi="Times New Roman" w:cs="Times New Roman"/>
                <w:color w:val="auto"/>
                <w:u w:val="none" w:color="auto"/>
              </w:rPr>
              <w:t>项目工程特征及污染物排放特征</w:t>
            </w:r>
            <w:r>
              <w:rPr>
                <w:rFonts w:hint="default" w:ascii="Times New Roman" w:hAnsi="Times New Roman" w:cs="Times New Roman"/>
                <w:color w:val="auto"/>
                <w:u w:val="none" w:color="auto"/>
                <w:lang w:eastAsia="zh-CN"/>
              </w:rPr>
              <w:t>分析</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生活污水及生产废水经污水处理站处理后用于农灌，</w:t>
            </w:r>
            <w:r>
              <w:rPr>
                <w:rFonts w:hint="default" w:ascii="Times New Roman" w:hAnsi="Times New Roman" w:cs="Times New Roman"/>
                <w:color w:val="auto"/>
                <w:sz w:val="24"/>
                <w:szCs w:val="24"/>
                <w:u w:val="none" w:color="auto"/>
                <w:lang w:eastAsia="zh-CN"/>
              </w:rPr>
              <w:t>无废水外排，故不设置废水总量控制指标，</w:t>
            </w:r>
            <w:r>
              <w:rPr>
                <w:rFonts w:hint="default" w:ascii="Times New Roman" w:hAnsi="Times New Roman" w:cs="Times New Roman"/>
                <w:color w:val="auto"/>
                <w:u w:val="none" w:color="auto"/>
              </w:rPr>
              <w:t>废气特征污染物为二氧化硫、氮氧化物</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确定项目特征污染物为SO</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、NOx，将其纳入项目废气总量指标</w:t>
            </w:r>
            <w:r>
              <w:rPr>
                <w:rFonts w:hint="default" w:ascii="Times New Roman" w:hAnsi="Times New Roman" w:cs="Times New Roman"/>
                <w:color w:val="auto"/>
                <w:u w:val="none" w:color="auto"/>
                <w:lang w:eastAsia="zh-CN"/>
              </w:rPr>
              <w:t>。</w:t>
            </w:r>
            <w:r>
              <w:rPr>
                <w:rFonts w:hint="default" w:ascii="Times New Roman" w:hAnsi="Times New Roman" w:cs="Times New Roman"/>
                <w:sz w:val="24"/>
                <w:szCs w:val="24"/>
                <w:u w:val="none" w:color="auto"/>
                <w:lang w:val="zh-CN"/>
              </w:rPr>
              <w:t>根据《湖南省主要污染物排污权有偿使用和交易管理办法》（湘政办发〔2022〕23号），</w:t>
            </w:r>
            <w:r>
              <w:rPr>
                <w:rFonts w:hint="default" w:ascii="Times New Roman" w:hAnsi="Times New Roman" w:cs="Times New Roman"/>
                <w:color w:val="auto"/>
                <w:highlight w:val="none"/>
                <w:u w:val="none" w:color="auto"/>
                <w:lang w:eastAsia="zh-CN"/>
              </w:rPr>
              <w:t>本项目在排放污染物之前需通过湘西州公共资源交易中心购买</w:t>
            </w:r>
            <w:r>
              <w:rPr>
                <w:rFonts w:hint="default" w:ascii="Times New Roman" w:hAnsi="Times New Roman" w:cs="Times New Roman"/>
                <w:color w:val="auto"/>
                <w:highlight w:val="none"/>
                <w:u w:val="none" w:color="auto"/>
              </w:rPr>
              <w:t>二氧化硫、氮氧化物</w:t>
            </w:r>
            <w:r>
              <w:rPr>
                <w:rFonts w:hint="default" w:ascii="Times New Roman" w:hAnsi="Times New Roman" w:cs="Times New Roman"/>
                <w:color w:val="auto"/>
                <w:highlight w:val="none"/>
                <w:u w:val="none" w:color="auto"/>
                <w:lang w:eastAsia="zh-CN"/>
              </w:rPr>
              <w:t>排污权，其</w:t>
            </w:r>
            <w:r>
              <w:rPr>
                <w:rFonts w:hint="default" w:ascii="Times New Roman" w:hAnsi="Times New Roman" w:cs="Times New Roman"/>
                <w:color w:val="auto"/>
                <w:highlight w:val="none"/>
                <w:u w:val="none" w:color="auto"/>
              </w:rPr>
              <w:t>详细总量因子</w:t>
            </w:r>
            <w:r>
              <w:rPr>
                <w:rFonts w:hint="default" w:ascii="Times New Roman" w:hAnsi="Times New Roman" w:cs="Times New Roman"/>
                <w:color w:val="auto"/>
                <w:highlight w:val="none"/>
                <w:u w:val="none" w:color="auto"/>
                <w:lang w:eastAsia="zh-CN"/>
              </w:rPr>
              <w:t>及购买量</w:t>
            </w:r>
            <w:r>
              <w:rPr>
                <w:rFonts w:hint="default" w:ascii="Times New Roman" w:hAnsi="Times New Roman" w:cs="Times New Roman"/>
                <w:color w:val="auto"/>
                <w:highlight w:val="none"/>
                <w:u w:val="none" w:color="auto"/>
              </w:rPr>
              <w:t>见下表。</w:t>
            </w:r>
          </w:p>
          <w:p>
            <w:pPr>
              <w:adjustRightInd w:val="0"/>
              <w:snapToGrid w:val="0"/>
              <w:ind w:firstLine="0" w:firstLineChars="0"/>
              <w:jc w:val="center"/>
              <w:rPr>
                <w:rFonts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lang w:eastAsia="zh-CN"/>
              </w:rPr>
              <w:t>表</w:t>
            </w:r>
            <w:r>
              <w:rPr>
                <w:rFonts w:hint="default" w:ascii="Times New Roman" w:hAnsi="Times New Roman" w:cs="Times New Roman"/>
                <w:b/>
                <w:color w:val="auto"/>
                <w:sz w:val="21"/>
                <w:szCs w:val="21"/>
                <w:highlight w:val="none"/>
                <w:u w:val="none" w:color="auto"/>
                <w:lang w:val="en-US" w:eastAsia="zh-CN"/>
              </w:rPr>
              <w:t xml:space="preserve"> 3.7-1</w:t>
            </w:r>
            <w:r>
              <w:rPr>
                <w:rFonts w:ascii="Times New Roman" w:hAnsi="Times New Roman" w:cs="Times New Roman"/>
                <w:b/>
                <w:color w:val="auto"/>
                <w:sz w:val="21"/>
                <w:szCs w:val="21"/>
                <w:highlight w:val="none"/>
                <w:u w:val="none" w:color="auto"/>
              </w:rPr>
              <w:t>项目总量控制建议如下：</w:t>
            </w:r>
          </w:p>
          <w:tbl>
            <w:tblPr>
              <w:tblStyle w:val="28"/>
              <w:tblW w:w="8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1178"/>
              <w:gridCol w:w="2529"/>
              <w:gridCol w:w="18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492" w:type="dxa"/>
                  <w:tcBorders>
                    <w:tl2br w:val="nil"/>
                    <w:tr2bl w:val="nil"/>
                  </w:tcBorders>
                  <w:vAlign w:val="center"/>
                </w:tcPr>
                <w:p>
                  <w:pPr>
                    <w:pStyle w:val="11"/>
                    <w:spacing w:line="240" w:lineRule="auto"/>
                    <w:ind w:firstLine="0" w:firstLineChars="0"/>
                    <w:jc w:val="center"/>
                    <w:rPr>
                      <w:rFonts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项目</w:t>
                  </w:r>
                </w:p>
              </w:tc>
              <w:tc>
                <w:tcPr>
                  <w:tcW w:w="1178" w:type="dxa"/>
                  <w:tcBorders>
                    <w:tl2br w:val="nil"/>
                    <w:tr2bl w:val="nil"/>
                  </w:tcBorders>
                  <w:vAlign w:val="center"/>
                </w:tcPr>
                <w:p>
                  <w:pPr>
                    <w:pStyle w:val="11"/>
                    <w:spacing w:line="240" w:lineRule="auto"/>
                    <w:ind w:firstLine="0" w:firstLineChars="0"/>
                    <w:jc w:val="center"/>
                    <w:rPr>
                      <w:rFonts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序号</w:t>
                  </w:r>
                </w:p>
              </w:tc>
              <w:tc>
                <w:tcPr>
                  <w:tcW w:w="2529" w:type="dxa"/>
                  <w:tcBorders>
                    <w:tl2br w:val="nil"/>
                    <w:tr2bl w:val="nil"/>
                  </w:tcBorders>
                  <w:vAlign w:val="center"/>
                </w:tcPr>
                <w:p>
                  <w:pPr>
                    <w:pStyle w:val="11"/>
                    <w:spacing w:line="240" w:lineRule="auto"/>
                    <w:ind w:firstLine="0" w:firstLineChars="0"/>
                    <w:jc w:val="center"/>
                    <w:rPr>
                      <w:rFonts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污染物</w:t>
                  </w:r>
                </w:p>
              </w:tc>
              <w:tc>
                <w:tcPr>
                  <w:tcW w:w="1880" w:type="dxa"/>
                  <w:tcBorders>
                    <w:tl2br w:val="nil"/>
                    <w:tr2bl w:val="nil"/>
                  </w:tcBorders>
                  <w:vAlign w:val="center"/>
                </w:tcPr>
                <w:p>
                  <w:pPr>
                    <w:pStyle w:val="11"/>
                    <w:spacing w:line="240" w:lineRule="auto"/>
                    <w:ind w:firstLine="0" w:firstLineChars="0"/>
                    <w:jc w:val="center"/>
                    <w:rPr>
                      <w:rFonts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492" w:type="dxa"/>
                  <w:vMerge w:val="restart"/>
                  <w:tcBorders>
                    <w:tl2br w:val="nil"/>
                    <w:tr2bl w:val="nil"/>
                  </w:tcBorders>
                  <w:vAlign w:val="center"/>
                </w:tcPr>
                <w:p>
                  <w:pPr>
                    <w:pStyle w:val="11"/>
                    <w:spacing w:line="240" w:lineRule="auto"/>
                    <w:ind w:firstLine="0" w:firstLineChars="0"/>
                    <w:jc w:val="center"/>
                    <w:rPr>
                      <w:rFonts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大气污染物总量控制指标</w:t>
                  </w:r>
                </w:p>
              </w:tc>
              <w:tc>
                <w:tcPr>
                  <w:tcW w:w="11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1</w:t>
                  </w:r>
                </w:p>
              </w:tc>
              <w:tc>
                <w:tcPr>
                  <w:tcW w:w="25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SO</w:t>
                  </w:r>
                  <w:r>
                    <w:rPr>
                      <w:rFonts w:hint="default" w:ascii="Times New Roman" w:hAnsi="Times New Roman" w:cs="Times New Roman"/>
                      <w:bCs/>
                      <w:color w:val="auto"/>
                      <w:sz w:val="21"/>
                      <w:szCs w:val="21"/>
                      <w:highlight w:val="none"/>
                      <w:u w:val="none" w:color="auto"/>
                      <w:vertAlign w:val="subscript"/>
                      <w:lang w:val="en-US" w:eastAsia="zh-CN"/>
                    </w:rPr>
                    <w:t>2</w:t>
                  </w:r>
                </w:p>
              </w:tc>
              <w:tc>
                <w:tcPr>
                  <w:tcW w:w="18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highlight w:val="none"/>
                      <w:u w:val="none" w:color="auto"/>
                      <w:lang w:val="en-US" w:eastAsia="zh-CN"/>
                    </w:rPr>
                  </w:pPr>
                  <w:r>
                    <w:rPr>
                      <w:rFonts w:hint="eastAsia" w:ascii="Times New Roman" w:hAnsi="Times New Roman" w:cs="Times New Roman"/>
                      <w:bCs/>
                      <w:color w:val="auto"/>
                      <w:sz w:val="21"/>
                      <w:szCs w:val="21"/>
                      <w:highlight w:val="none"/>
                      <w:u w:val="none" w:color="auto"/>
                      <w:lang w:val="en-US" w:eastAsia="zh-CN"/>
                    </w:rPr>
                    <w:t>0.13005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492" w:type="dxa"/>
                  <w:vMerge w:val="continue"/>
                  <w:tcBorders>
                    <w:tl2br w:val="nil"/>
                    <w:tr2bl w:val="nil"/>
                  </w:tcBorders>
                  <w:vAlign w:val="center"/>
                </w:tcPr>
                <w:p>
                  <w:pPr>
                    <w:pStyle w:val="11"/>
                    <w:spacing w:line="240" w:lineRule="auto"/>
                    <w:ind w:firstLine="0" w:firstLineChars="0"/>
                    <w:jc w:val="center"/>
                    <w:rPr>
                      <w:rFonts w:ascii="Times New Roman" w:hAnsi="Times New Roman" w:cs="Times New Roman"/>
                      <w:bCs/>
                      <w:color w:val="auto"/>
                      <w:sz w:val="21"/>
                      <w:szCs w:val="21"/>
                      <w:highlight w:val="none"/>
                      <w:u w:val="none" w:color="auto"/>
                    </w:rPr>
                  </w:pPr>
                </w:p>
              </w:tc>
              <w:tc>
                <w:tcPr>
                  <w:tcW w:w="11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2</w:t>
                  </w:r>
                </w:p>
              </w:tc>
              <w:tc>
                <w:tcPr>
                  <w:tcW w:w="252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NO</w:t>
                  </w:r>
                  <w:r>
                    <w:rPr>
                      <w:rFonts w:hint="default" w:ascii="Times New Roman" w:hAnsi="Times New Roman" w:cs="Times New Roman"/>
                      <w:bCs/>
                      <w:color w:val="auto"/>
                      <w:sz w:val="21"/>
                      <w:szCs w:val="21"/>
                      <w:highlight w:val="none"/>
                      <w:u w:val="none" w:color="auto"/>
                      <w:vertAlign w:val="subscript"/>
                      <w:lang w:val="en-US" w:eastAsia="zh-CN"/>
                    </w:rPr>
                    <w:t>X</w:t>
                  </w:r>
                </w:p>
              </w:tc>
              <w:tc>
                <w:tcPr>
                  <w:tcW w:w="18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highlight w:val="none"/>
                      <w:u w:val="none" w:color="auto"/>
                      <w:lang w:val="en-US" w:eastAsia="zh-CN"/>
                    </w:rPr>
                  </w:pPr>
                  <w:r>
                    <w:rPr>
                      <w:rFonts w:hint="eastAsia" w:ascii="Times New Roman" w:hAnsi="Times New Roman" w:cs="Times New Roman"/>
                      <w:bCs/>
                      <w:color w:val="auto"/>
                      <w:sz w:val="21"/>
                      <w:szCs w:val="21"/>
                      <w:highlight w:val="none"/>
                      <w:u w:val="none" w:color="auto"/>
                      <w:lang w:val="en-US" w:eastAsia="zh-CN"/>
                    </w:rPr>
                    <w:t>0.2142</w:t>
                  </w:r>
                </w:p>
              </w:tc>
            </w:tr>
          </w:tbl>
          <w:p>
            <w:pPr>
              <w:ind w:firstLine="480"/>
              <w:rPr>
                <w:rFonts w:ascii="Times New Roman" w:hAnsi="Times New Roman" w:cs="Times New Roman"/>
                <w:u w:val="none" w:color="auto"/>
              </w:rPr>
            </w:pPr>
          </w:p>
        </w:tc>
      </w:tr>
    </w:tbl>
    <w:p>
      <w:pPr>
        <w:wordWrap/>
        <w:overflowPunct w:val="0"/>
        <w:topLinePunct w:val="0"/>
        <w:autoSpaceDE w:val="0"/>
        <w:autoSpaceDN w:val="0"/>
        <w:ind w:firstLine="420"/>
        <w:jc w:val="left"/>
        <w:rPr>
          <w:sz w:val="21"/>
        </w:rPr>
        <w:sectPr>
          <w:footerReference r:id="rId17" w:type="default"/>
          <w:footerReference r:id="rId18" w:type="even"/>
          <w:pgSz w:w="11910" w:h="16850"/>
          <w:pgMar w:top="1600" w:right="1320" w:bottom="1000" w:left="1340" w:header="0" w:footer="817" w:gutter="0"/>
          <w:pgBorders>
            <w:top w:val="none" w:sz="0" w:space="0"/>
            <w:left w:val="none" w:sz="0" w:space="0"/>
            <w:bottom w:val="none" w:sz="0" w:space="0"/>
            <w:right w:val="none" w:sz="0" w:space="0"/>
          </w:pgBorders>
          <w:pgNumType w:fmt="decimal"/>
          <w:cols w:space="720" w:num="1"/>
        </w:sectPr>
      </w:pPr>
    </w:p>
    <w:p>
      <w:pPr>
        <w:pStyle w:val="13"/>
        <w:wordWrap/>
        <w:overflowPunct w:val="0"/>
        <w:topLinePunct w:val="0"/>
        <w:autoSpaceDE w:val="0"/>
        <w:autoSpaceDN w:val="0"/>
        <w:spacing w:before="58"/>
        <w:ind w:right="652" w:firstLine="0" w:firstLineChars="0"/>
        <w:jc w:val="left"/>
        <w:outlineLvl w:val="0"/>
        <w:rPr>
          <w:rFonts w:hint="eastAsia" w:asciiTheme="minorEastAsia" w:hAnsiTheme="minorEastAsia" w:eastAsiaTheme="minorEastAsia" w:cstheme="minorEastAsia"/>
          <w:b/>
          <w:bCs/>
        </w:rPr>
      </w:pPr>
      <w:bookmarkStart w:id="101" w:name="_Toc23540"/>
      <w:bookmarkStart w:id="102" w:name="_Toc31216"/>
      <w:r>
        <w:rPr>
          <w:rFonts w:hint="eastAsia" w:asciiTheme="minorEastAsia" w:hAnsiTheme="minorEastAsia" w:eastAsiaTheme="minorEastAsia" w:cstheme="minorEastAsia"/>
          <w:b/>
          <w:bCs/>
        </w:rPr>
        <w:t>四、主要环境影响和保护措施</w:t>
      </w:r>
      <w:bookmarkEnd w:id="101"/>
      <w:bookmarkEnd w:id="102"/>
    </w:p>
    <w:tbl>
      <w:tblPr>
        <w:tblStyle w:val="28"/>
        <w:tblW w:w="0" w:type="auto"/>
        <w:tblInd w:w="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75"/>
        <w:gridCol w:w="83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675" w:type="dxa"/>
            <w:tcBorders>
              <w:bottom w:val="single" w:color="000000" w:sz="4" w:space="0"/>
              <w:right w:val="single" w:color="000000" w:sz="4" w:space="0"/>
            </w:tcBorders>
            <w:vAlign w:val="center"/>
          </w:tcPr>
          <w:p>
            <w:pPr>
              <w:pStyle w:val="49"/>
              <w:wordWrap/>
              <w:overflowPunct w:val="0"/>
              <w:topLinePunct w:val="0"/>
              <w:autoSpaceDE w:val="0"/>
              <w:autoSpaceDN w:val="0"/>
              <w:spacing w:before="157" w:line="242" w:lineRule="auto"/>
              <w:ind w:left="160" w:right="43"/>
              <w:jc w:val="center"/>
              <w:rPr>
                <w:rFonts w:ascii="Times New Roman" w:hAnsi="Times New Roman" w:cs="Times New Roman"/>
                <w:sz w:val="21"/>
                <w:u w:val="none" w:color="auto"/>
              </w:rPr>
            </w:pPr>
            <w:r>
              <w:rPr>
                <w:rFonts w:ascii="Times New Roman" w:hAnsi="Times New Roman" w:cs="Times New Roman"/>
                <w:b/>
                <w:bCs/>
                <w:sz w:val="30"/>
                <w:szCs w:val="30"/>
                <w:u w:val="none" w:color="auto"/>
              </w:rPr>
              <w:t>施工期环境保护措施</w:t>
            </w:r>
          </w:p>
        </w:tc>
        <w:tc>
          <w:tcPr>
            <w:tcW w:w="8374" w:type="dxa"/>
            <w:tcBorders>
              <w:left w:val="single" w:color="000000" w:sz="4" w:space="0"/>
              <w:bottom w:val="single" w:color="000000" w:sz="4" w:space="0"/>
            </w:tcBorders>
            <w:vAlign w:val="center"/>
          </w:tcPr>
          <w:p>
            <w:pPr>
              <w:pStyle w:val="6"/>
              <w:keepNext w:val="0"/>
              <w:keepLines w:val="0"/>
              <w:wordWrap/>
              <w:overflowPunct w:val="0"/>
              <w:topLinePunct w:val="0"/>
              <w:autoSpaceDE w:val="0"/>
              <w:autoSpaceDN w:val="0"/>
              <w:ind w:firstLine="0" w:firstLineChars="0"/>
              <w:rPr>
                <w:rFonts w:hint="default" w:ascii="Times New Roman" w:hAnsi="Times New Roman" w:cs="Times New Roman"/>
                <w:u w:val="single" w:color="auto"/>
              </w:rPr>
            </w:pPr>
            <w:bookmarkStart w:id="103" w:name="_Toc24713"/>
            <w:bookmarkStart w:id="104" w:name="_Toc24420"/>
            <w:bookmarkStart w:id="105" w:name="_Toc22698"/>
            <w:bookmarkStart w:id="106" w:name="_Toc24712"/>
            <w:bookmarkStart w:id="107" w:name="_Toc24700"/>
            <w:bookmarkStart w:id="108" w:name="_Toc14122"/>
            <w:bookmarkStart w:id="109" w:name="_Toc28024"/>
            <w:bookmarkStart w:id="110" w:name="_Toc2232"/>
            <w:bookmarkStart w:id="111" w:name="_Toc11088"/>
            <w:bookmarkStart w:id="112" w:name="_Toc59"/>
            <w:bookmarkStart w:id="113" w:name="_Toc22537"/>
            <w:bookmarkStart w:id="114" w:name="_Toc28427"/>
            <w:bookmarkStart w:id="115" w:name="_Toc9019"/>
            <w:bookmarkStart w:id="116" w:name="_Toc21891"/>
            <w:bookmarkStart w:id="117" w:name="_Toc1726"/>
            <w:bookmarkStart w:id="118" w:name="_Toc17833"/>
            <w:bookmarkStart w:id="119" w:name="_Toc24825"/>
            <w:bookmarkStart w:id="120" w:name="_Toc17192"/>
            <w:bookmarkStart w:id="121" w:name="_Toc26762"/>
            <w:bookmarkStart w:id="122" w:name="_Toc19303"/>
            <w:bookmarkStart w:id="123" w:name="_Toc16295"/>
            <w:bookmarkStart w:id="124" w:name="_Toc3518"/>
            <w:bookmarkStart w:id="125" w:name="_Toc27692"/>
            <w:bookmarkStart w:id="126" w:name="_Toc21548"/>
            <w:bookmarkStart w:id="127" w:name="_Toc2955"/>
            <w:bookmarkStart w:id="128" w:name="_Toc30428"/>
            <w:bookmarkStart w:id="129" w:name="_Toc30399"/>
            <w:bookmarkStart w:id="130" w:name="_Toc22954"/>
            <w:bookmarkStart w:id="131" w:name="_Toc30695"/>
            <w:bookmarkStart w:id="132" w:name="_Toc29709"/>
            <w:bookmarkStart w:id="133" w:name="_Toc24610"/>
            <w:bookmarkStart w:id="134" w:name="_Toc16859"/>
            <w:bookmarkStart w:id="135" w:name="_Toc29885"/>
            <w:bookmarkStart w:id="136" w:name="_Toc25036"/>
            <w:r>
              <w:rPr>
                <w:rFonts w:hint="default" w:ascii="Times New Roman" w:hAnsi="Times New Roman" w:cs="Times New Roman"/>
                <w:u w:val="single" w:color="auto"/>
                <w:lang w:val="en-US"/>
              </w:rPr>
              <w:t>4</w:t>
            </w:r>
            <w:r>
              <w:rPr>
                <w:rFonts w:hint="default" w:ascii="Times New Roman" w:hAnsi="Times New Roman" w:cs="Times New Roman"/>
                <w:u w:val="single" w:color="auto"/>
              </w:rPr>
              <w:t>.1</w:t>
            </w:r>
            <w:r>
              <w:rPr>
                <w:color w:val="auto"/>
                <w:highlight w:val="none"/>
                <w:u w:val="single" w:color="auto"/>
              </w:rPr>
              <w:t>施工期环境影响分析及防治措施</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ind w:firstLine="480"/>
              <w:rPr>
                <w:rFonts w:hint="eastAsia"/>
                <w:color w:val="auto"/>
                <w:highlight w:val="none"/>
                <w:u w:val="single" w:color="auto"/>
              </w:rPr>
            </w:pPr>
            <w:r>
              <w:rPr>
                <w:color w:val="auto"/>
                <w:highlight w:val="none"/>
                <w:u w:val="single" w:color="auto"/>
              </w:rPr>
              <w:t>本</w:t>
            </w:r>
            <w:r>
              <w:rPr>
                <w:rFonts w:hint="eastAsia"/>
                <w:color w:val="auto"/>
                <w:highlight w:val="none"/>
                <w:u w:val="single" w:color="auto"/>
              </w:rPr>
              <w:t>项目</w:t>
            </w:r>
            <w:r>
              <w:rPr>
                <w:rFonts w:hint="eastAsia"/>
                <w:color w:val="auto"/>
                <w:highlight w:val="none"/>
                <w:u w:val="single" w:color="auto"/>
                <w:lang w:val="en-US" w:eastAsia="zh-CN"/>
              </w:rPr>
              <w:t>主体工程</w:t>
            </w:r>
            <w:r>
              <w:rPr>
                <w:rFonts w:hint="eastAsia"/>
                <w:color w:val="auto"/>
                <w:highlight w:val="none"/>
                <w:u w:val="single" w:color="auto"/>
              </w:rPr>
              <w:t>现已建成，</w:t>
            </w:r>
            <w:r>
              <w:rPr>
                <w:rFonts w:hint="eastAsia"/>
                <w:color w:val="auto"/>
                <w:highlight w:val="none"/>
                <w:u w:val="single" w:color="auto"/>
                <w:lang w:val="en-US" w:eastAsia="zh-CN"/>
              </w:rPr>
              <w:t>除锅炉房设备尚未进场，预计2023年11月进场安装，进行调试，2023年12月投入生产，施工工期为1个月，施工行为仅为简单的设备组装安装，环境影响甚微，</w:t>
            </w:r>
            <w:r>
              <w:rPr>
                <w:rFonts w:hint="eastAsia"/>
                <w:color w:val="auto"/>
                <w:highlight w:val="none"/>
                <w:u w:val="single" w:color="auto"/>
              </w:rPr>
              <w:t>且</w:t>
            </w:r>
            <w:r>
              <w:rPr>
                <w:rFonts w:hint="eastAsia"/>
                <w:color w:val="auto"/>
                <w:highlight w:val="none"/>
                <w:u w:val="single" w:color="auto"/>
                <w:lang w:val="en-US" w:eastAsia="zh-CN"/>
              </w:rPr>
              <w:t>主体工程</w:t>
            </w:r>
            <w:r>
              <w:rPr>
                <w:rFonts w:hint="eastAsia"/>
                <w:color w:val="auto"/>
                <w:highlight w:val="none"/>
                <w:u w:val="single" w:color="auto"/>
              </w:rPr>
              <w:t>施工期各项施工环境影响防治措施均落实到位，对周边环境影响较小，未收到周边居民投诉，故本环评不再对施工期进行分析</w:t>
            </w:r>
            <w:r>
              <w:rPr>
                <w:rFonts w:hint="eastAsia"/>
                <w:color w:val="auto"/>
                <w:highlight w:val="none"/>
                <w:u w:val="single" w:color="auto"/>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u w:val="none" w:color="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4" w:hRule="atLeast"/>
        </w:trPr>
        <w:tc>
          <w:tcPr>
            <w:tcW w:w="675" w:type="dxa"/>
            <w:tcBorders>
              <w:top w:val="single" w:color="000000" w:sz="4" w:space="0"/>
              <w:right w:val="single" w:color="000000" w:sz="4" w:space="0"/>
            </w:tcBorders>
            <w:vAlign w:val="center"/>
          </w:tcPr>
          <w:p>
            <w:pPr>
              <w:pStyle w:val="49"/>
              <w:wordWrap/>
              <w:overflowPunct w:val="0"/>
              <w:topLinePunct w:val="0"/>
              <w:autoSpaceDE w:val="0"/>
              <w:autoSpaceDN w:val="0"/>
              <w:spacing w:before="1" w:line="242" w:lineRule="auto"/>
              <w:ind w:left="160" w:right="43"/>
              <w:jc w:val="center"/>
              <w:rPr>
                <w:rFonts w:ascii="Times New Roman" w:hAnsi="Times New Roman" w:cs="Times New Roman"/>
                <w:color w:val="auto"/>
                <w:sz w:val="21"/>
                <w:u w:val="none" w:color="auto"/>
              </w:rPr>
            </w:pPr>
            <w:r>
              <w:rPr>
                <w:rFonts w:ascii="Times New Roman" w:hAnsi="Times New Roman" w:cs="Times New Roman"/>
                <w:b/>
                <w:bCs/>
                <w:color w:val="auto"/>
                <w:sz w:val="30"/>
                <w:szCs w:val="30"/>
                <w:u w:val="none" w:color="auto"/>
              </w:rPr>
              <w:t>运营期环境影响和保护措施</w:t>
            </w:r>
          </w:p>
        </w:tc>
        <w:tc>
          <w:tcPr>
            <w:tcW w:w="8374" w:type="dxa"/>
            <w:tcBorders>
              <w:top w:val="single" w:color="000000" w:sz="4" w:space="0"/>
              <w:left w:val="single" w:color="000000" w:sz="4" w:space="0"/>
            </w:tcBorders>
            <w:vAlign w:val="center"/>
          </w:tcPr>
          <w:p>
            <w:pPr>
              <w:pStyle w:val="6"/>
              <w:keepNext w:val="0"/>
              <w:keepLines w:val="0"/>
              <w:wordWrap/>
              <w:overflowPunct w:val="0"/>
              <w:topLinePunct w:val="0"/>
              <w:autoSpaceDE w:val="0"/>
              <w:autoSpaceDN w:val="0"/>
              <w:ind w:firstLine="0" w:firstLineChars="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4.2</w:t>
            </w:r>
            <w:r>
              <w:rPr>
                <w:rFonts w:hint="eastAsia" w:ascii="Times New Roman" w:hAnsi="Times New Roman" w:cs="Times New Roman"/>
                <w:color w:val="auto"/>
                <w:u w:val="none" w:color="auto"/>
                <w:lang w:val="en-US" w:eastAsia="zh-CN"/>
              </w:rPr>
              <w:t xml:space="preserve"> </w:t>
            </w:r>
            <w:r>
              <w:rPr>
                <w:rFonts w:hint="default" w:ascii="Times New Roman" w:hAnsi="Times New Roman" w:cs="Times New Roman"/>
                <w:color w:val="auto"/>
                <w:u w:val="none" w:color="auto"/>
                <w:lang w:val="en-US" w:eastAsia="zh-CN"/>
              </w:rPr>
              <w:t>变更后</w:t>
            </w:r>
            <w:r>
              <w:rPr>
                <w:rFonts w:hint="default" w:ascii="Times New Roman" w:hAnsi="Times New Roman" w:cs="Times New Roman"/>
                <w:color w:val="auto"/>
                <w:u w:val="none" w:color="auto"/>
              </w:rPr>
              <w:t>运营期环境影响分析和保护措施</w:t>
            </w:r>
          </w:p>
          <w:p>
            <w:pPr>
              <w:pStyle w:val="6"/>
              <w:bidi w:val="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4.2.1</w:t>
            </w:r>
            <w:r>
              <w:rPr>
                <w:rFonts w:hint="default" w:ascii="Times New Roman" w:hAnsi="Times New Roman" w:cs="Times New Roman"/>
                <w:color w:val="auto"/>
                <w:u w:val="none" w:color="auto"/>
              </w:rPr>
              <w:t>地表水环境影响分析</w:t>
            </w:r>
          </w:p>
          <w:p>
            <w:pPr>
              <w:wordWrap/>
              <w:overflowPunct w:val="0"/>
              <w:topLinePunct w:val="0"/>
              <w:autoSpaceDE w:val="0"/>
              <w:autoSpaceDN w:val="0"/>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（1）废水污染物产排情况</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根据前文给排水可知：</w:t>
            </w:r>
            <w:r>
              <w:rPr>
                <w:rFonts w:hint="default" w:ascii="Times New Roman" w:hAnsi="Times New Roman" w:cs="Times New Roman"/>
                <w:color w:val="auto"/>
                <w:u w:val="none" w:color="auto"/>
                <w:lang w:val="en-US" w:eastAsia="zh-CN"/>
              </w:rPr>
              <w:t>项目</w:t>
            </w:r>
            <w:r>
              <w:rPr>
                <w:rFonts w:hint="eastAsia" w:cs="Times New Roman"/>
                <w:u w:val="none" w:color="auto"/>
                <w:lang w:val="en-US" w:eastAsia="zh-CN"/>
              </w:rPr>
              <w:t>湿</w:t>
            </w:r>
            <w:r>
              <w:rPr>
                <w:rFonts w:hint="default" w:ascii="Times New Roman" w:hAnsi="Times New Roman" w:cs="Times New Roman"/>
                <w:u w:val="none" w:color="auto"/>
                <w:lang w:val="en-US"/>
              </w:rPr>
              <w:t>米粉生产线废水产生量为</w:t>
            </w:r>
            <w:r>
              <w:rPr>
                <w:rFonts w:hint="eastAsia" w:cs="Times New Roman"/>
                <w:u w:val="none" w:color="auto"/>
                <w:lang w:val="en-US" w:eastAsia="zh-CN"/>
              </w:rPr>
              <w:t>9900</w:t>
            </w:r>
            <w:r>
              <w:rPr>
                <w:rFonts w:hint="default" w:ascii="Times New Roman" w:hAnsi="Times New Roman" w:cs="Times New Roman"/>
                <w:u w:val="none" w:color="auto"/>
                <w:lang w:val="en-US"/>
              </w:rPr>
              <w:t>t/a（</w:t>
            </w:r>
            <w:r>
              <w:rPr>
                <w:rFonts w:hint="eastAsia" w:cs="Times New Roman"/>
                <w:u w:val="none" w:color="auto"/>
                <w:lang w:val="en-US" w:eastAsia="zh-CN"/>
              </w:rPr>
              <w:t>27.5</w:t>
            </w:r>
            <w:r>
              <w:rPr>
                <w:rFonts w:hint="default" w:ascii="Times New Roman" w:hAnsi="Times New Roman" w:cs="Times New Roman"/>
                <w:u w:val="none" w:color="auto"/>
                <w:lang w:val="en-US" w:eastAsia="zh-CN"/>
              </w:rPr>
              <w:t>t</w:t>
            </w:r>
            <w:r>
              <w:rPr>
                <w:rFonts w:hint="default" w:ascii="Times New Roman" w:hAnsi="Times New Roman" w:cs="Times New Roman"/>
                <w:u w:val="none" w:color="auto"/>
                <w:lang w:val="en-US"/>
              </w:rPr>
              <w:t>/d）</w:t>
            </w:r>
            <w:r>
              <w:rPr>
                <w:rFonts w:hint="default" w:ascii="Times New Roman" w:hAnsi="Times New Roman" w:cs="Times New Roman"/>
                <w:color w:val="auto"/>
                <w:u w:val="none" w:color="auto"/>
                <w:lang w:val="en-US" w:eastAsia="zh-CN"/>
              </w:rPr>
              <w:t>，</w:t>
            </w:r>
            <w:r>
              <w:rPr>
                <w:rFonts w:ascii="Times New Roman" w:hAnsi="Times New Roman" w:cs="Times New Roman"/>
                <w:u w:val="none" w:color="auto"/>
              </w:rPr>
              <w:t>生活污水产生量为</w:t>
            </w:r>
            <w:r>
              <w:rPr>
                <w:rFonts w:hint="default" w:ascii="Times New Roman" w:hAnsi="Times New Roman" w:cs="Times New Roman"/>
                <w:u w:val="none" w:color="auto"/>
                <w:lang w:val="en-US" w:eastAsia="zh-CN"/>
              </w:rPr>
              <w:t>342t</w:t>
            </w:r>
            <w:r>
              <w:rPr>
                <w:rFonts w:ascii="Times New Roman" w:hAnsi="Times New Roman" w:cs="Times New Roman"/>
                <w:u w:val="none" w:color="auto"/>
              </w:rPr>
              <w:t>/a</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化验室废水为1.6</w:t>
            </w:r>
            <w:r>
              <w:rPr>
                <w:rFonts w:hint="default" w:ascii="Times New Roman" w:hAnsi="Times New Roman" w:cs="Times New Roman"/>
                <w:u w:val="none" w:color="auto"/>
                <w:lang w:val="en-US"/>
              </w:rPr>
              <w:t>t/a</w:t>
            </w:r>
            <w:r>
              <w:rPr>
                <w:rFonts w:hint="default" w:ascii="Times New Roman" w:hAnsi="Times New Roman" w:cs="Times New Roman"/>
                <w:u w:val="none" w:color="auto"/>
                <w:lang w:val="en-US" w:eastAsia="zh-CN"/>
              </w:rPr>
              <w:t>，</w:t>
            </w:r>
            <w:r>
              <w:rPr>
                <w:rFonts w:hint="default" w:ascii="Times New Roman" w:hAnsi="Times New Roman" w:cs="Times New Roman"/>
                <w:color w:val="auto"/>
                <w:u w:val="none" w:color="auto"/>
                <w:lang w:val="en-US" w:eastAsia="zh-CN"/>
              </w:rPr>
              <w:t>锅炉总废水为</w:t>
            </w:r>
            <w:r>
              <w:rPr>
                <w:rFonts w:hint="eastAsia" w:cs="Times New Roman"/>
                <w:color w:val="auto"/>
                <w:u w:val="none" w:color="auto"/>
                <w:lang w:val="en-US" w:eastAsia="zh-CN"/>
              </w:rPr>
              <w:t>734.4</w:t>
            </w:r>
            <w:r>
              <w:rPr>
                <w:rFonts w:hint="default" w:ascii="Times New Roman" w:hAnsi="Times New Roman" w:cs="Times New Roman"/>
                <w:color w:val="auto"/>
                <w:u w:val="none" w:color="auto"/>
                <w:lang w:val="en-US" w:eastAsia="zh-CN"/>
              </w:rPr>
              <w:t>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val="en-US" w:eastAsia="zh-CN"/>
              </w:rPr>
              <w:t>/a</w:t>
            </w:r>
            <w:r>
              <w:rPr>
                <w:rFonts w:hint="default" w:ascii="Times New Roman" w:hAnsi="Times New Roman" w:cs="Times New Roman"/>
                <w:color w:val="auto"/>
                <w:u w:val="none" w:color="auto"/>
                <w:lang w:val="en-US"/>
              </w:rPr>
              <w:t>。</w:t>
            </w:r>
          </w:p>
          <w:p>
            <w:pPr>
              <w:ind w:firstLine="480"/>
              <w:rPr>
                <w:rFonts w:hint="default" w:ascii="Times New Roman" w:hAnsi="Times New Roman" w:cs="Times New Roman"/>
                <w:b/>
                <w:bCs/>
                <w:color w:val="auto"/>
                <w:u w:val="none" w:color="auto"/>
                <w:lang w:val="en-US" w:eastAsia="zh-CN"/>
              </w:rPr>
            </w:pPr>
            <w:r>
              <w:rPr>
                <w:rFonts w:hint="default" w:ascii="Times New Roman" w:hAnsi="Times New Roman" w:cs="Times New Roman"/>
                <w:color w:val="auto"/>
                <w:u w:val="none" w:color="auto"/>
              </w:rPr>
              <w:t>①</w:t>
            </w:r>
            <w:r>
              <w:rPr>
                <w:rFonts w:hint="default" w:ascii="Times New Roman" w:hAnsi="Times New Roman" w:cs="Times New Roman"/>
                <w:b/>
                <w:bCs/>
                <w:color w:val="auto"/>
                <w:u w:val="none" w:color="auto"/>
                <w:lang w:val="en-US" w:eastAsia="zh-CN"/>
              </w:rPr>
              <w:t>米粉产生生产废水：</w:t>
            </w:r>
          </w:p>
          <w:p>
            <w:pPr>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通过类比《</w:t>
            </w:r>
            <w:r>
              <w:rPr>
                <w:rFonts w:ascii="Times New Roman" w:hAnsi="Times New Roman" w:eastAsia="宋体" w:cs="Times New Roman"/>
                <w:kern w:val="0"/>
                <w:sz w:val="24"/>
                <w:szCs w:val="24"/>
                <w:u w:val="none" w:color="auto"/>
              </w:rPr>
              <w:t>湖南保靖文运食品有限公司年产</w:t>
            </w:r>
            <w:r>
              <w:rPr>
                <w:rFonts w:hint="default" w:ascii="Times New Roman" w:hAnsi="Times New Roman" w:eastAsia="宋体" w:cs="Times New Roman"/>
                <w:kern w:val="0"/>
                <w:sz w:val="24"/>
                <w:szCs w:val="24"/>
                <w:u w:val="none" w:color="auto"/>
                <w:lang w:val="en-US" w:eastAsia="zh-CN"/>
              </w:rPr>
              <w:t>3000</w:t>
            </w:r>
            <w:r>
              <w:rPr>
                <w:rFonts w:ascii="Times New Roman" w:hAnsi="Times New Roman" w:eastAsia="宋体" w:cs="Times New Roman"/>
                <w:kern w:val="0"/>
                <w:sz w:val="24"/>
                <w:szCs w:val="24"/>
                <w:u w:val="none" w:color="auto"/>
              </w:rPr>
              <w:t>吨自熟式鲜米粉生产线项目</w:t>
            </w:r>
            <w:r>
              <w:rPr>
                <w:rFonts w:hint="default" w:ascii="Times New Roman" w:hAnsi="Times New Roman" w:cs="Times New Roman"/>
                <w:kern w:val="0"/>
                <w:sz w:val="24"/>
                <w:szCs w:val="24"/>
                <w:u w:val="none" w:color="auto"/>
                <w:lang w:eastAsia="zh-CN"/>
              </w:rPr>
              <w:t>（</w:t>
            </w:r>
            <w:r>
              <w:rPr>
                <w:rFonts w:hint="default" w:ascii="Times New Roman" w:hAnsi="Times New Roman" w:cs="Times New Roman"/>
                <w:kern w:val="0"/>
                <w:sz w:val="24"/>
                <w:szCs w:val="24"/>
                <w:u w:val="none" w:color="auto"/>
                <w:lang w:val="en-US" w:eastAsia="zh-CN"/>
              </w:rPr>
              <w:t>一期</w:t>
            </w:r>
            <w:r>
              <w:rPr>
                <w:rFonts w:hint="default" w:ascii="Times New Roman" w:hAnsi="Times New Roman" w:cs="Times New Roman"/>
                <w:kern w:val="0"/>
                <w:sz w:val="24"/>
                <w:szCs w:val="24"/>
                <w:u w:val="none" w:color="auto"/>
                <w:lang w:eastAsia="zh-CN"/>
              </w:rPr>
              <w:t>）</w:t>
            </w:r>
            <w:r>
              <w:rPr>
                <w:rFonts w:hint="default" w:ascii="Times New Roman" w:hAnsi="Times New Roman" w:cs="Times New Roman"/>
                <w:kern w:val="0"/>
                <w:sz w:val="24"/>
                <w:szCs w:val="24"/>
                <w:u w:val="none" w:color="auto"/>
                <w:lang w:val="en-US" w:eastAsia="zh-CN"/>
              </w:rPr>
              <w:t>竣工环境保护验收报告</w:t>
            </w:r>
            <w:r>
              <w:rPr>
                <w:rFonts w:hint="default" w:ascii="Times New Roman" w:hAnsi="Times New Roman" w:cs="Times New Roman"/>
                <w:color w:val="auto"/>
                <w:u w:val="none" w:color="auto"/>
                <w:lang w:val="en-US" w:eastAsia="zh-CN"/>
              </w:rPr>
              <w:t>》中的废水实测数据计算本项目米粉生产线废水污染物产生量，类比可行性分析如下：</w:t>
            </w:r>
          </w:p>
          <w:p>
            <w:pPr>
              <w:keepNext w:val="0"/>
              <w:keepLines w:val="0"/>
              <w:pageBreakBefore w:val="0"/>
              <w:numPr>
                <w:ilvl w:val="0"/>
                <w:numId w:val="0"/>
              </w:numPr>
              <w:kinsoku/>
              <w:overflowPunct/>
              <w:autoSpaceDE/>
              <w:autoSpaceDN/>
              <w:bidi w:val="0"/>
              <w:adjustRightInd/>
              <w:snapToGrid/>
              <w:ind w:firstLine="480" w:firstLineChars="200"/>
              <w:textAlignment w:val="auto"/>
              <w:rPr>
                <w:rFonts w:hint="default" w:ascii="Times New Roman" w:hAnsi="Times New Roman" w:cs="Times New Roman"/>
                <w:u w:val="none" w:color="auto"/>
              </w:rPr>
            </w:pPr>
            <w:r>
              <w:rPr>
                <w:rFonts w:hint="default" w:ascii="Times New Roman" w:hAnsi="Times New Roman" w:cs="Times New Roman"/>
                <w:u w:val="none" w:color="auto"/>
                <w:lang w:val="en-US" w:eastAsia="zh-CN"/>
              </w:rPr>
              <w:t>①已通过竣工环境保护验收，目前处于正常生产状态</w:t>
            </w:r>
            <w:r>
              <w:rPr>
                <w:rFonts w:hint="default" w:ascii="Times New Roman" w:hAnsi="Times New Roman" w:cs="Times New Roman"/>
                <w:u w:val="none" w:color="auto"/>
              </w:rPr>
              <w:t>；</w:t>
            </w:r>
          </w:p>
          <w:p>
            <w:pPr>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u w:val="none" w:color="auto"/>
                <w:lang w:val="en-US" w:eastAsia="zh-CN"/>
              </w:rPr>
              <w:t>②验收时仅上了湿米粉生产线，与本项目产品相同</w:t>
            </w:r>
            <w:r>
              <w:rPr>
                <w:rFonts w:hint="default" w:ascii="Times New Roman" w:hAnsi="Times New Roman" w:cs="Times New Roman"/>
                <w:u w:val="none" w:color="auto"/>
              </w:rPr>
              <w:t>；</w:t>
            </w:r>
          </w:p>
          <w:p>
            <w:pPr>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u w:val="none" w:color="auto"/>
                <w:lang w:val="en-US" w:eastAsia="zh-CN"/>
              </w:rPr>
              <w:t>③污水处理设施处理工艺为混凝沉淀+SBR法，与本项目采用的污水处理工艺相同</w:t>
            </w:r>
            <w:r>
              <w:rPr>
                <w:rFonts w:hint="default" w:ascii="Times New Roman" w:hAnsi="Times New Roman" w:cs="Times New Roman"/>
                <w:u w:val="none" w:color="auto"/>
                <w:lang w:eastAsia="zh-CN"/>
              </w:rPr>
              <w:t>。</w:t>
            </w:r>
          </w:p>
          <w:p>
            <w:pPr>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本项目米粉生产线产生的废水污染物浓度系数见下表：</w:t>
            </w:r>
          </w:p>
          <w:p>
            <w:pPr>
              <w:spacing w:line="360" w:lineRule="auto"/>
              <w:jc w:val="center"/>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 4.2-1项目米粉生产</w:t>
            </w:r>
            <w:r>
              <w:rPr>
                <w:rFonts w:hint="default" w:ascii="Times New Roman" w:hAnsi="Times New Roman" w:cs="Times New Roman"/>
                <w:b/>
                <w:bCs/>
                <w:color w:val="auto"/>
                <w:sz w:val="21"/>
                <w:szCs w:val="21"/>
                <w:highlight w:val="none"/>
                <w:u w:val="none" w:color="auto"/>
                <w:lang w:val="en-US" w:eastAsia="zh-CN"/>
              </w:rPr>
              <w:t>线废水产污系数表</w:t>
            </w:r>
          </w:p>
          <w:tbl>
            <w:tblPr>
              <w:tblStyle w:val="29"/>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44"/>
              <w:gridCol w:w="1876"/>
              <w:gridCol w:w="1766"/>
              <w:gridCol w:w="1104"/>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62" w:type="pct"/>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米粉（所有规模）</w:t>
                  </w:r>
                </w:p>
              </w:tc>
              <w:tc>
                <w:tcPr>
                  <w:tcW w:w="817"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污染物指标</w:t>
                  </w:r>
                </w:p>
              </w:tc>
              <w:tc>
                <w:tcPr>
                  <w:tcW w:w="1140"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系数来源</w:t>
                  </w:r>
                </w:p>
              </w:tc>
              <w:tc>
                <w:tcPr>
                  <w:tcW w:w="1073"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产污系数</w:t>
                  </w:r>
                </w:p>
              </w:tc>
              <w:tc>
                <w:tcPr>
                  <w:tcW w:w="671"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末端治理技术</w:t>
                  </w:r>
                </w:p>
              </w:tc>
              <w:tc>
                <w:tcPr>
                  <w:tcW w:w="834"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2"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17"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化学需氧量</w:t>
                  </w:r>
                </w:p>
              </w:tc>
              <w:tc>
                <w:tcPr>
                  <w:tcW w:w="1140" w:type="pct"/>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类比湖南省保靖文运食品有限公司年产3000吨自熟式鲜米粉生产线项目</w:t>
                  </w:r>
                </w:p>
              </w:tc>
              <w:tc>
                <w:tcPr>
                  <w:tcW w:w="1073"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1650</w:t>
                  </w:r>
                  <w:r>
                    <w:rPr>
                      <w:rFonts w:hint="default" w:ascii="Times New Roman" w:hAnsi="Times New Roman" w:cs="Times New Roman"/>
                      <w:color w:val="auto"/>
                      <w:sz w:val="21"/>
                      <w:szCs w:val="21"/>
                      <w:u w:val="none" w:color="auto"/>
                      <w:vertAlign w:val="baseline"/>
                      <w:lang w:val="en-US" w:eastAsia="zh-CN"/>
                    </w:rPr>
                    <w:t>mg/L</w:t>
                  </w:r>
                </w:p>
              </w:tc>
              <w:tc>
                <w:tcPr>
                  <w:tcW w:w="671" w:type="pct"/>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混凝沉淀+SBR法</w:t>
                  </w:r>
                </w:p>
              </w:tc>
              <w:tc>
                <w:tcPr>
                  <w:tcW w:w="834"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62"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17"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BOD</w:t>
                  </w:r>
                  <w:r>
                    <w:rPr>
                      <w:rFonts w:hint="default" w:ascii="Times New Roman" w:hAnsi="Times New Roman" w:cs="Times New Roman"/>
                      <w:color w:val="auto"/>
                      <w:sz w:val="21"/>
                      <w:szCs w:val="21"/>
                      <w:u w:val="none" w:color="auto"/>
                      <w:vertAlign w:val="subscript"/>
                      <w:lang w:val="en-US" w:eastAsia="zh-CN"/>
                    </w:rPr>
                    <w:t>5</w:t>
                  </w:r>
                </w:p>
              </w:tc>
              <w:tc>
                <w:tcPr>
                  <w:tcW w:w="1140"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073"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590mg/L</w:t>
                  </w:r>
                </w:p>
              </w:tc>
              <w:tc>
                <w:tcPr>
                  <w:tcW w:w="671"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834"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17"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SS</w:t>
                  </w:r>
                </w:p>
              </w:tc>
              <w:tc>
                <w:tcPr>
                  <w:tcW w:w="1140"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073"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140mg/L</w:t>
                  </w:r>
                </w:p>
              </w:tc>
              <w:tc>
                <w:tcPr>
                  <w:tcW w:w="671"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834"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62"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17"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氨氮</w:t>
                  </w:r>
                </w:p>
              </w:tc>
              <w:tc>
                <w:tcPr>
                  <w:tcW w:w="1140"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073"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12mg/L</w:t>
                  </w:r>
                </w:p>
              </w:tc>
              <w:tc>
                <w:tcPr>
                  <w:tcW w:w="671"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834"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62"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17"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sz w:val="21"/>
                      <w:szCs w:val="21"/>
                      <w:u w:val="none" w:color="auto"/>
                      <w:lang w:eastAsia="zh-CN"/>
                    </w:rPr>
                    <w:t>动植物油</w:t>
                  </w:r>
                </w:p>
              </w:tc>
              <w:tc>
                <w:tcPr>
                  <w:tcW w:w="1140"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073"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0.5mg/L</w:t>
                  </w:r>
                </w:p>
              </w:tc>
              <w:tc>
                <w:tcPr>
                  <w:tcW w:w="671"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834"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62" w:type="pct"/>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17"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废水量</w:t>
                  </w:r>
                </w:p>
              </w:tc>
              <w:tc>
                <w:tcPr>
                  <w:tcW w:w="1140"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吨/吨-产品</w:t>
                  </w:r>
                </w:p>
              </w:tc>
              <w:tc>
                <w:tcPr>
                  <w:tcW w:w="1073"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5.5</w:t>
                  </w:r>
                </w:p>
              </w:tc>
              <w:tc>
                <w:tcPr>
                  <w:tcW w:w="671"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834" w:type="pc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0</w:t>
                  </w:r>
                </w:p>
              </w:tc>
            </w:tr>
          </w:tbl>
          <w:p>
            <w:pPr>
              <w:spacing w:line="360" w:lineRule="auto"/>
              <w:jc w:val="center"/>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表4.2-2  项目米粉生产线废水污染物产生</w:t>
            </w:r>
            <w:r>
              <w:rPr>
                <w:rFonts w:hint="default" w:ascii="Times New Roman" w:hAnsi="Times New Roman" w:cs="Times New Roman"/>
                <w:b/>
                <w:bCs/>
                <w:color w:val="auto"/>
                <w:sz w:val="21"/>
                <w:szCs w:val="21"/>
                <w:highlight w:val="none"/>
                <w:u w:val="none" w:color="auto"/>
                <w:lang w:val="en-US" w:eastAsia="zh-CN"/>
              </w:rPr>
              <w:t>情况表</w:t>
            </w:r>
          </w:p>
          <w:tbl>
            <w:tblPr>
              <w:tblStyle w:val="29"/>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861"/>
              <w:gridCol w:w="1165"/>
              <w:gridCol w:w="977"/>
              <w:gridCol w:w="861"/>
              <w:gridCol w:w="1044"/>
              <w:gridCol w:w="865"/>
              <w:gridCol w:w="86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465" w:type="pct"/>
                  <w:vMerge w:val="restar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湿米粉</w:t>
                  </w:r>
                  <w:r>
                    <w:rPr>
                      <w:rFonts w:hint="eastAsia" w:cs="Times New Roman"/>
                      <w:color w:val="auto"/>
                      <w:sz w:val="21"/>
                      <w:szCs w:val="21"/>
                      <w:u w:val="none" w:color="auto"/>
                      <w:vertAlign w:val="baseline"/>
                      <w:lang w:val="en-US" w:eastAsia="zh-CN"/>
                    </w:rPr>
                    <w:t>1800t</w:t>
                  </w:r>
                  <w:r>
                    <w:rPr>
                      <w:rFonts w:hint="default" w:ascii="Times New Roman" w:hAnsi="Times New Roman" w:cs="Times New Roman"/>
                      <w:color w:val="auto"/>
                      <w:sz w:val="21"/>
                      <w:szCs w:val="21"/>
                      <w:u w:val="none" w:color="auto"/>
                      <w:vertAlign w:val="baseline"/>
                      <w:lang w:val="en-US" w:eastAsia="zh-CN"/>
                    </w:rPr>
                    <w:t>/a）</w:t>
                  </w: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污染物指标</w:t>
                  </w:r>
                </w:p>
              </w:tc>
              <w:tc>
                <w:tcPr>
                  <w:tcW w:w="70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污染物产生量（t/a）</w:t>
                  </w:r>
                </w:p>
              </w:tc>
              <w:tc>
                <w:tcPr>
                  <w:tcW w:w="59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产生浓度（mg/L）</w:t>
                  </w: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厂区处理措施</w:t>
                  </w:r>
                </w:p>
              </w:tc>
              <w:tc>
                <w:tcPr>
                  <w:tcW w:w="63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排放浓度（mg/L）</w:t>
                  </w:r>
                </w:p>
              </w:tc>
              <w:tc>
                <w:tcPr>
                  <w:tcW w:w="522"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排放量（t/a）</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排放标准</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vertAlign w:val="baseline"/>
                      <w:lang w:val="en-US" w:eastAsia="zh-CN"/>
                    </w:rPr>
                  </w:pPr>
                  <w:r>
                    <w:rPr>
                      <w:rFonts w:hint="eastAsia" w:cs="Times New Roman"/>
                      <w:b/>
                      <w:bCs/>
                      <w:color w:val="auto"/>
                      <w:sz w:val="21"/>
                      <w:szCs w:val="21"/>
                      <w:u w:val="none" w:color="auto"/>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465"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化学需氧量</w:t>
                  </w:r>
                </w:p>
              </w:tc>
              <w:tc>
                <w:tcPr>
                  <w:tcW w:w="703"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16.335</w:t>
                  </w:r>
                </w:p>
              </w:tc>
              <w:tc>
                <w:tcPr>
                  <w:tcW w:w="59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u w:val="none" w:color="auto"/>
                      <w:lang w:val="en-US" w:eastAsia="zh-CN"/>
                    </w:rPr>
                  </w:pPr>
                  <w:r>
                    <w:rPr>
                      <w:rFonts w:hint="default" w:ascii="Times New Roman" w:hAnsi="Times New Roman" w:cs="Times New Roman"/>
                      <w:color w:val="auto"/>
                      <w:sz w:val="21"/>
                      <w:szCs w:val="21"/>
                      <w:highlight w:val="none"/>
                      <w:u w:val="none" w:color="auto"/>
                      <w:vertAlign w:val="baseline"/>
                      <w:lang w:val="en-US" w:eastAsia="zh-CN"/>
                    </w:rPr>
                    <w:t>1650</w:t>
                  </w:r>
                </w:p>
              </w:tc>
              <w:tc>
                <w:tcPr>
                  <w:tcW w:w="520" w:type="pct"/>
                  <w:vMerge w:val="restar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混凝沉淀+SBR法</w:t>
                  </w:r>
                </w:p>
              </w:tc>
              <w:tc>
                <w:tcPr>
                  <w:tcW w:w="630" w:type="pct"/>
                  <w:tcBorders>
                    <w:tl2br w:val="nil"/>
                    <w:tr2bl w:val="nil"/>
                  </w:tcBorders>
                  <w:vAlign w:val="center"/>
                </w:tcPr>
                <w:p>
                  <w:pPr>
                    <w:pStyle w:val="39"/>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132</w:t>
                  </w:r>
                </w:p>
              </w:tc>
              <w:tc>
                <w:tcPr>
                  <w:tcW w:w="522"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1.3068</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150</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BOD</w:t>
                  </w:r>
                  <w:r>
                    <w:rPr>
                      <w:rFonts w:hint="default" w:ascii="Times New Roman" w:hAnsi="Times New Roman" w:cs="Times New Roman"/>
                      <w:color w:val="auto"/>
                      <w:sz w:val="21"/>
                      <w:szCs w:val="21"/>
                      <w:u w:val="none" w:color="auto"/>
                      <w:vertAlign w:val="subscript"/>
                      <w:lang w:val="en-US" w:eastAsia="zh-CN"/>
                    </w:rPr>
                    <w:t>5</w:t>
                  </w:r>
                </w:p>
              </w:tc>
              <w:tc>
                <w:tcPr>
                  <w:tcW w:w="703"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5.841</w:t>
                  </w:r>
                </w:p>
              </w:tc>
              <w:tc>
                <w:tcPr>
                  <w:tcW w:w="59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u w:val="none" w:color="auto"/>
                      <w:lang w:val="en-US" w:eastAsia="zh-CN"/>
                    </w:rPr>
                  </w:pPr>
                  <w:r>
                    <w:rPr>
                      <w:rFonts w:hint="default" w:ascii="Times New Roman" w:hAnsi="Times New Roman" w:cs="Times New Roman"/>
                      <w:color w:val="auto"/>
                      <w:sz w:val="21"/>
                      <w:szCs w:val="21"/>
                      <w:u w:val="none" w:color="auto"/>
                      <w:vertAlign w:val="baseline"/>
                      <w:lang w:val="en-US" w:eastAsia="zh-CN"/>
                    </w:rPr>
                    <w:t>590</w:t>
                  </w:r>
                </w:p>
              </w:tc>
              <w:tc>
                <w:tcPr>
                  <w:tcW w:w="520"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30" w:type="pct"/>
                  <w:tcBorders>
                    <w:tl2br w:val="nil"/>
                    <w:tr2bl w:val="nil"/>
                  </w:tcBorders>
                  <w:vAlign w:val="center"/>
                </w:tcPr>
                <w:p>
                  <w:pPr>
                    <w:pStyle w:val="39"/>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59</w:t>
                  </w:r>
                </w:p>
              </w:tc>
              <w:tc>
                <w:tcPr>
                  <w:tcW w:w="522"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0.5841</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60</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SS</w:t>
                  </w:r>
                </w:p>
              </w:tc>
              <w:tc>
                <w:tcPr>
                  <w:tcW w:w="703"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1.386</w:t>
                  </w:r>
                </w:p>
              </w:tc>
              <w:tc>
                <w:tcPr>
                  <w:tcW w:w="59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u w:val="none" w:color="auto"/>
                      <w:lang w:val="en-US" w:eastAsia="zh-CN"/>
                    </w:rPr>
                  </w:pPr>
                  <w:r>
                    <w:rPr>
                      <w:rFonts w:hint="default" w:ascii="Times New Roman" w:hAnsi="Times New Roman" w:cs="Times New Roman"/>
                      <w:color w:val="auto"/>
                      <w:sz w:val="21"/>
                      <w:szCs w:val="21"/>
                      <w:u w:val="none" w:color="auto"/>
                      <w:vertAlign w:val="baseline"/>
                      <w:lang w:val="en-US" w:eastAsia="zh-CN"/>
                    </w:rPr>
                    <w:t>140</w:t>
                  </w:r>
                </w:p>
              </w:tc>
              <w:tc>
                <w:tcPr>
                  <w:tcW w:w="520"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30" w:type="pct"/>
                  <w:tcBorders>
                    <w:tl2br w:val="nil"/>
                    <w:tr2bl w:val="nil"/>
                  </w:tcBorders>
                  <w:vAlign w:val="center"/>
                </w:tcPr>
                <w:p>
                  <w:pPr>
                    <w:pStyle w:val="39"/>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49</w:t>
                  </w:r>
                </w:p>
              </w:tc>
              <w:tc>
                <w:tcPr>
                  <w:tcW w:w="522"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0.4851</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80</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氨氮</w:t>
                  </w:r>
                </w:p>
              </w:tc>
              <w:tc>
                <w:tcPr>
                  <w:tcW w:w="703"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0.1188</w:t>
                  </w:r>
                </w:p>
              </w:tc>
              <w:tc>
                <w:tcPr>
                  <w:tcW w:w="59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12</w:t>
                  </w:r>
                </w:p>
              </w:tc>
              <w:tc>
                <w:tcPr>
                  <w:tcW w:w="520"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30" w:type="pct"/>
                  <w:tcBorders>
                    <w:tl2br w:val="nil"/>
                    <w:tr2bl w:val="nil"/>
                  </w:tcBorders>
                  <w:vAlign w:val="center"/>
                </w:tcPr>
                <w:p>
                  <w:pPr>
                    <w:pStyle w:val="39"/>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1.92</w:t>
                  </w:r>
                </w:p>
              </w:tc>
              <w:tc>
                <w:tcPr>
                  <w:tcW w:w="522"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0.019008</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10</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65"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sz w:val="21"/>
                      <w:szCs w:val="21"/>
                      <w:u w:val="none" w:color="auto"/>
                      <w:lang w:eastAsia="zh-CN"/>
                    </w:rPr>
                    <w:t>动植物油</w:t>
                  </w:r>
                </w:p>
              </w:tc>
              <w:tc>
                <w:tcPr>
                  <w:tcW w:w="703"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0.00495</w:t>
                  </w:r>
                </w:p>
              </w:tc>
              <w:tc>
                <w:tcPr>
                  <w:tcW w:w="59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0.5</w:t>
                  </w:r>
                </w:p>
              </w:tc>
              <w:tc>
                <w:tcPr>
                  <w:tcW w:w="520"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30" w:type="pct"/>
                  <w:tcBorders>
                    <w:tl2br w:val="nil"/>
                    <w:tr2bl w:val="nil"/>
                  </w:tcBorders>
                  <w:vAlign w:val="center"/>
                </w:tcPr>
                <w:p>
                  <w:pPr>
                    <w:pStyle w:val="39"/>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0.25</w:t>
                  </w:r>
                </w:p>
              </w:tc>
              <w:tc>
                <w:tcPr>
                  <w:tcW w:w="522" w:type="pct"/>
                  <w:tcBorders>
                    <w:tl2br w:val="nil"/>
                    <w:tr2bl w:val="nil"/>
                  </w:tcBorders>
                  <w:vAlign w:val="center"/>
                </w:tcPr>
                <w:p>
                  <w:pPr>
                    <w:keepNext w:val="0"/>
                    <w:keepLines w:val="0"/>
                    <w:widowControl w:val="0"/>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0.002475</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15</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65" w:type="pct"/>
                  <w:vMerge w:val="continue"/>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废水量</w:t>
                  </w:r>
                </w:p>
              </w:tc>
              <w:tc>
                <w:tcPr>
                  <w:tcW w:w="70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9900</w:t>
                  </w:r>
                </w:p>
              </w:tc>
              <w:tc>
                <w:tcPr>
                  <w:tcW w:w="59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52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630"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522"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9900</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523"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r>
          </w:tbl>
          <w:p>
            <w:pPr>
              <w:ind w:firstLine="480"/>
              <w:rPr>
                <w:rFonts w:hint="default" w:ascii="Times New Roman" w:hAnsi="Times New Roman" w:eastAsia="宋体" w:cs="Times New Roman"/>
                <w:color w:val="auto"/>
                <w:u w:val="none" w:color="auto"/>
                <w:lang w:val="en-US"/>
              </w:rPr>
            </w:pPr>
            <w:r>
              <w:rPr>
                <w:rFonts w:hint="default" w:ascii="Times New Roman" w:hAnsi="Times New Roman" w:cs="Times New Roman"/>
                <w:color w:val="auto"/>
                <w:u w:val="none" w:color="auto"/>
                <w:lang w:val="en-US"/>
              </w:rPr>
              <w:t>项目生产废水经过自建污水处理站处理（采用</w:t>
            </w:r>
            <w:r>
              <w:rPr>
                <w:rFonts w:hint="default" w:ascii="Times New Roman" w:hAnsi="Times New Roman" w:cs="Times New Roman"/>
                <w:color w:val="auto"/>
                <w:u w:val="none" w:color="auto"/>
                <w:lang w:val="en-US" w:eastAsia="zh-CN"/>
              </w:rPr>
              <w:t>SBR</w:t>
            </w:r>
            <w:r>
              <w:rPr>
                <w:rFonts w:hint="default" w:ascii="Times New Roman" w:hAnsi="Times New Roman" w:cs="Times New Roman"/>
                <w:color w:val="auto"/>
                <w:u w:val="none" w:color="auto"/>
                <w:lang w:val="en-US"/>
              </w:rPr>
              <w:t>法工艺）达到</w:t>
            </w:r>
            <w:r>
              <w:rPr>
                <w:rFonts w:hint="default" w:ascii="Times New Roman" w:hAnsi="Times New Roman" w:cs="Times New Roman"/>
                <w:u w:val="none" w:color="auto"/>
                <w:lang w:eastAsia="zh-CN"/>
              </w:rPr>
              <w:t>《农田灌溉水质标准》（GB5084-</w:t>
            </w:r>
            <w:r>
              <w:rPr>
                <w:rFonts w:hint="default" w:ascii="Times New Roman" w:hAnsi="Times New Roman" w:cs="Times New Roman"/>
                <w:u w:val="none" w:color="auto"/>
                <w:lang w:val="en-US" w:eastAsia="zh-CN"/>
              </w:rPr>
              <w:t>2021</w:t>
            </w:r>
            <w:r>
              <w:rPr>
                <w:rFonts w:hint="default" w:ascii="Times New Roman" w:hAnsi="Times New Roman" w:cs="Times New Roman"/>
                <w:u w:val="none" w:color="auto"/>
                <w:lang w:eastAsia="zh-CN"/>
              </w:rPr>
              <w:t>）中的</w:t>
            </w:r>
            <w:r>
              <w:rPr>
                <w:rFonts w:hint="default" w:ascii="Times New Roman" w:hAnsi="Times New Roman" w:cs="Times New Roman"/>
                <w:u w:val="none" w:color="auto"/>
                <w:lang w:val="en-US" w:eastAsia="zh-CN"/>
              </w:rPr>
              <w:t>水田</w:t>
            </w:r>
            <w:r>
              <w:rPr>
                <w:rFonts w:hint="default" w:ascii="Times New Roman" w:hAnsi="Times New Roman" w:cs="Times New Roman"/>
                <w:u w:val="none" w:color="auto"/>
                <w:lang w:eastAsia="zh-CN"/>
              </w:rPr>
              <w:t>标准后</w:t>
            </w:r>
            <w:r>
              <w:rPr>
                <w:rFonts w:hint="default" w:ascii="Times New Roman" w:hAnsi="Times New Roman" w:cs="Times New Roman"/>
                <w:u w:val="none" w:color="auto"/>
              </w:rPr>
              <w:t>用于</w:t>
            </w:r>
            <w:r>
              <w:rPr>
                <w:rFonts w:hint="default" w:ascii="Times New Roman" w:hAnsi="Times New Roman" w:cs="Times New Roman"/>
                <w:highlight w:val="none"/>
                <w:u w:val="none" w:color="auto"/>
                <w:lang w:val="en-US" w:eastAsia="zh-CN"/>
              </w:rPr>
              <w:t>水田、</w:t>
            </w:r>
            <w:r>
              <w:rPr>
                <w:rFonts w:hint="default" w:ascii="Times New Roman" w:hAnsi="Times New Roman" w:cs="Times New Roman"/>
                <w:highlight w:val="none"/>
                <w:u w:val="none" w:color="auto"/>
                <w:lang w:eastAsia="zh-CN"/>
              </w:rPr>
              <w:t>旱地</w:t>
            </w:r>
            <w:r>
              <w:rPr>
                <w:rFonts w:hint="default" w:ascii="Times New Roman" w:hAnsi="Times New Roman" w:cs="Times New Roman"/>
                <w:highlight w:val="none"/>
                <w:u w:val="none" w:color="auto"/>
                <w:lang w:val="en-US" w:eastAsia="zh-CN"/>
              </w:rPr>
              <w:t>的灌溉</w:t>
            </w:r>
            <w:r>
              <w:rPr>
                <w:rFonts w:hint="default" w:ascii="Times New Roman" w:hAnsi="Times New Roman" w:cs="Times New Roman"/>
                <w:highlight w:val="none"/>
                <w:u w:val="none" w:color="auto"/>
              </w:rPr>
              <w:t>，不</w:t>
            </w:r>
            <w:r>
              <w:rPr>
                <w:rFonts w:hint="default" w:ascii="Times New Roman" w:hAnsi="Times New Roman" w:cs="Times New Roman"/>
                <w:u w:val="none" w:color="auto"/>
              </w:rPr>
              <w:t>外排</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lang w:val="en-US" w:eastAsia="zh-CN"/>
              </w:rPr>
              <w:t>其中《农田灌溉水质标准》（GB5084-2021）无氨氮、动植物油相关标准限值，本环评参照《污水综合排放标准》（GB8978-1996）中一级标准限值</w:t>
            </w:r>
            <w:r>
              <w:rPr>
                <w:rFonts w:hint="default" w:ascii="Times New Roman" w:hAnsi="Times New Roman" w:cs="Times New Roman"/>
                <w:highlight w:val="none"/>
                <w:u w:val="none" w:color="auto"/>
                <w:lang w:eastAsia="zh-CN"/>
              </w:rPr>
              <w:t>。</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②</w:t>
            </w:r>
            <w:r>
              <w:rPr>
                <w:rFonts w:hint="default" w:ascii="Times New Roman" w:hAnsi="Times New Roman" w:cs="Times New Roman"/>
                <w:color w:val="auto"/>
                <w:u w:val="none" w:color="auto"/>
                <w:lang w:val="en-US"/>
              </w:rPr>
              <w:t>生活污水</w:t>
            </w:r>
          </w:p>
          <w:p>
            <w:pPr>
              <w:ind w:firstLine="480"/>
              <w:rPr>
                <w:rFonts w:hint="default" w:ascii="Times New Roman" w:hAnsi="Times New Roman" w:eastAsia="宋体" w:cs="Times New Roman"/>
                <w:b/>
                <w:bCs/>
                <w:color w:val="auto"/>
                <w:kern w:val="28"/>
                <w:sz w:val="21"/>
                <w:szCs w:val="21"/>
                <w:u w:val="none" w:color="auto"/>
                <w:lang w:eastAsia="zh-CN"/>
              </w:rPr>
            </w:pPr>
            <w:r>
              <w:rPr>
                <w:rFonts w:hint="default" w:ascii="Times New Roman" w:hAnsi="Times New Roman" w:cs="Times New Roman"/>
                <w:color w:val="auto"/>
                <w:u w:val="none" w:color="auto"/>
                <w:lang w:val="en-US"/>
              </w:rPr>
              <w:t>项目生活污水各污染物产生浓度分别为CODcr：350mg/L、BOD</w:t>
            </w:r>
            <w:r>
              <w:rPr>
                <w:rFonts w:hint="default" w:ascii="Times New Roman" w:hAnsi="Times New Roman" w:cs="Times New Roman"/>
                <w:color w:val="auto"/>
                <w:u w:val="none" w:color="auto"/>
                <w:vertAlign w:val="subscript"/>
                <w:lang w:val="en-US"/>
              </w:rPr>
              <w:t>5</w:t>
            </w:r>
            <w:r>
              <w:rPr>
                <w:rFonts w:hint="default" w:ascii="Times New Roman" w:hAnsi="Times New Roman" w:cs="Times New Roman"/>
                <w:color w:val="auto"/>
                <w:u w:val="none" w:color="auto"/>
                <w:lang w:val="en-US"/>
              </w:rPr>
              <w:t>：200mg/L、SS：200mg/L、氨氮：50mg/L、动植物油3</w:t>
            </w:r>
            <w:r>
              <w:rPr>
                <w:rFonts w:hint="eastAsia" w:cs="Times New Roman"/>
                <w:color w:val="auto"/>
                <w:u w:val="none" w:color="auto"/>
                <w:lang w:val="en-US" w:eastAsia="zh-CN"/>
              </w:rPr>
              <w:t>0</w:t>
            </w:r>
            <w:r>
              <w:rPr>
                <w:rFonts w:hint="default" w:ascii="Times New Roman" w:hAnsi="Times New Roman" w:cs="Times New Roman"/>
                <w:color w:val="auto"/>
                <w:u w:val="none" w:color="auto"/>
                <w:lang w:val="en-US"/>
              </w:rPr>
              <w:t>mg/L</w:t>
            </w:r>
            <w:r>
              <w:rPr>
                <w:rFonts w:hint="default" w:ascii="Times New Roman" w:hAnsi="Times New Roman" w:cs="Times New Roman"/>
                <w:highlight w:val="none"/>
                <w:u w:val="none" w:color="auto"/>
                <w:lang w:eastAsia="zh-CN"/>
              </w:rPr>
              <w:t>。</w:t>
            </w:r>
          </w:p>
          <w:p>
            <w:pPr>
              <w:pStyle w:val="34"/>
              <w:spacing w:line="360" w:lineRule="auto"/>
              <w:jc w:val="center"/>
              <w:rPr>
                <w:rFonts w:hint="default" w:ascii="Times New Roman" w:hAnsi="Times New Roman" w:eastAsia="宋体" w:cs="Times New Roman"/>
                <w:b/>
                <w:bCs/>
                <w:color w:val="auto"/>
                <w:kern w:val="28"/>
                <w:sz w:val="21"/>
                <w:szCs w:val="21"/>
                <w:u w:val="none" w:color="auto"/>
              </w:rPr>
            </w:pPr>
            <w:r>
              <w:rPr>
                <w:rFonts w:hint="default" w:ascii="Times New Roman" w:hAnsi="Times New Roman" w:eastAsia="宋体" w:cs="Times New Roman"/>
                <w:b/>
                <w:bCs/>
                <w:color w:val="auto"/>
                <w:kern w:val="28"/>
                <w:sz w:val="21"/>
                <w:szCs w:val="21"/>
                <w:u w:val="none" w:color="auto"/>
              </w:rPr>
              <w:t>表4</w:t>
            </w:r>
            <w:r>
              <w:rPr>
                <w:rFonts w:hint="default" w:ascii="Times New Roman" w:hAnsi="Times New Roman" w:eastAsia="宋体" w:cs="Times New Roman"/>
                <w:b/>
                <w:bCs/>
                <w:color w:val="auto"/>
                <w:kern w:val="28"/>
                <w:sz w:val="21"/>
                <w:szCs w:val="21"/>
                <w:u w:val="none" w:color="auto"/>
                <w:lang w:val="en-US" w:eastAsia="zh-CN"/>
              </w:rPr>
              <w:t>.2</w:t>
            </w:r>
            <w:r>
              <w:rPr>
                <w:rFonts w:hint="default" w:ascii="Times New Roman" w:hAnsi="Times New Roman" w:eastAsia="宋体" w:cs="Times New Roman"/>
                <w:b/>
                <w:bCs/>
                <w:color w:val="auto"/>
                <w:kern w:val="28"/>
                <w:sz w:val="21"/>
                <w:szCs w:val="21"/>
                <w:u w:val="none" w:color="auto"/>
              </w:rPr>
              <w:t>-</w:t>
            </w:r>
            <w:r>
              <w:rPr>
                <w:rFonts w:hint="eastAsia" w:ascii="Times New Roman" w:hAnsi="Times New Roman" w:eastAsia="宋体" w:cs="Times New Roman"/>
                <w:b/>
                <w:bCs/>
                <w:color w:val="auto"/>
                <w:kern w:val="28"/>
                <w:sz w:val="21"/>
                <w:szCs w:val="21"/>
                <w:u w:val="none" w:color="auto"/>
                <w:lang w:val="en-US" w:eastAsia="zh-CN"/>
              </w:rPr>
              <w:t>3</w:t>
            </w:r>
            <w:r>
              <w:rPr>
                <w:rFonts w:hint="default" w:ascii="Times New Roman" w:hAnsi="Times New Roman" w:eastAsia="宋体" w:cs="Times New Roman"/>
                <w:b/>
                <w:bCs/>
                <w:color w:val="auto"/>
                <w:kern w:val="28"/>
                <w:sz w:val="21"/>
                <w:szCs w:val="21"/>
                <w:u w:val="none" w:color="auto"/>
              </w:rPr>
              <w:t>：生活污水主要污染物产排污情况</w:t>
            </w:r>
          </w:p>
          <w:tbl>
            <w:tblPr>
              <w:tblStyle w:val="28"/>
              <w:tblW w:w="0" w:type="auto"/>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230"/>
              <w:gridCol w:w="1324"/>
              <w:gridCol w:w="1241"/>
              <w:gridCol w:w="1731"/>
              <w:gridCol w:w="1311"/>
            </w:tblGrid>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vMerge w:val="restart"/>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污染物</w:t>
                  </w:r>
                </w:p>
              </w:tc>
              <w:tc>
                <w:tcPr>
                  <w:tcW w:w="2554"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产生情况</w:t>
                  </w:r>
                </w:p>
              </w:tc>
              <w:tc>
                <w:tcPr>
                  <w:tcW w:w="1241" w:type="dxa"/>
                  <w:vMerge w:val="restart"/>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消减量(t/a)</w:t>
                  </w:r>
                </w:p>
              </w:tc>
              <w:tc>
                <w:tcPr>
                  <w:tcW w:w="3042"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排放情况</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321" w:type="dxa"/>
                  <w:vMerge w:val="continue"/>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产生浓度(mg/L)</w:t>
                  </w:r>
                </w:p>
              </w:tc>
              <w:tc>
                <w:tcPr>
                  <w:tcW w:w="1324"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产生量(t/a)</w:t>
                  </w:r>
                </w:p>
              </w:tc>
              <w:tc>
                <w:tcPr>
                  <w:tcW w:w="1241" w:type="dxa"/>
                  <w:vMerge w:val="continue"/>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p>
              </w:tc>
              <w:tc>
                <w:tcPr>
                  <w:tcW w:w="173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排放浓度(mg/L)</w:t>
                  </w:r>
                </w:p>
              </w:tc>
              <w:tc>
                <w:tcPr>
                  <w:tcW w:w="131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排放量(t/a)</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污水量</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w:t>
                  </w:r>
                </w:p>
              </w:tc>
              <w:tc>
                <w:tcPr>
                  <w:tcW w:w="1324"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default" w:ascii="Times New Roman" w:hAnsi="Times New Roman" w:eastAsia="宋体" w:cs="Times New Roman"/>
                      <w:b w:val="0"/>
                      <w:bCs/>
                      <w:kern w:val="21"/>
                      <w:sz w:val="21"/>
                      <w:szCs w:val="21"/>
                      <w:u w:val="none" w:color="auto"/>
                      <w:lang w:val="en-US" w:eastAsia="zh-CN"/>
                    </w:rPr>
                    <w:t>342</w:t>
                  </w:r>
                </w:p>
              </w:tc>
              <w:tc>
                <w:tcPr>
                  <w:tcW w:w="124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w:t>
                  </w:r>
                </w:p>
              </w:tc>
              <w:tc>
                <w:tcPr>
                  <w:tcW w:w="173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w:t>
                  </w:r>
                </w:p>
              </w:tc>
              <w:tc>
                <w:tcPr>
                  <w:tcW w:w="131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default" w:ascii="Times New Roman" w:hAnsi="Times New Roman" w:eastAsia="宋体" w:cs="Times New Roman"/>
                      <w:b w:val="0"/>
                      <w:bCs/>
                      <w:kern w:val="21"/>
                      <w:sz w:val="21"/>
                      <w:szCs w:val="21"/>
                      <w:u w:val="none" w:color="auto"/>
                      <w:lang w:val="en-US" w:eastAsia="zh-CN"/>
                    </w:rPr>
                    <w:t>342</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COD</w:t>
                  </w:r>
                  <w:r>
                    <w:rPr>
                      <w:rFonts w:hint="default" w:ascii="Times New Roman" w:hAnsi="Times New Roman" w:eastAsia="宋体" w:cs="Times New Roman"/>
                      <w:b w:val="0"/>
                      <w:bCs/>
                      <w:kern w:val="21"/>
                      <w:sz w:val="21"/>
                      <w:szCs w:val="21"/>
                      <w:u w:val="none" w:color="auto"/>
                      <w:vertAlign w:val="subscript"/>
                    </w:rPr>
                    <w:t>Cr</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default" w:ascii="Times New Roman" w:hAnsi="Times New Roman" w:eastAsia="宋体" w:cs="Times New Roman"/>
                      <w:b w:val="0"/>
                      <w:bCs/>
                      <w:kern w:val="21"/>
                      <w:sz w:val="21"/>
                      <w:szCs w:val="21"/>
                      <w:u w:val="none" w:color="auto"/>
                      <w:lang w:val="en-US" w:eastAsia="zh-CN"/>
                    </w:rPr>
                    <w:t>350</w:t>
                  </w:r>
                </w:p>
              </w:tc>
              <w:tc>
                <w:tcPr>
                  <w:tcW w:w="1324"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0.1197</w:t>
                  </w:r>
                </w:p>
              </w:tc>
              <w:tc>
                <w:tcPr>
                  <w:tcW w:w="1241" w:type="dxa"/>
                  <w:tcBorders>
                    <w:tl2br w:val="nil"/>
                    <w:tr2bl w:val="nil"/>
                  </w:tcBorders>
                  <w:noWrap w:val="0"/>
                  <w:vAlign w:val="center"/>
                </w:tcPr>
                <w:p>
                  <w:pPr>
                    <w:pStyle w:val="39"/>
                    <w:bidi w:val="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0.110124</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28</w:t>
                  </w:r>
                </w:p>
              </w:tc>
              <w:tc>
                <w:tcPr>
                  <w:tcW w:w="1311" w:type="dxa"/>
                  <w:tcBorders>
                    <w:tl2br w:val="nil"/>
                    <w:tr2bl w:val="nil"/>
                  </w:tcBorders>
                  <w:noWrap w:val="0"/>
                  <w:vAlign w:val="center"/>
                </w:tcPr>
                <w:p>
                  <w:pPr>
                    <w:pStyle w:val="39"/>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0.009576</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BOD</w:t>
                  </w:r>
                  <w:r>
                    <w:rPr>
                      <w:rFonts w:hint="default" w:ascii="Times New Roman" w:hAnsi="Times New Roman" w:eastAsia="宋体" w:cs="Times New Roman"/>
                      <w:b w:val="0"/>
                      <w:bCs/>
                      <w:kern w:val="21"/>
                      <w:sz w:val="21"/>
                      <w:szCs w:val="21"/>
                      <w:u w:val="none" w:color="auto"/>
                      <w:vertAlign w:val="subscript"/>
                    </w:rPr>
                    <w:t>5</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default" w:ascii="Times New Roman" w:hAnsi="Times New Roman" w:eastAsia="宋体" w:cs="Times New Roman"/>
                      <w:b w:val="0"/>
                      <w:bCs/>
                      <w:kern w:val="21"/>
                      <w:sz w:val="21"/>
                      <w:szCs w:val="21"/>
                      <w:u w:val="none" w:color="auto"/>
                      <w:lang w:val="en-US" w:eastAsia="zh-CN"/>
                    </w:rPr>
                    <w:t>200</w:t>
                  </w:r>
                </w:p>
              </w:tc>
              <w:tc>
                <w:tcPr>
                  <w:tcW w:w="1324"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0.0684</w:t>
                  </w:r>
                </w:p>
              </w:tc>
              <w:tc>
                <w:tcPr>
                  <w:tcW w:w="1241" w:type="dxa"/>
                  <w:tcBorders>
                    <w:tl2br w:val="nil"/>
                    <w:tr2bl w:val="nil"/>
                  </w:tcBorders>
                  <w:noWrap w:val="0"/>
                  <w:vAlign w:val="center"/>
                </w:tcPr>
                <w:p>
                  <w:pPr>
                    <w:pStyle w:val="39"/>
                    <w:bidi w:val="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0.06156</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20</w:t>
                  </w:r>
                </w:p>
              </w:tc>
              <w:tc>
                <w:tcPr>
                  <w:tcW w:w="1311" w:type="dxa"/>
                  <w:tcBorders>
                    <w:tl2br w:val="nil"/>
                    <w:tr2bl w:val="nil"/>
                  </w:tcBorders>
                  <w:noWrap w:val="0"/>
                  <w:vAlign w:val="center"/>
                </w:tcPr>
                <w:p>
                  <w:pPr>
                    <w:pStyle w:val="39"/>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0.00684</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SS</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default" w:ascii="Times New Roman" w:hAnsi="Times New Roman" w:eastAsia="宋体" w:cs="Times New Roman"/>
                      <w:b w:val="0"/>
                      <w:bCs/>
                      <w:kern w:val="21"/>
                      <w:sz w:val="21"/>
                      <w:szCs w:val="21"/>
                      <w:u w:val="none" w:color="auto"/>
                      <w:lang w:val="en-US" w:eastAsia="zh-CN"/>
                    </w:rPr>
                    <w:t>200</w:t>
                  </w:r>
                </w:p>
              </w:tc>
              <w:tc>
                <w:tcPr>
                  <w:tcW w:w="1324"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0.0684</w:t>
                  </w:r>
                </w:p>
              </w:tc>
              <w:tc>
                <w:tcPr>
                  <w:tcW w:w="1241" w:type="dxa"/>
                  <w:tcBorders>
                    <w:tl2br w:val="nil"/>
                    <w:tr2bl w:val="nil"/>
                  </w:tcBorders>
                  <w:noWrap w:val="0"/>
                  <w:vAlign w:val="center"/>
                </w:tcPr>
                <w:p>
                  <w:pPr>
                    <w:pStyle w:val="39"/>
                    <w:bidi w:val="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0.04446</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70</w:t>
                  </w:r>
                </w:p>
              </w:tc>
              <w:tc>
                <w:tcPr>
                  <w:tcW w:w="1311" w:type="dxa"/>
                  <w:tcBorders>
                    <w:tl2br w:val="nil"/>
                    <w:tr2bl w:val="nil"/>
                  </w:tcBorders>
                  <w:noWrap w:val="0"/>
                  <w:vAlign w:val="center"/>
                </w:tcPr>
                <w:p>
                  <w:pPr>
                    <w:pStyle w:val="39"/>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0.02394</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NH</w:t>
                  </w:r>
                  <w:r>
                    <w:rPr>
                      <w:rFonts w:hint="default" w:ascii="Times New Roman" w:hAnsi="Times New Roman" w:eastAsia="宋体" w:cs="Times New Roman"/>
                      <w:b w:val="0"/>
                      <w:bCs/>
                      <w:kern w:val="21"/>
                      <w:sz w:val="21"/>
                      <w:szCs w:val="21"/>
                      <w:u w:val="none" w:color="auto"/>
                      <w:vertAlign w:val="subscript"/>
                    </w:rPr>
                    <w:t>3</w:t>
                  </w:r>
                  <w:r>
                    <w:rPr>
                      <w:rFonts w:hint="default" w:ascii="Times New Roman" w:hAnsi="Times New Roman" w:eastAsia="宋体" w:cs="Times New Roman"/>
                      <w:b w:val="0"/>
                      <w:bCs/>
                      <w:kern w:val="21"/>
                      <w:sz w:val="21"/>
                      <w:szCs w:val="21"/>
                      <w:u w:val="none" w:color="auto"/>
                    </w:rPr>
                    <w:t>-N</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default" w:ascii="Times New Roman" w:hAnsi="Times New Roman" w:eastAsia="宋体" w:cs="Times New Roman"/>
                      <w:b w:val="0"/>
                      <w:bCs/>
                      <w:kern w:val="21"/>
                      <w:sz w:val="21"/>
                      <w:szCs w:val="21"/>
                      <w:u w:val="none" w:color="auto"/>
                      <w:lang w:val="en-US" w:eastAsia="zh-CN"/>
                    </w:rPr>
                    <w:t>50</w:t>
                  </w:r>
                </w:p>
              </w:tc>
              <w:tc>
                <w:tcPr>
                  <w:tcW w:w="1324"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0.0171</w:t>
                  </w:r>
                </w:p>
              </w:tc>
              <w:tc>
                <w:tcPr>
                  <w:tcW w:w="124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rPr>
                  </w:pPr>
                  <w:r>
                    <w:rPr>
                      <w:rFonts w:hint="default" w:ascii="Times New Roman" w:hAnsi="Times New Roman" w:cs="Times New Roman"/>
                      <w:sz w:val="21"/>
                      <w:szCs w:val="21"/>
                      <w:u w:val="none" w:color="auto"/>
                      <w:lang w:val="en-US" w:eastAsia="zh-CN"/>
                    </w:rPr>
                    <w:t>0.014364</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8</w:t>
                  </w:r>
                </w:p>
              </w:tc>
              <w:tc>
                <w:tcPr>
                  <w:tcW w:w="1311" w:type="dxa"/>
                  <w:tcBorders>
                    <w:tl2br w:val="nil"/>
                    <w:tr2bl w:val="nil"/>
                  </w:tcBorders>
                  <w:noWrap w:val="0"/>
                  <w:vAlign w:val="center"/>
                </w:tcPr>
                <w:p>
                  <w:pPr>
                    <w:pStyle w:val="39"/>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0.002736</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动植物油</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30</w:t>
                  </w:r>
                </w:p>
              </w:tc>
              <w:tc>
                <w:tcPr>
                  <w:tcW w:w="1324"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0.01026</w:t>
                  </w:r>
                </w:p>
              </w:tc>
              <w:tc>
                <w:tcPr>
                  <w:tcW w:w="1241" w:type="dxa"/>
                  <w:tcBorders>
                    <w:tl2br w:val="nil"/>
                    <w:tr2bl w:val="nil"/>
                  </w:tcBorders>
                  <w:noWrap w:val="0"/>
                  <w:vAlign w:val="center"/>
                </w:tcPr>
                <w:p>
                  <w:pPr>
                    <w:pStyle w:val="39"/>
                    <w:bidi w:val="0"/>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0.00513</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15</w:t>
                  </w:r>
                </w:p>
              </w:tc>
              <w:tc>
                <w:tcPr>
                  <w:tcW w:w="1311" w:type="dxa"/>
                  <w:tcBorders>
                    <w:tl2br w:val="nil"/>
                    <w:tr2bl w:val="nil"/>
                  </w:tcBorders>
                  <w:noWrap w:val="0"/>
                  <w:vAlign w:val="center"/>
                </w:tcPr>
                <w:p>
                  <w:pPr>
                    <w:pStyle w:val="39"/>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0.00513</w:t>
                  </w:r>
                </w:p>
              </w:tc>
            </w:tr>
          </w:tbl>
          <w:p>
            <w:pPr>
              <w:ind w:firstLine="480"/>
              <w:rPr>
                <w:rFonts w:hint="default" w:ascii="Times New Roman" w:hAnsi="Times New Roman" w:eastAsia="宋体" w:cs="Times New Roman"/>
                <w:color w:val="auto"/>
                <w:u w:val="none" w:color="auto"/>
                <w:lang w:val="en-US"/>
              </w:rPr>
            </w:pPr>
            <w:r>
              <w:rPr>
                <w:rFonts w:hint="default" w:ascii="Times New Roman" w:hAnsi="Times New Roman" w:cs="Times New Roman"/>
                <w:color w:val="auto"/>
                <w:u w:val="none" w:color="auto"/>
                <w:lang w:val="en-US"/>
              </w:rPr>
              <w:t>项目</w:t>
            </w:r>
            <w:r>
              <w:rPr>
                <w:rFonts w:hint="eastAsia" w:cs="Times New Roman"/>
                <w:color w:val="auto"/>
                <w:u w:val="none" w:color="auto"/>
                <w:lang w:val="en-US" w:eastAsia="zh-CN"/>
              </w:rPr>
              <w:t>生活</w:t>
            </w:r>
            <w:r>
              <w:rPr>
                <w:rFonts w:hint="default" w:ascii="Times New Roman" w:hAnsi="Times New Roman" w:cs="Times New Roman"/>
                <w:color w:val="auto"/>
                <w:u w:val="none" w:color="auto"/>
                <w:lang w:val="en-US"/>
              </w:rPr>
              <w:t>废水均经过自建污水处理站处理（采用</w:t>
            </w:r>
            <w:r>
              <w:rPr>
                <w:rFonts w:hint="default" w:ascii="Times New Roman" w:hAnsi="Times New Roman" w:cs="Times New Roman"/>
                <w:color w:val="auto"/>
                <w:u w:val="none" w:color="auto"/>
                <w:lang w:val="en-US" w:eastAsia="zh-CN"/>
              </w:rPr>
              <w:t>混凝沉淀+SBR法</w:t>
            </w:r>
            <w:r>
              <w:rPr>
                <w:rFonts w:hint="default" w:ascii="Times New Roman" w:hAnsi="Times New Roman" w:cs="Times New Roman"/>
                <w:color w:val="auto"/>
                <w:u w:val="none" w:color="auto"/>
                <w:lang w:val="en-US"/>
              </w:rPr>
              <w:t>工艺）达到</w:t>
            </w:r>
            <w:r>
              <w:rPr>
                <w:rFonts w:hint="default" w:ascii="Times New Roman" w:hAnsi="Times New Roman" w:cs="Times New Roman"/>
                <w:u w:val="none" w:color="auto"/>
                <w:lang w:eastAsia="zh-CN"/>
              </w:rPr>
              <w:t>《农田灌溉水质标准》（GB5084-</w:t>
            </w:r>
            <w:r>
              <w:rPr>
                <w:rFonts w:hint="default" w:ascii="Times New Roman" w:hAnsi="Times New Roman" w:cs="Times New Roman"/>
                <w:u w:val="none" w:color="auto"/>
                <w:lang w:val="en-US" w:eastAsia="zh-CN"/>
              </w:rPr>
              <w:t>2021</w:t>
            </w:r>
            <w:r>
              <w:rPr>
                <w:rFonts w:hint="default" w:ascii="Times New Roman" w:hAnsi="Times New Roman" w:cs="Times New Roman"/>
                <w:u w:val="none" w:color="auto"/>
                <w:lang w:eastAsia="zh-CN"/>
              </w:rPr>
              <w:t>）中的</w:t>
            </w:r>
            <w:r>
              <w:rPr>
                <w:rFonts w:hint="default" w:ascii="Times New Roman" w:hAnsi="Times New Roman" w:cs="Times New Roman"/>
                <w:u w:val="none" w:color="auto"/>
                <w:lang w:val="en-US" w:eastAsia="zh-CN"/>
              </w:rPr>
              <w:t>水田</w:t>
            </w:r>
            <w:r>
              <w:rPr>
                <w:rFonts w:hint="default" w:ascii="Times New Roman" w:hAnsi="Times New Roman" w:cs="Times New Roman"/>
                <w:u w:val="none" w:color="auto"/>
                <w:lang w:eastAsia="zh-CN"/>
              </w:rPr>
              <w:t>标准后</w:t>
            </w:r>
            <w:r>
              <w:rPr>
                <w:rFonts w:hint="default" w:ascii="Times New Roman" w:hAnsi="Times New Roman" w:cs="Times New Roman"/>
                <w:u w:val="none" w:color="auto"/>
              </w:rPr>
              <w:t>用于</w:t>
            </w:r>
            <w:r>
              <w:rPr>
                <w:rFonts w:hint="default" w:ascii="Times New Roman" w:hAnsi="Times New Roman" w:cs="Times New Roman"/>
                <w:highlight w:val="none"/>
                <w:u w:val="none" w:color="auto"/>
                <w:lang w:val="en-US" w:eastAsia="zh-CN"/>
              </w:rPr>
              <w:t>水田、</w:t>
            </w:r>
            <w:r>
              <w:rPr>
                <w:rFonts w:hint="default" w:ascii="Times New Roman" w:hAnsi="Times New Roman" w:cs="Times New Roman"/>
                <w:highlight w:val="none"/>
                <w:u w:val="none" w:color="auto"/>
                <w:lang w:eastAsia="zh-CN"/>
              </w:rPr>
              <w:t>旱地</w:t>
            </w:r>
            <w:r>
              <w:rPr>
                <w:rFonts w:hint="default" w:ascii="Times New Roman" w:hAnsi="Times New Roman" w:cs="Times New Roman"/>
                <w:highlight w:val="none"/>
                <w:u w:val="none" w:color="auto"/>
                <w:lang w:val="en-US" w:eastAsia="zh-CN"/>
              </w:rPr>
              <w:t>的灌溉</w:t>
            </w:r>
            <w:r>
              <w:rPr>
                <w:rFonts w:hint="default" w:ascii="Times New Roman" w:hAnsi="Times New Roman" w:cs="Times New Roman"/>
                <w:highlight w:val="none"/>
                <w:u w:val="none" w:color="auto"/>
              </w:rPr>
              <w:t>，不</w:t>
            </w:r>
            <w:r>
              <w:rPr>
                <w:rFonts w:hint="default" w:ascii="Times New Roman" w:hAnsi="Times New Roman" w:cs="Times New Roman"/>
                <w:u w:val="none" w:color="auto"/>
              </w:rPr>
              <w:t>外排</w:t>
            </w:r>
            <w:r>
              <w:rPr>
                <w:rFonts w:hint="default" w:ascii="Times New Roman" w:hAnsi="Times New Roman" w:cs="Times New Roman"/>
                <w:highlight w:val="none"/>
                <w:u w:val="none" w:color="auto"/>
                <w:lang w:eastAsia="zh-CN"/>
              </w:rPr>
              <w:t>。</w:t>
            </w:r>
          </w:p>
          <w:p>
            <w:pPr>
              <w:bidi w:val="0"/>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lang w:val="en-US" w:eastAsia="zh-CN"/>
              </w:rPr>
              <w:t>③</w:t>
            </w:r>
            <w:r>
              <w:rPr>
                <w:rFonts w:hint="default" w:ascii="Times New Roman" w:hAnsi="Times New Roman" w:cs="Times New Roman"/>
                <w:highlight w:val="none"/>
                <w:u w:val="none" w:color="auto"/>
                <w:lang w:eastAsia="zh-CN"/>
              </w:rPr>
              <w:t>检验室主要利用仪器检测产品</w:t>
            </w:r>
            <w:r>
              <w:rPr>
                <w:rFonts w:hint="default" w:ascii="Times New Roman" w:hAnsi="Times New Roman" w:cs="Times New Roman"/>
                <w:highlight w:val="none"/>
                <w:u w:val="none" w:color="auto"/>
                <w:lang w:val="en-US" w:eastAsia="zh-CN"/>
              </w:rPr>
              <w:t>的</w:t>
            </w:r>
            <w:r>
              <w:rPr>
                <w:rFonts w:hint="default" w:ascii="Times New Roman" w:hAnsi="Times New Roman" w:cs="Times New Roman"/>
                <w:highlight w:val="none"/>
                <w:u w:val="none" w:color="auto"/>
              </w:rPr>
              <w:t>感官、水分、酸碱度、微生物菌落总数、大肠菌群等指标</w:t>
            </w:r>
            <w:r>
              <w:rPr>
                <w:rFonts w:hint="eastAsia" w:cs="Times New Roman"/>
                <w:highlight w:val="none"/>
                <w:u w:val="none" w:color="auto"/>
                <w:lang w:eastAsia="zh-CN"/>
              </w:rPr>
              <w:t>，</w:t>
            </w:r>
            <w:r>
              <w:rPr>
                <w:rFonts w:hint="eastAsia" w:cs="Times New Roman"/>
                <w:highlight w:val="none"/>
                <w:u w:val="none" w:color="auto"/>
                <w:lang w:val="en-US" w:eastAsia="zh-CN"/>
              </w:rPr>
              <w:t>在仪器设备的清洗过程中可能会使用到少量的酸碱，不涉及重金属试剂的使用，因此</w:t>
            </w:r>
            <w:r>
              <w:rPr>
                <w:rFonts w:hint="default" w:ascii="Times New Roman" w:hAnsi="Times New Roman" w:cs="Times New Roman"/>
                <w:highlight w:val="none"/>
                <w:u w:val="none" w:color="auto"/>
                <w:lang w:val="en-US" w:eastAsia="zh-CN"/>
              </w:rPr>
              <w:t>检验室废水污染物类型简单，不含重金属等特殊离子，</w:t>
            </w:r>
            <w:r>
              <w:rPr>
                <w:rFonts w:hint="eastAsia" w:cs="Times New Roman"/>
                <w:highlight w:val="none"/>
                <w:u w:val="none" w:color="auto"/>
                <w:lang w:val="en-US" w:eastAsia="zh-CN"/>
              </w:rPr>
              <w:t>且产生量很小，清洗废水经收集桶收集后进行酸碱中和，再</w:t>
            </w:r>
            <w:r>
              <w:rPr>
                <w:rFonts w:hint="default" w:ascii="Times New Roman" w:hAnsi="Times New Roman" w:cs="Times New Roman"/>
                <w:highlight w:val="none"/>
                <w:u w:val="none" w:color="auto"/>
                <w:lang w:val="en-US" w:eastAsia="zh-CN"/>
              </w:rPr>
              <w:t>排进污水处理站统一处理。</w:t>
            </w:r>
          </w:p>
          <w:p>
            <w:pPr>
              <w:bidi w:val="0"/>
              <w:rPr>
                <w:rFonts w:hint="default" w:ascii="Times New Roman" w:hAnsi="Times New Roman" w:cs="Times New Roman"/>
                <w:u w:val="none" w:color="auto"/>
                <w:lang w:val="en-US" w:eastAsia="zh-CN"/>
              </w:rPr>
            </w:pPr>
            <w:r>
              <w:rPr>
                <w:rFonts w:hint="eastAsia" w:cs="Times New Roman"/>
                <w:u w:val="none" w:color="auto"/>
                <w:lang w:val="en-US" w:eastAsia="zh-CN"/>
              </w:rPr>
              <w:t>④</w:t>
            </w:r>
            <w:r>
              <w:rPr>
                <w:rFonts w:hint="default" w:ascii="Times New Roman" w:hAnsi="Times New Roman" w:cs="Times New Roman"/>
                <w:u w:val="none" w:color="auto"/>
                <w:lang w:val="en-US" w:eastAsia="zh-CN"/>
              </w:rPr>
              <w:t>锅炉废水</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A、清洗水（锅炉内排水）</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定期对锅炉进行清洗，约5天清洗一次，清洗用水0.1m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/次，厂区年工作时间为360天，全年清洗次数为72次，清洗废水合计7.2m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/a（0.02m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w:t>
            </w:r>
          </w:p>
          <w:p>
            <w:pPr>
              <w:pStyle w:val="9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B、浓水（锅炉外排水）</w:t>
            </w:r>
          </w:p>
          <w:p>
            <w:pPr>
              <w:bidi w:val="0"/>
              <w:rPr>
                <w:rFonts w:hint="default" w:ascii="Times New Roman" w:hAnsi="Times New Roman" w:cs="Times New Roman"/>
                <w:color w:val="auto"/>
                <w:u w:val="none" w:color="auto"/>
                <w:lang w:val="en-US" w:eastAsia="zh-CN"/>
              </w:rPr>
            </w:pPr>
            <w:r>
              <w:rPr>
                <w:rFonts w:hint="default" w:ascii="Times New Roman" w:hAnsi="Times New Roman" w:eastAsia="宋体" w:cs="Times New Roman"/>
                <w:u w:val="none" w:color="auto"/>
                <w:lang w:val="en-US" w:eastAsia="zh-CN"/>
              </w:rPr>
              <w:t>项目设置1台0.7t/h锅炉</w:t>
            </w:r>
            <w:r>
              <w:rPr>
                <w:rFonts w:hint="default" w:ascii="Times New Roman" w:hAnsi="Times New Roman" w:cs="Times New Roman"/>
                <w:u w:val="none" w:color="auto"/>
                <w:lang w:val="en-US" w:eastAsia="zh-CN"/>
              </w:rPr>
              <w:t>，配备1台软水设备，锅炉燃料为生物质颗粒，锅炉日运行5h，</w:t>
            </w:r>
            <w:r>
              <w:rPr>
                <w:rFonts w:hint="default" w:ascii="Times New Roman" w:hAnsi="Times New Roman" w:eastAsia="宋体" w:cs="Times New Roman"/>
                <w:u w:val="none" w:color="auto"/>
                <w:lang w:val="en-US" w:eastAsia="zh-CN"/>
              </w:rPr>
              <w:t>锅炉满负荷运行，锅炉蒸汽产量为4.2m</w:t>
            </w:r>
            <w:r>
              <w:rPr>
                <w:rFonts w:hint="default" w:ascii="Times New Roman" w:hAnsi="Times New Roman" w:eastAsia="宋体" w:cs="Times New Roman"/>
                <w:u w:val="none" w:color="auto"/>
                <w:vertAlign w:val="superscript"/>
                <w:lang w:val="en-US" w:eastAsia="zh-CN"/>
              </w:rPr>
              <w:t>3</w:t>
            </w:r>
            <w:r>
              <w:rPr>
                <w:rFonts w:hint="default" w:ascii="Times New Roman" w:hAnsi="Times New Roman" w:eastAsia="宋体" w:cs="Times New Roman"/>
                <w:u w:val="none" w:color="auto"/>
                <w:lang w:val="en-US" w:eastAsia="zh-CN"/>
              </w:rPr>
              <w:t>/d（1512m</w:t>
            </w:r>
            <w:r>
              <w:rPr>
                <w:rFonts w:hint="default" w:ascii="Times New Roman" w:hAnsi="Times New Roman" w:eastAsia="宋体" w:cs="Times New Roman"/>
                <w:u w:val="none" w:color="auto"/>
                <w:vertAlign w:val="superscript"/>
                <w:lang w:val="en-US" w:eastAsia="zh-CN"/>
              </w:rPr>
              <w:t>3</w:t>
            </w:r>
            <w:r>
              <w:rPr>
                <w:rFonts w:hint="default" w:ascii="Times New Roman" w:hAnsi="Times New Roman" w:eastAsia="宋体" w:cs="Times New Roman"/>
                <w:u w:val="none" w:color="auto"/>
                <w:lang w:val="en-US" w:eastAsia="zh-CN"/>
              </w:rPr>
              <w:t>/a）。</w:t>
            </w:r>
            <w:r>
              <w:rPr>
                <w:rFonts w:hint="default" w:ascii="Times New Roman" w:hAnsi="Times New Roman" w:cs="Times New Roman"/>
                <w:u w:val="none" w:color="auto"/>
                <w:lang w:val="en-US" w:eastAsia="zh-CN"/>
              </w:rPr>
              <w:t>锅炉软水系统转化率为80%，则锅炉新鲜水量为5.25m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/d（1890m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/a）。锅炉软水系统浓水产生率为用水量的20%，浓水产生量为1.05m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/d（378m</w:t>
            </w:r>
            <w:r>
              <w:rPr>
                <w:rFonts w:hint="default" w:ascii="Times New Roman" w:hAnsi="Times New Roman" w:cs="Times New Roman"/>
                <w:u w:val="none" w:color="auto"/>
                <w:vertAlign w:val="superscript"/>
                <w:lang w:val="en-US" w:eastAsia="zh-CN"/>
              </w:rPr>
              <w:t>3</w:t>
            </w:r>
            <w:r>
              <w:rPr>
                <w:rFonts w:hint="default" w:ascii="Times New Roman" w:hAnsi="Times New Roman" w:cs="Times New Roman"/>
                <w:u w:val="none" w:color="auto"/>
                <w:lang w:val="en-US" w:eastAsia="zh-CN"/>
              </w:rPr>
              <w:t>/a）</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因此</w:t>
            </w:r>
            <w:r>
              <w:rPr>
                <w:rFonts w:hint="default" w:ascii="Times New Roman" w:hAnsi="Times New Roman" w:cs="Times New Roman"/>
                <w:color w:val="auto"/>
                <w:u w:val="none" w:color="auto"/>
                <w:lang w:val="en-US" w:eastAsia="zh-CN"/>
              </w:rPr>
              <w:t>锅炉总废水为734.4m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val="en-US" w:eastAsia="zh-CN"/>
              </w:rPr>
              <w:t>/a（1.07m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val="en-US" w:eastAsia="zh-CN"/>
              </w:rPr>
              <w:t>/d）</w:t>
            </w:r>
            <w:r>
              <w:rPr>
                <w:rFonts w:hint="eastAsia" w:cs="Times New Roman"/>
                <w:color w:val="auto"/>
                <w:u w:val="none" w:color="auto"/>
                <w:lang w:val="en-US" w:eastAsia="zh-CN"/>
              </w:rPr>
              <w:t>，</w:t>
            </w:r>
            <w:r>
              <w:rPr>
                <w:rFonts w:hint="default" w:ascii="Times New Roman" w:hAnsi="Times New Roman" w:cs="Times New Roman"/>
                <w:color w:val="auto"/>
                <w:u w:val="none" w:color="auto"/>
                <w:vertAlign w:val="baseline"/>
                <w:lang w:val="en-US" w:eastAsia="zh-CN"/>
              </w:rPr>
              <w:t>废水中含污染物较少，可经排水管排入污水处理站</w:t>
            </w:r>
            <w:r>
              <w:rPr>
                <w:rFonts w:hint="default" w:ascii="Times New Roman" w:hAnsi="Times New Roman" w:cs="Times New Roman"/>
                <w:color w:val="auto"/>
                <w:u w:val="none" w:color="auto"/>
                <w:lang w:val="en-US" w:eastAsia="zh-CN"/>
              </w:rPr>
              <w:t>。</w:t>
            </w:r>
          </w:p>
          <w:p>
            <w:pPr>
              <w:rPr>
                <w:rFonts w:hint="default"/>
                <w:u w:val="none" w:color="auto"/>
                <w:lang w:val="en-US" w:eastAsia="zh-CN"/>
              </w:rPr>
            </w:pPr>
            <w:r>
              <w:rPr>
                <w:color w:val="auto"/>
                <w:sz w:val="24"/>
                <w:u w:val="none" w:color="auto"/>
              </w:rPr>
              <w:t>根据《排放源统计调查产排污核算方法和系数手册》（</w:t>
            </w:r>
            <w:r>
              <w:rPr>
                <w:rFonts w:hint="eastAsia"/>
                <w:color w:val="auto"/>
                <w:sz w:val="24"/>
                <w:u w:val="none" w:color="auto"/>
                <w:lang w:val="en-US" w:eastAsia="zh-CN"/>
              </w:rPr>
              <w:t>4430</w:t>
            </w:r>
            <w:r>
              <w:rPr>
                <w:color w:val="auto"/>
                <w:sz w:val="24"/>
                <w:u w:val="none" w:color="auto"/>
              </w:rPr>
              <w:t>，</w:t>
            </w:r>
            <w:r>
              <w:rPr>
                <w:rFonts w:hint="eastAsia"/>
                <w:color w:val="auto"/>
                <w:sz w:val="24"/>
                <w:u w:val="none" w:color="auto"/>
                <w:lang w:val="en-US" w:eastAsia="zh-CN"/>
              </w:rPr>
              <w:t>工业锅炉行业</w:t>
            </w:r>
            <w:r>
              <w:rPr>
                <w:color w:val="auto"/>
                <w:sz w:val="24"/>
                <w:u w:val="none" w:color="auto"/>
              </w:rPr>
              <w:t>系数手册）中</w:t>
            </w:r>
            <w:r>
              <w:rPr>
                <w:rFonts w:hint="eastAsia"/>
                <w:color w:val="auto"/>
                <w:sz w:val="24"/>
                <w:u w:val="none" w:color="auto"/>
                <w:lang w:val="en-US" w:eastAsia="zh-CN"/>
              </w:rPr>
              <w:t>生物质锅炉锅外水处理COD</w:t>
            </w:r>
            <w:r>
              <w:rPr>
                <w:color w:val="auto"/>
                <w:sz w:val="24"/>
                <w:u w:val="none" w:color="auto"/>
              </w:rPr>
              <w:t>产排污系数见下表。</w:t>
            </w:r>
          </w:p>
          <w:p>
            <w:pPr>
              <w:pStyle w:val="74"/>
              <w:tabs>
                <w:tab w:val="left" w:pos="284"/>
                <w:tab w:val="left" w:pos="600"/>
              </w:tabs>
              <w:bidi w:val="0"/>
              <w:rPr>
                <w:color w:val="auto"/>
                <w:u w:val="none" w:color="auto"/>
              </w:rPr>
            </w:pPr>
            <w:r>
              <w:rPr>
                <w:color w:val="auto"/>
                <w:u w:val="none" w:color="auto"/>
              </w:rPr>
              <w:t>表4</w:t>
            </w:r>
            <w:r>
              <w:rPr>
                <w:rFonts w:hint="eastAsia"/>
                <w:color w:val="auto"/>
                <w:u w:val="none" w:color="auto"/>
                <w:lang w:val="en-US" w:eastAsia="zh-CN"/>
              </w:rPr>
              <w:t>.2</w:t>
            </w:r>
            <w:r>
              <w:rPr>
                <w:color w:val="auto"/>
                <w:u w:val="none" w:color="auto"/>
              </w:rPr>
              <w:t>-</w:t>
            </w:r>
            <w:r>
              <w:rPr>
                <w:rFonts w:hint="eastAsia"/>
                <w:color w:val="auto"/>
                <w:u w:val="none" w:color="auto"/>
                <w:lang w:val="en-US" w:eastAsia="zh-CN"/>
              </w:rPr>
              <w:t>4</w:t>
            </w:r>
            <w:r>
              <w:rPr>
                <w:color w:val="auto"/>
                <w:u w:val="none" w:color="auto"/>
              </w:rPr>
              <w:t xml:space="preserve"> </w:t>
            </w:r>
            <w:r>
              <w:rPr>
                <w:rFonts w:hint="eastAsia"/>
                <w:color w:val="auto"/>
                <w:u w:val="none" w:color="auto"/>
              </w:rPr>
              <w:t>工业锅炉（热力生产和供应行业）</w:t>
            </w:r>
            <w:r>
              <w:rPr>
                <w:color w:val="auto"/>
                <w:u w:val="none" w:color="auto"/>
              </w:rPr>
              <w:t>产排污系数表</w:t>
            </w:r>
          </w:p>
          <w:tbl>
            <w:tblPr>
              <w:tblStyle w:val="47"/>
              <w:tblW w:w="468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61"/>
              <w:gridCol w:w="898"/>
              <w:gridCol w:w="584"/>
              <w:gridCol w:w="568"/>
              <w:gridCol w:w="704"/>
              <w:gridCol w:w="542"/>
              <w:gridCol w:w="704"/>
              <w:gridCol w:w="1456"/>
              <w:gridCol w:w="690"/>
              <w:gridCol w:w="9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3" w:hRule="atLeast"/>
                <w:jc w:val="center"/>
              </w:trPr>
              <w:tc>
                <w:tcPr>
                  <w:tcW w:w="487" w:type="pct"/>
                  <w:tcBorders>
                    <w:tl2br w:val="nil"/>
                    <w:tr2bl w:val="nil"/>
                  </w:tcBorders>
                  <w:vAlign w:val="center"/>
                </w:tcPr>
                <w:p>
                  <w:pPr>
                    <w:pStyle w:val="39"/>
                    <w:bidi w:val="0"/>
                    <w:rPr>
                      <w:b/>
                      <w:bCs/>
                      <w:color w:val="auto"/>
                      <w:u w:val="none" w:color="auto"/>
                    </w:rPr>
                  </w:pPr>
                  <w:r>
                    <w:rPr>
                      <w:b/>
                      <w:bCs/>
                      <w:color w:val="auto"/>
                      <w:u w:val="none" w:color="auto"/>
                    </w:rPr>
                    <w:t>产品名称</w:t>
                  </w:r>
                </w:p>
              </w:tc>
              <w:tc>
                <w:tcPr>
                  <w:tcW w:w="575" w:type="pct"/>
                  <w:tcBorders>
                    <w:tl2br w:val="nil"/>
                    <w:tr2bl w:val="nil"/>
                  </w:tcBorders>
                  <w:vAlign w:val="center"/>
                </w:tcPr>
                <w:p>
                  <w:pPr>
                    <w:pStyle w:val="39"/>
                    <w:bidi w:val="0"/>
                    <w:rPr>
                      <w:b/>
                      <w:bCs/>
                      <w:color w:val="auto"/>
                      <w:u w:val="none" w:color="auto"/>
                    </w:rPr>
                  </w:pPr>
                  <w:r>
                    <w:rPr>
                      <w:b/>
                      <w:bCs/>
                      <w:color w:val="auto"/>
                      <w:u w:val="none" w:color="auto"/>
                    </w:rPr>
                    <w:t>原料名称</w:t>
                  </w:r>
                </w:p>
              </w:tc>
              <w:tc>
                <w:tcPr>
                  <w:tcW w:w="374" w:type="pct"/>
                  <w:tcBorders>
                    <w:tl2br w:val="nil"/>
                    <w:tr2bl w:val="nil"/>
                  </w:tcBorders>
                  <w:vAlign w:val="center"/>
                </w:tcPr>
                <w:p>
                  <w:pPr>
                    <w:pStyle w:val="39"/>
                    <w:bidi w:val="0"/>
                    <w:rPr>
                      <w:b/>
                      <w:bCs/>
                      <w:color w:val="auto"/>
                      <w:u w:val="none" w:color="auto"/>
                    </w:rPr>
                  </w:pPr>
                  <w:r>
                    <w:rPr>
                      <w:b/>
                      <w:bCs/>
                      <w:color w:val="auto"/>
                      <w:u w:val="none" w:color="auto"/>
                    </w:rPr>
                    <w:t>工艺名称</w:t>
                  </w:r>
                </w:p>
              </w:tc>
              <w:tc>
                <w:tcPr>
                  <w:tcW w:w="364" w:type="pct"/>
                  <w:tcBorders>
                    <w:tl2br w:val="nil"/>
                    <w:tr2bl w:val="nil"/>
                  </w:tcBorders>
                  <w:vAlign w:val="center"/>
                </w:tcPr>
                <w:p>
                  <w:pPr>
                    <w:pStyle w:val="39"/>
                    <w:bidi w:val="0"/>
                    <w:rPr>
                      <w:b/>
                      <w:bCs/>
                      <w:color w:val="auto"/>
                      <w:u w:val="none" w:color="auto"/>
                    </w:rPr>
                  </w:pPr>
                  <w:r>
                    <w:rPr>
                      <w:b/>
                      <w:bCs/>
                      <w:color w:val="auto"/>
                      <w:u w:val="none" w:color="auto"/>
                    </w:rPr>
                    <w:t>规模等级</w:t>
                  </w:r>
                </w:p>
              </w:tc>
              <w:tc>
                <w:tcPr>
                  <w:tcW w:w="451" w:type="pct"/>
                  <w:tcBorders>
                    <w:tl2br w:val="nil"/>
                    <w:tr2bl w:val="nil"/>
                  </w:tcBorders>
                  <w:vAlign w:val="center"/>
                </w:tcPr>
                <w:p>
                  <w:pPr>
                    <w:pStyle w:val="39"/>
                    <w:bidi w:val="0"/>
                    <w:rPr>
                      <w:b/>
                      <w:bCs/>
                      <w:color w:val="auto"/>
                      <w:u w:val="none" w:color="auto"/>
                    </w:rPr>
                  </w:pPr>
                  <w:r>
                    <w:rPr>
                      <w:b/>
                      <w:bCs/>
                      <w:color w:val="auto"/>
                      <w:u w:val="none" w:color="auto"/>
                    </w:rPr>
                    <w:t>污染物指标</w:t>
                  </w:r>
                </w:p>
              </w:tc>
              <w:tc>
                <w:tcPr>
                  <w:tcW w:w="347" w:type="pct"/>
                  <w:tcBorders>
                    <w:tl2br w:val="nil"/>
                    <w:tr2bl w:val="nil"/>
                  </w:tcBorders>
                  <w:vAlign w:val="center"/>
                </w:tcPr>
                <w:p>
                  <w:pPr>
                    <w:pStyle w:val="39"/>
                    <w:bidi w:val="0"/>
                    <w:rPr>
                      <w:b/>
                      <w:bCs/>
                      <w:color w:val="auto"/>
                      <w:u w:val="none" w:color="auto"/>
                    </w:rPr>
                  </w:pPr>
                  <w:r>
                    <w:rPr>
                      <w:b/>
                      <w:bCs/>
                      <w:color w:val="auto"/>
                      <w:u w:val="none" w:color="auto"/>
                    </w:rPr>
                    <w:t>单位</w:t>
                  </w:r>
                </w:p>
              </w:tc>
              <w:tc>
                <w:tcPr>
                  <w:tcW w:w="451" w:type="pct"/>
                  <w:tcBorders>
                    <w:tl2br w:val="nil"/>
                    <w:tr2bl w:val="nil"/>
                  </w:tcBorders>
                  <w:vAlign w:val="center"/>
                </w:tcPr>
                <w:p>
                  <w:pPr>
                    <w:pStyle w:val="39"/>
                    <w:bidi w:val="0"/>
                    <w:rPr>
                      <w:b/>
                      <w:bCs/>
                      <w:color w:val="auto"/>
                      <w:u w:val="none" w:color="auto"/>
                    </w:rPr>
                  </w:pPr>
                  <w:r>
                    <w:rPr>
                      <w:b/>
                      <w:bCs/>
                      <w:color w:val="auto"/>
                      <w:u w:val="none" w:color="auto"/>
                    </w:rPr>
                    <w:t>产污系数</w:t>
                  </w:r>
                </w:p>
              </w:tc>
              <w:tc>
                <w:tcPr>
                  <w:tcW w:w="932" w:type="pct"/>
                  <w:tcBorders>
                    <w:tl2br w:val="nil"/>
                    <w:tr2bl w:val="nil"/>
                  </w:tcBorders>
                  <w:vAlign w:val="center"/>
                </w:tcPr>
                <w:p>
                  <w:pPr>
                    <w:pStyle w:val="39"/>
                    <w:bidi w:val="0"/>
                    <w:rPr>
                      <w:b/>
                      <w:bCs/>
                      <w:color w:val="auto"/>
                      <w:u w:val="none" w:color="auto"/>
                    </w:rPr>
                  </w:pPr>
                  <w:r>
                    <w:rPr>
                      <w:b/>
                      <w:bCs/>
                      <w:color w:val="auto"/>
                      <w:u w:val="none" w:color="auto"/>
                    </w:rPr>
                    <w:t>末端治理技术名称</w:t>
                  </w:r>
                </w:p>
              </w:tc>
              <w:tc>
                <w:tcPr>
                  <w:tcW w:w="442" w:type="pct"/>
                  <w:tcBorders>
                    <w:tl2br w:val="nil"/>
                    <w:tr2bl w:val="nil"/>
                  </w:tcBorders>
                  <w:vAlign w:val="center"/>
                </w:tcPr>
                <w:p>
                  <w:pPr>
                    <w:pStyle w:val="39"/>
                    <w:bidi w:val="0"/>
                    <w:rPr>
                      <w:b/>
                      <w:bCs/>
                      <w:color w:val="auto"/>
                      <w:u w:val="none" w:color="auto"/>
                    </w:rPr>
                  </w:pPr>
                  <w:r>
                    <w:rPr>
                      <w:b/>
                      <w:bCs/>
                      <w:color w:val="auto"/>
                      <w:u w:val="none" w:color="auto"/>
                    </w:rPr>
                    <w:t>末端治理技术效率（%）</w:t>
                  </w:r>
                </w:p>
              </w:tc>
              <w:tc>
                <w:tcPr>
                  <w:tcW w:w="573" w:type="pct"/>
                  <w:tcBorders>
                    <w:tl2br w:val="nil"/>
                    <w:tr2bl w:val="nil"/>
                  </w:tcBorders>
                  <w:vAlign w:val="center"/>
                </w:tcPr>
                <w:p>
                  <w:pPr>
                    <w:pStyle w:val="39"/>
                    <w:bidi w:val="0"/>
                    <w:rPr>
                      <w:b/>
                      <w:bCs/>
                      <w:color w:val="auto"/>
                      <w:u w:val="none" w:color="auto"/>
                    </w:rPr>
                  </w:pPr>
                  <w:r>
                    <w:rPr>
                      <w:b/>
                      <w:bCs/>
                      <w:color w:val="auto"/>
                      <w:u w:val="none" w:color="auto"/>
                    </w:rPr>
                    <w:t>参考k值计算公式4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49" w:hRule="atLeast"/>
                <w:jc w:val="center"/>
              </w:trPr>
              <w:tc>
                <w:tcPr>
                  <w:tcW w:w="487" w:type="pct"/>
                  <w:vMerge w:val="restart"/>
                  <w:tcBorders>
                    <w:tl2br w:val="nil"/>
                    <w:tr2bl w:val="nil"/>
                  </w:tcBorders>
                  <w:vAlign w:val="center"/>
                </w:tcPr>
                <w:p>
                  <w:pPr>
                    <w:pStyle w:val="39"/>
                    <w:bidi w:val="0"/>
                    <w:rPr>
                      <w:rFonts w:hint="default" w:eastAsia="宋体"/>
                      <w:color w:val="auto"/>
                      <w:u w:val="none" w:color="auto"/>
                      <w:lang w:val="en-US" w:eastAsia="zh-CN"/>
                    </w:rPr>
                  </w:pPr>
                  <w:r>
                    <w:rPr>
                      <w:rFonts w:hint="eastAsia"/>
                      <w:color w:val="auto"/>
                      <w:u w:val="none" w:color="auto"/>
                      <w:lang w:val="en-US" w:eastAsia="zh-CN"/>
                    </w:rPr>
                    <w:t>蒸汽/热水/其他蒸汽/热水/其它</w:t>
                  </w:r>
                </w:p>
              </w:tc>
              <w:tc>
                <w:tcPr>
                  <w:tcW w:w="575" w:type="pct"/>
                  <w:vMerge w:val="restart"/>
                  <w:tcBorders>
                    <w:tl2br w:val="nil"/>
                    <w:tr2bl w:val="nil"/>
                  </w:tcBorders>
                  <w:vAlign w:val="center"/>
                </w:tcPr>
                <w:p>
                  <w:pPr>
                    <w:pStyle w:val="39"/>
                    <w:bidi w:val="0"/>
                    <w:rPr>
                      <w:rFonts w:hint="default" w:eastAsia="宋体"/>
                      <w:color w:val="auto"/>
                      <w:u w:val="none" w:color="auto"/>
                      <w:lang w:val="en-US" w:eastAsia="zh-CN"/>
                    </w:rPr>
                  </w:pPr>
                  <w:r>
                    <w:rPr>
                      <w:rFonts w:hint="eastAsia"/>
                      <w:color w:val="auto"/>
                      <w:u w:val="none" w:color="auto"/>
                      <w:lang w:val="en-US" w:eastAsia="zh-CN"/>
                    </w:rPr>
                    <w:t>生物质燃料</w:t>
                  </w:r>
                </w:p>
              </w:tc>
              <w:tc>
                <w:tcPr>
                  <w:tcW w:w="374" w:type="pct"/>
                  <w:vMerge w:val="restart"/>
                  <w:tcBorders>
                    <w:tl2br w:val="nil"/>
                    <w:tr2bl w:val="nil"/>
                  </w:tcBorders>
                  <w:vAlign w:val="center"/>
                </w:tcPr>
                <w:p>
                  <w:pPr>
                    <w:pStyle w:val="39"/>
                    <w:bidi w:val="0"/>
                    <w:rPr>
                      <w:rFonts w:hint="default" w:eastAsia="宋体"/>
                      <w:color w:val="auto"/>
                      <w:u w:val="none" w:color="auto"/>
                      <w:lang w:val="en-US" w:eastAsia="zh-CN"/>
                    </w:rPr>
                  </w:pPr>
                  <w:r>
                    <w:rPr>
                      <w:rFonts w:hint="eastAsia"/>
                      <w:color w:val="auto"/>
                      <w:u w:val="none" w:color="auto"/>
                      <w:lang w:val="en-US" w:eastAsia="zh-CN"/>
                    </w:rPr>
                    <w:t>锅外水处理</w:t>
                  </w:r>
                </w:p>
              </w:tc>
              <w:tc>
                <w:tcPr>
                  <w:tcW w:w="364" w:type="pct"/>
                  <w:vMerge w:val="restart"/>
                  <w:tcBorders>
                    <w:tl2br w:val="nil"/>
                    <w:tr2bl w:val="nil"/>
                  </w:tcBorders>
                  <w:vAlign w:val="center"/>
                </w:tcPr>
                <w:p>
                  <w:pPr>
                    <w:pStyle w:val="39"/>
                    <w:bidi w:val="0"/>
                    <w:rPr>
                      <w:color w:val="auto"/>
                      <w:u w:val="none" w:color="auto"/>
                    </w:rPr>
                  </w:pPr>
                  <w:r>
                    <w:rPr>
                      <w:color w:val="auto"/>
                      <w:u w:val="none" w:color="auto"/>
                    </w:rPr>
                    <w:t>所有规模</w:t>
                  </w:r>
                </w:p>
              </w:tc>
              <w:tc>
                <w:tcPr>
                  <w:tcW w:w="451" w:type="pct"/>
                  <w:vMerge w:val="restart"/>
                  <w:tcBorders>
                    <w:tl2br w:val="nil"/>
                    <w:tr2bl w:val="nil"/>
                  </w:tcBorders>
                  <w:vAlign w:val="center"/>
                </w:tcPr>
                <w:p>
                  <w:pPr>
                    <w:pStyle w:val="39"/>
                    <w:bidi w:val="0"/>
                    <w:rPr>
                      <w:rFonts w:hint="eastAsia" w:eastAsia="宋体"/>
                      <w:color w:val="auto"/>
                      <w:u w:val="none" w:color="auto"/>
                      <w:lang w:val="en-US" w:eastAsia="zh-CN"/>
                    </w:rPr>
                  </w:pPr>
                  <w:r>
                    <w:rPr>
                      <w:rFonts w:hint="eastAsia"/>
                      <w:color w:val="auto"/>
                      <w:u w:val="none" w:color="auto"/>
                      <w:lang w:val="en-US" w:eastAsia="zh-CN"/>
                    </w:rPr>
                    <w:t>化学需氧量</w:t>
                  </w:r>
                </w:p>
              </w:tc>
              <w:tc>
                <w:tcPr>
                  <w:tcW w:w="347" w:type="pct"/>
                  <w:vMerge w:val="restart"/>
                  <w:tcBorders>
                    <w:tl2br w:val="nil"/>
                    <w:tr2bl w:val="nil"/>
                  </w:tcBorders>
                  <w:vAlign w:val="center"/>
                </w:tcPr>
                <w:p>
                  <w:pPr>
                    <w:pStyle w:val="39"/>
                    <w:bidi w:val="0"/>
                    <w:rPr>
                      <w:color w:val="auto"/>
                      <w:u w:val="none" w:color="auto"/>
                    </w:rPr>
                  </w:pPr>
                  <w:r>
                    <w:rPr>
                      <w:color w:val="auto"/>
                      <w:u w:val="none" w:color="auto"/>
                    </w:rPr>
                    <w:t>克/吨-原料</w:t>
                  </w:r>
                </w:p>
              </w:tc>
              <w:tc>
                <w:tcPr>
                  <w:tcW w:w="451" w:type="pct"/>
                  <w:vMerge w:val="restart"/>
                  <w:tcBorders>
                    <w:tl2br w:val="nil"/>
                    <w:tr2bl w:val="nil"/>
                  </w:tcBorders>
                  <w:vAlign w:val="center"/>
                </w:tcPr>
                <w:p>
                  <w:pPr>
                    <w:pStyle w:val="39"/>
                    <w:bidi w:val="0"/>
                    <w:rPr>
                      <w:rFonts w:hint="default" w:eastAsia="宋体"/>
                      <w:color w:val="auto"/>
                      <w:u w:val="none" w:color="auto"/>
                      <w:lang w:val="en-US" w:eastAsia="zh-CN"/>
                    </w:rPr>
                  </w:pPr>
                  <w:r>
                    <w:rPr>
                      <w:rFonts w:hint="eastAsia"/>
                      <w:color w:val="auto"/>
                      <w:u w:val="none" w:color="auto"/>
                      <w:lang w:val="en-US" w:eastAsia="zh-CN"/>
                    </w:rPr>
                    <w:t>30</w:t>
                  </w:r>
                </w:p>
              </w:tc>
              <w:tc>
                <w:tcPr>
                  <w:tcW w:w="932" w:type="pct"/>
                  <w:tcBorders>
                    <w:tl2br w:val="nil"/>
                    <w:tr2bl w:val="nil"/>
                  </w:tcBorders>
                  <w:vAlign w:val="center"/>
                </w:tcPr>
                <w:p>
                  <w:pPr>
                    <w:pStyle w:val="39"/>
                    <w:bidi w:val="0"/>
                    <w:rPr>
                      <w:rFonts w:hint="default" w:eastAsia="宋体"/>
                      <w:color w:val="auto"/>
                      <w:u w:val="none" w:color="auto"/>
                      <w:lang w:val="en-US" w:eastAsia="zh-CN"/>
                    </w:rPr>
                  </w:pPr>
                  <w:r>
                    <w:rPr>
                      <w:rFonts w:hint="eastAsia"/>
                      <w:color w:val="auto"/>
                      <w:u w:val="none" w:color="auto"/>
                      <w:lang w:val="en-US" w:eastAsia="zh-CN"/>
                    </w:rPr>
                    <w:t>物理+化学法+综合利用</w:t>
                  </w:r>
                </w:p>
              </w:tc>
              <w:tc>
                <w:tcPr>
                  <w:tcW w:w="442" w:type="pct"/>
                  <w:tcBorders>
                    <w:tl2br w:val="nil"/>
                    <w:tr2bl w:val="nil"/>
                  </w:tcBorders>
                  <w:vAlign w:val="center"/>
                </w:tcPr>
                <w:p>
                  <w:pPr>
                    <w:pStyle w:val="39"/>
                    <w:bidi w:val="0"/>
                    <w:rPr>
                      <w:rFonts w:hint="default" w:eastAsia="宋体"/>
                      <w:color w:val="auto"/>
                      <w:u w:val="none" w:color="auto"/>
                      <w:lang w:val="en-US" w:eastAsia="zh-CN"/>
                    </w:rPr>
                  </w:pPr>
                  <w:r>
                    <w:rPr>
                      <w:rFonts w:hint="eastAsia"/>
                      <w:color w:val="auto"/>
                      <w:u w:val="none" w:color="auto"/>
                      <w:lang w:val="en-US" w:eastAsia="zh-CN"/>
                    </w:rPr>
                    <w:t>100</w:t>
                  </w:r>
                </w:p>
              </w:tc>
              <w:tc>
                <w:tcPr>
                  <w:tcW w:w="573" w:type="pct"/>
                  <w:vMerge w:val="restart"/>
                  <w:tcBorders>
                    <w:tl2br w:val="nil"/>
                    <w:tr2bl w:val="nil"/>
                  </w:tcBorders>
                  <w:vAlign w:val="center"/>
                </w:tcPr>
                <w:p>
                  <w:pPr>
                    <w:pStyle w:val="39"/>
                    <w:bidi w:val="0"/>
                    <w:rPr>
                      <w:rFonts w:hint="default" w:eastAsia="宋体"/>
                      <w:color w:val="auto"/>
                      <w:u w:val="none" w:color="auto"/>
                      <w:lang w:val="en-US" w:eastAsia="zh-CN"/>
                    </w:rPr>
                  </w:pPr>
                  <w:r>
                    <w:rPr>
                      <w:color w:val="auto"/>
                      <w:u w:val="none" w:color="auto"/>
                    </w:rPr>
                    <w:t>k=</w:t>
                  </w:r>
                  <w:r>
                    <w:rPr>
                      <w:rFonts w:hint="eastAsia"/>
                      <w:color w:val="auto"/>
                      <w:u w:val="none" w:color="auto"/>
                      <w:lang w:eastAsia="zh-CN"/>
                    </w:rPr>
                    <w:t>（</w:t>
                  </w:r>
                  <w:r>
                    <w:rPr>
                      <w:rFonts w:hint="eastAsia"/>
                      <w:color w:val="auto"/>
                      <w:u w:val="none" w:color="auto"/>
                      <w:lang w:val="en-US" w:eastAsia="zh-CN"/>
                    </w:rPr>
                    <w:t>锅炉运行小时数-废水处理设施故障小时数</w:t>
                  </w:r>
                  <w:r>
                    <w:rPr>
                      <w:rFonts w:hint="eastAsia"/>
                      <w:color w:val="auto"/>
                      <w:u w:val="none" w:color="auto"/>
                      <w:lang w:eastAsia="zh-CN"/>
                    </w:rPr>
                    <w:t>）</w:t>
                  </w:r>
                  <w:r>
                    <w:rPr>
                      <w:rFonts w:hint="eastAsia"/>
                      <w:color w:val="auto"/>
                      <w:u w:val="none" w:color="auto"/>
                      <w:lang w:val="en-US" w:eastAsia="zh-CN"/>
                    </w:rPr>
                    <w:t>/锅炉运行小时数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487" w:type="pct"/>
                  <w:vMerge w:val="continue"/>
                  <w:tcBorders>
                    <w:tl2br w:val="nil"/>
                    <w:tr2bl w:val="nil"/>
                  </w:tcBorders>
                  <w:vAlign w:val="center"/>
                </w:tcPr>
                <w:p>
                  <w:pPr>
                    <w:pStyle w:val="39"/>
                    <w:bidi w:val="0"/>
                    <w:rPr>
                      <w:color w:val="auto"/>
                      <w:u w:val="none" w:color="auto"/>
                    </w:rPr>
                  </w:pPr>
                </w:p>
              </w:tc>
              <w:tc>
                <w:tcPr>
                  <w:tcW w:w="575" w:type="pct"/>
                  <w:vMerge w:val="continue"/>
                  <w:tcBorders>
                    <w:tl2br w:val="nil"/>
                    <w:tr2bl w:val="nil"/>
                  </w:tcBorders>
                  <w:vAlign w:val="center"/>
                </w:tcPr>
                <w:p>
                  <w:pPr>
                    <w:pStyle w:val="39"/>
                    <w:bidi w:val="0"/>
                    <w:rPr>
                      <w:color w:val="auto"/>
                      <w:u w:val="none" w:color="auto"/>
                    </w:rPr>
                  </w:pPr>
                </w:p>
              </w:tc>
              <w:tc>
                <w:tcPr>
                  <w:tcW w:w="374" w:type="pct"/>
                  <w:vMerge w:val="continue"/>
                  <w:tcBorders>
                    <w:tl2br w:val="nil"/>
                    <w:tr2bl w:val="nil"/>
                  </w:tcBorders>
                  <w:vAlign w:val="center"/>
                </w:tcPr>
                <w:p>
                  <w:pPr>
                    <w:pStyle w:val="39"/>
                    <w:bidi w:val="0"/>
                    <w:rPr>
                      <w:color w:val="auto"/>
                      <w:u w:val="none" w:color="auto"/>
                    </w:rPr>
                  </w:pPr>
                </w:p>
              </w:tc>
              <w:tc>
                <w:tcPr>
                  <w:tcW w:w="364" w:type="pct"/>
                  <w:vMerge w:val="continue"/>
                  <w:tcBorders>
                    <w:tl2br w:val="nil"/>
                    <w:tr2bl w:val="nil"/>
                  </w:tcBorders>
                  <w:vAlign w:val="center"/>
                </w:tcPr>
                <w:p>
                  <w:pPr>
                    <w:pStyle w:val="39"/>
                    <w:bidi w:val="0"/>
                    <w:rPr>
                      <w:color w:val="auto"/>
                      <w:u w:val="none" w:color="auto"/>
                    </w:rPr>
                  </w:pPr>
                </w:p>
              </w:tc>
              <w:tc>
                <w:tcPr>
                  <w:tcW w:w="451" w:type="pct"/>
                  <w:vMerge w:val="continue"/>
                  <w:tcBorders>
                    <w:tl2br w:val="nil"/>
                    <w:tr2bl w:val="nil"/>
                  </w:tcBorders>
                  <w:vAlign w:val="center"/>
                </w:tcPr>
                <w:p>
                  <w:pPr>
                    <w:pStyle w:val="39"/>
                    <w:bidi w:val="0"/>
                    <w:rPr>
                      <w:color w:val="auto"/>
                      <w:u w:val="none" w:color="auto"/>
                    </w:rPr>
                  </w:pPr>
                </w:p>
              </w:tc>
              <w:tc>
                <w:tcPr>
                  <w:tcW w:w="347" w:type="pct"/>
                  <w:vMerge w:val="continue"/>
                  <w:tcBorders>
                    <w:tl2br w:val="nil"/>
                    <w:tr2bl w:val="nil"/>
                  </w:tcBorders>
                  <w:vAlign w:val="center"/>
                </w:tcPr>
                <w:p>
                  <w:pPr>
                    <w:pStyle w:val="39"/>
                    <w:bidi w:val="0"/>
                    <w:rPr>
                      <w:color w:val="auto"/>
                      <w:u w:val="none" w:color="auto"/>
                    </w:rPr>
                  </w:pPr>
                </w:p>
              </w:tc>
              <w:tc>
                <w:tcPr>
                  <w:tcW w:w="451" w:type="pct"/>
                  <w:vMerge w:val="continue"/>
                  <w:tcBorders>
                    <w:tl2br w:val="nil"/>
                    <w:tr2bl w:val="nil"/>
                  </w:tcBorders>
                  <w:vAlign w:val="center"/>
                </w:tcPr>
                <w:p>
                  <w:pPr>
                    <w:pStyle w:val="39"/>
                    <w:bidi w:val="0"/>
                    <w:rPr>
                      <w:color w:val="auto"/>
                      <w:u w:val="none" w:color="auto"/>
                    </w:rPr>
                  </w:pPr>
                </w:p>
              </w:tc>
              <w:tc>
                <w:tcPr>
                  <w:tcW w:w="932" w:type="pct"/>
                  <w:tcBorders>
                    <w:tl2br w:val="nil"/>
                    <w:tr2bl w:val="nil"/>
                  </w:tcBorders>
                  <w:vAlign w:val="center"/>
                </w:tcPr>
                <w:p>
                  <w:pPr>
                    <w:pStyle w:val="39"/>
                    <w:bidi w:val="0"/>
                    <w:rPr>
                      <w:color w:val="auto"/>
                      <w:u w:val="none" w:color="auto"/>
                    </w:rPr>
                  </w:pPr>
                  <w:r>
                    <w:rPr>
                      <w:rFonts w:hint="eastAsia"/>
                      <w:color w:val="auto"/>
                      <w:u w:val="none" w:color="auto"/>
                      <w:lang w:val="en-US" w:eastAsia="zh-CN"/>
                    </w:rPr>
                    <w:t>物理+化学法</w:t>
                  </w:r>
                </w:p>
              </w:tc>
              <w:tc>
                <w:tcPr>
                  <w:tcW w:w="442" w:type="pct"/>
                  <w:tcBorders>
                    <w:tl2br w:val="nil"/>
                    <w:tr2bl w:val="nil"/>
                  </w:tcBorders>
                  <w:vAlign w:val="center"/>
                </w:tcPr>
                <w:p>
                  <w:pPr>
                    <w:pStyle w:val="39"/>
                    <w:bidi w:val="0"/>
                    <w:rPr>
                      <w:rFonts w:hint="default" w:eastAsia="宋体"/>
                      <w:color w:val="auto"/>
                      <w:u w:val="none" w:color="auto"/>
                      <w:lang w:val="en-US" w:eastAsia="zh-CN"/>
                    </w:rPr>
                  </w:pPr>
                  <w:r>
                    <w:rPr>
                      <w:rFonts w:hint="eastAsia"/>
                      <w:color w:val="auto"/>
                      <w:u w:val="none" w:color="auto"/>
                      <w:lang w:val="en-US" w:eastAsia="zh-CN"/>
                    </w:rPr>
                    <w:t>66.67</w:t>
                  </w:r>
                </w:p>
              </w:tc>
              <w:tc>
                <w:tcPr>
                  <w:tcW w:w="573" w:type="pct"/>
                  <w:vMerge w:val="continue"/>
                  <w:tcBorders>
                    <w:tl2br w:val="nil"/>
                    <w:tr2bl w:val="nil"/>
                  </w:tcBorders>
                  <w:vAlign w:val="center"/>
                </w:tcPr>
                <w:p>
                  <w:pPr>
                    <w:pStyle w:val="39"/>
                    <w:bidi w:val="0"/>
                    <w:rPr>
                      <w:color w:val="auto"/>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000" w:type="pct"/>
                  <w:gridSpan w:val="10"/>
                  <w:tcBorders>
                    <w:tl2br w:val="nil"/>
                    <w:tr2bl w:val="nil"/>
                  </w:tcBorders>
                  <w:vAlign w:val="center"/>
                </w:tcPr>
                <w:p>
                  <w:pPr>
                    <w:pStyle w:val="39"/>
                    <w:bidi w:val="0"/>
                    <w:jc w:val="both"/>
                    <w:rPr>
                      <w:rFonts w:hint="eastAsia" w:eastAsia="宋体"/>
                      <w:color w:val="auto"/>
                      <w:u w:val="none" w:color="auto"/>
                      <w:lang w:val="en-US" w:eastAsia="zh-CN"/>
                    </w:rPr>
                  </w:pPr>
                  <w:r>
                    <w:rPr>
                      <w:rFonts w:hint="eastAsia"/>
                      <w:color w:val="auto"/>
                      <w:u w:val="none" w:color="auto"/>
                      <w:lang w:val="en-US" w:eastAsia="zh-CN"/>
                    </w:rPr>
                    <w:t>注：锅外水处理：又称为锅外化学水处理，是指对进入锅炉之前的给水预先进行的各种预处理及软化、除碱或除盐等处理（主要是包括沉淀软化和水的离子交换软化），使水 质达到各种类型锅炉的要求，是锅炉水质处理的主要方式。在锅外水处理过程中，会产生软化处理废水，同时锅炉运行过程中同样会产生锅炉排污水。因此对于锅外水处 理的情况应同时考虑锅炉排污水和软化处理废水；表中锅外水处理系数包含锅炉排污水和软化处理废水两部分。</w:t>
                  </w:r>
                </w:p>
              </w:tc>
            </w:tr>
          </w:tbl>
          <w:p>
            <w:pPr>
              <w:pStyle w:val="34"/>
              <w:spacing w:line="360" w:lineRule="auto"/>
              <w:jc w:val="center"/>
              <w:rPr>
                <w:rFonts w:hint="default" w:ascii="Times New Roman" w:hAnsi="Times New Roman" w:eastAsia="宋体" w:cs="Times New Roman"/>
                <w:b/>
                <w:bCs/>
                <w:color w:val="auto"/>
                <w:kern w:val="28"/>
                <w:sz w:val="21"/>
                <w:szCs w:val="21"/>
                <w:u w:val="none" w:color="auto"/>
              </w:rPr>
            </w:pPr>
            <w:r>
              <w:rPr>
                <w:rFonts w:hint="default" w:ascii="Times New Roman" w:hAnsi="Times New Roman" w:eastAsia="宋体" w:cs="Times New Roman"/>
                <w:b/>
                <w:bCs/>
                <w:color w:val="auto"/>
                <w:kern w:val="28"/>
                <w:sz w:val="21"/>
                <w:szCs w:val="21"/>
                <w:u w:val="none" w:color="auto"/>
              </w:rPr>
              <w:t>表4</w:t>
            </w:r>
            <w:r>
              <w:rPr>
                <w:rFonts w:hint="default" w:ascii="Times New Roman" w:hAnsi="Times New Roman" w:eastAsia="宋体" w:cs="Times New Roman"/>
                <w:b/>
                <w:bCs/>
                <w:color w:val="auto"/>
                <w:kern w:val="28"/>
                <w:sz w:val="21"/>
                <w:szCs w:val="21"/>
                <w:u w:val="none" w:color="auto"/>
                <w:lang w:val="en-US" w:eastAsia="zh-CN"/>
              </w:rPr>
              <w:t>.2</w:t>
            </w:r>
            <w:r>
              <w:rPr>
                <w:rFonts w:hint="default" w:ascii="Times New Roman" w:hAnsi="Times New Roman" w:eastAsia="宋体" w:cs="Times New Roman"/>
                <w:b/>
                <w:bCs/>
                <w:color w:val="auto"/>
                <w:kern w:val="28"/>
                <w:sz w:val="21"/>
                <w:szCs w:val="21"/>
                <w:u w:val="none" w:color="auto"/>
              </w:rPr>
              <w:t>-</w:t>
            </w:r>
            <w:r>
              <w:rPr>
                <w:rFonts w:hint="eastAsia" w:ascii="Times New Roman" w:hAnsi="Times New Roman" w:eastAsia="宋体" w:cs="Times New Roman"/>
                <w:b/>
                <w:bCs/>
                <w:color w:val="auto"/>
                <w:kern w:val="28"/>
                <w:sz w:val="21"/>
                <w:szCs w:val="21"/>
                <w:u w:val="none" w:color="auto"/>
                <w:lang w:val="en-US" w:eastAsia="zh-CN"/>
              </w:rPr>
              <w:t>5</w:t>
            </w:r>
            <w:r>
              <w:rPr>
                <w:rFonts w:hint="default" w:ascii="Times New Roman" w:hAnsi="Times New Roman" w:eastAsia="宋体" w:cs="Times New Roman"/>
                <w:b/>
                <w:bCs/>
                <w:color w:val="auto"/>
                <w:kern w:val="28"/>
                <w:sz w:val="21"/>
                <w:szCs w:val="21"/>
                <w:u w:val="none" w:color="auto"/>
              </w:rPr>
              <w:t>：</w:t>
            </w:r>
            <w:r>
              <w:rPr>
                <w:rFonts w:hint="eastAsia" w:ascii="Times New Roman" w:hAnsi="Times New Roman" w:eastAsia="宋体" w:cs="Times New Roman"/>
                <w:b/>
                <w:bCs/>
                <w:color w:val="auto"/>
                <w:kern w:val="28"/>
                <w:sz w:val="21"/>
                <w:szCs w:val="21"/>
                <w:u w:val="none" w:color="auto"/>
                <w:lang w:val="en-US" w:eastAsia="zh-CN"/>
              </w:rPr>
              <w:t>锅炉</w:t>
            </w:r>
            <w:r>
              <w:rPr>
                <w:rFonts w:hint="default" w:ascii="Times New Roman" w:hAnsi="Times New Roman" w:eastAsia="宋体" w:cs="Times New Roman"/>
                <w:b/>
                <w:bCs/>
                <w:color w:val="auto"/>
                <w:kern w:val="28"/>
                <w:sz w:val="21"/>
                <w:szCs w:val="21"/>
                <w:u w:val="none" w:color="auto"/>
                <w:lang w:val="en-US" w:eastAsia="zh-CN"/>
              </w:rPr>
              <w:t>废水</w:t>
            </w:r>
            <w:r>
              <w:rPr>
                <w:rFonts w:hint="default" w:ascii="Times New Roman" w:hAnsi="Times New Roman" w:eastAsia="宋体" w:cs="Times New Roman"/>
                <w:b/>
                <w:bCs/>
                <w:color w:val="auto"/>
                <w:kern w:val="28"/>
                <w:sz w:val="21"/>
                <w:szCs w:val="21"/>
                <w:u w:val="none" w:color="auto"/>
              </w:rPr>
              <w:t>主要污染物产排污情况</w:t>
            </w:r>
          </w:p>
          <w:tbl>
            <w:tblPr>
              <w:tblStyle w:val="28"/>
              <w:tblW w:w="0" w:type="auto"/>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230"/>
              <w:gridCol w:w="1324"/>
              <w:gridCol w:w="1241"/>
              <w:gridCol w:w="1731"/>
              <w:gridCol w:w="1311"/>
            </w:tblGrid>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vMerge w:val="restart"/>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污染物</w:t>
                  </w:r>
                </w:p>
              </w:tc>
              <w:tc>
                <w:tcPr>
                  <w:tcW w:w="2554"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产生情况</w:t>
                  </w:r>
                </w:p>
              </w:tc>
              <w:tc>
                <w:tcPr>
                  <w:tcW w:w="1241" w:type="dxa"/>
                  <w:vMerge w:val="restart"/>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消减量(t/a)</w:t>
                  </w:r>
                </w:p>
              </w:tc>
              <w:tc>
                <w:tcPr>
                  <w:tcW w:w="3042"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排放情况</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321" w:type="dxa"/>
                  <w:vMerge w:val="continue"/>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产生浓度(mg/L)</w:t>
                  </w:r>
                </w:p>
              </w:tc>
              <w:tc>
                <w:tcPr>
                  <w:tcW w:w="1324"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产生量(t/a)</w:t>
                  </w:r>
                </w:p>
              </w:tc>
              <w:tc>
                <w:tcPr>
                  <w:tcW w:w="1241" w:type="dxa"/>
                  <w:vMerge w:val="continue"/>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p>
              </w:tc>
              <w:tc>
                <w:tcPr>
                  <w:tcW w:w="173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排放浓度(mg/L)</w:t>
                  </w:r>
                </w:p>
              </w:tc>
              <w:tc>
                <w:tcPr>
                  <w:tcW w:w="131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bCs w:val="0"/>
                      <w:kern w:val="21"/>
                      <w:sz w:val="21"/>
                      <w:szCs w:val="21"/>
                      <w:u w:val="none" w:color="auto"/>
                    </w:rPr>
                  </w:pPr>
                  <w:r>
                    <w:rPr>
                      <w:rFonts w:hint="default" w:ascii="Times New Roman" w:hAnsi="Times New Roman" w:eastAsia="宋体" w:cs="Times New Roman"/>
                      <w:b/>
                      <w:bCs w:val="0"/>
                      <w:kern w:val="21"/>
                      <w:sz w:val="21"/>
                      <w:szCs w:val="21"/>
                      <w:u w:val="none" w:color="auto"/>
                    </w:rPr>
                    <w:t>排放量(t/a)</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污水量</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w:t>
                  </w:r>
                </w:p>
              </w:tc>
              <w:tc>
                <w:tcPr>
                  <w:tcW w:w="1324"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default" w:ascii="Times New Roman" w:hAnsi="Times New Roman" w:cs="Times New Roman"/>
                      <w:color w:val="auto"/>
                      <w:sz w:val="21"/>
                      <w:szCs w:val="21"/>
                      <w:u w:val="none" w:color="auto"/>
                      <w:lang w:val="en-US" w:eastAsia="zh-CN"/>
                    </w:rPr>
                    <w:t>734.4</w:t>
                  </w:r>
                </w:p>
              </w:tc>
              <w:tc>
                <w:tcPr>
                  <w:tcW w:w="124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w:t>
                  </w:r>
                </w:p>
              </w:tc>
              <w:tc>
                <w:tcPr>
                  <w:tcW w:w="173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w:t>
                  </w:r>
                </w:p>
              </w:tc>
              <w:tc>
                <w:tcPr>
                  <w:tcW w:w="131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734.4</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COD</w:t>
                  </w:r>
                  <w:r>
                    <w:rPr>
                      <w:rFonts w:hint="default" w:ascii="Times New Roman" w:hAnsi="Times New Roman" w:eastAsia="宋体" w:cs="Times New Roman"/>
                      <w:b w:val="0"/>
                      <w:bCs/>
                      <w:kern w:val="21"/>
                      <w:sz w:val="21"/>
                      <w:szCs w:val="21"/>
                      <w:u w:val="none" w:color="auto"/>
                      <w:vertAlign w:val="subscript"/>
                    </w:rPr>
                    <w:t>Cr</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12.25</w:t>
                  </w:r>
                </w:p>
              </w:tc>
              <w:tc>
                <w:tcPr>
                  <w:tcW w:w="1324"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eastAsia" w:cs="Times New Roman"/>
                      <w:u w:val="none" w:color="auto"/>
                      <w:lang w:val="en-US" w:eastAsia="zh-CN"/>
                    </w:rPr>
                    <w:t>0.009</w:t>
                  </w:r>
                </w:p>
              </w:tc>
              <w:tc>
                <w:tcPr>
                  <w:tcW w:w="1241" w:type="dxa"/>
                  <w:tcBorders>
                    <w:tl2br w:val="nil"/>
                    <w:tr2bl w:val="nil"/>
                  </w:tcBorders>
                  <w:noWrap w:val="0"/>
                  <w:vAlign w:val="center"/>
                </w:tcPr>
                <w:p>
                  <w:pPr>
                    <w:pStyle w:val="39"/>
                    <w:keepNext w:val="0"/>
                    <w:keepLines w:val="0"/>
                    <w:widowControl/>
                    <w:suppressLineNumbers w:val="0"/>
                    <w:wordWrap/>
                    <w:ind w:firstLine="0" w:firstLineChars="0"/>
                    <w:jc w:val="center"/>
                    <w:textAlignment w:val="center"/>
                    <w:rPr>
                      <w:rFonts w:hint="default"/>
                      <w:u w:val="none" w:color="auto"/>
                    </w:rPr>
                  </w:pPr>
                  <w:r>
                    <w:rPr>
                      <w:rFonts w:hint="eastAsia"/>
                      <w:u w:val="none" w:color="auto"/>
                      <w:lang w:val="en-US" w:eastAsia="zh-CN"/>
                    </w:rPr>
                    <w:t>0.006</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4.08</w:t>
                  </w:r>
                </w:p>
              </w:tc>
              <w:tc>
                <w:tcPr>
                  <w:tcW w:w="1311"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eastAsia" w:cs="Times New Roman"/>
                      <w:u w:val="none" w:color="auto"/>
                      <w:lang w:val="en-US" w:eastAsia="zh-CN"/>
                    </w:rPr>
                    <w:t>0.003</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BOD</w:t>
                  </w:r>
                  <w:r>
                    <w:rPr>
                      <w:rFonts w:hint="default" w:ascii="Times New Roman" w:hAnsi="Times New Roman" w:eastAsia="宋体" w:cs="Times New Roman"/>
                      <w:b w:val="0"/>
                      <w:bCs/>
                      <w:kern w:val="21"/>
                      <w:sz w:val="21"/>
                      <w:szCs w:val="21"/>
                      <w:u w:val="none" w:color="auto"/>
                      <w:vertAlign w:val="subscript"/>
                    </w:rPr>
                    <w:t>5</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40</w:t>
                  </w:r>
                </w:p>
              </w:tc>
              <w:tc>
                <w:tcPr>
                  <w:tcW w:w="1324"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eastAsia" w:cs="Times New Roman"/>
                      <w:u w:val="none" w:color="auto"/>
                      <w:lang w:val="en-US" w:eastAsia="zh-CN"/>
                    </w:rPr>
                    <w:t>0.0274</w:t>
                  </w:r>
                </w:p>
              </w:tc>
              <w:tc>
                <w:tcPr>
                  <w:tcW w:w="1241" w:type="dxa"/>
                  <w:tcBorders>
                    <w:tl2br w:val="nil"/>
                    <w:tr2bl w:val="nil"/>
                  </w:tcBorders>
                  <w:noWrap w:val="0"/>
                  <w:vAlign w:val="center"/>
                </w:tcPr>
                <w:p>
                  <w:pPr>
                    <w:pStyle w:val="39"/>
                    <w:keepNext w:val="0"/>
                    <w:keepLines w:val="0"/>
                    <w:widowControl/>
                    <w:suppressLineNumbers w:val="0"/>
                    <w:wordWrap/>
                    <w:ind w:firstLine="0" w:firstLineChars="0"/>
                    <w:jc w:val="center"/>
                    <w:textAlignment w:val="center"/>
                    <w:rPr>
                      <w:rFonts w:hint="default"/>
                      <w:u w:val="none" w:color="auto"/>
                    </w:rPr>
                  </w:pPr>
                  <w:r>
                    <w:rPr>
                      <w:rFonts w:hint="eastAsia"/>
                      <w:u w:val="none" w:color="auto"/>
                      <w:lang w:val="en-US" w:eastAsia="zh-CN"/>
                    </w:rPr>
                    <w:t>0.0245</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4</w:t>
                  </w:r>
                </w:p>
              </w:tc>
              <w:tc>
                <w:tcPr>
                  <w:tcW w:w="1311"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eastAsia" w:cs="Times New Roman"/>
                      <w:u w:val="none" w:color="auto"/>
                      <w:lang w:val="en-US" w:eastAsia="zh-CN"/>
                    </w:rPr>
                    <w:t>0.0029</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SS</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100</w:t>
                  </w:r>
                </w:p>
              </w:tc>
              <w:tc>
                <w:tcPr>
                  <w:tcW w:w="1324"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eastAsia" w:cs="Times New Roman"/>
                      <w:u w:val="none" w:color="auto"/>
                      <w:lang w:val="en-US" w:eastAsia="zh-CN"/>
                    </w:rPr>
                    <w:t>0.0734</w:t>
                  </w:r>
                </w:p>
              </w:tc>
              <w:tc>
                <w:tcPr>
                  <w:tcW w:w="1241" w:type="dxa"/>
                  <w:tcBorders>
                    <w:tl2br w:val="nil"/>
                    <w:tr2bl w:val="nil"/>
                  </w:tcBorders>
                  <w:noWrap w:val="0"/>
                  <w:vAlign w:val="center"/>
                </w:tcPr>
                <w:p>
                  <w:pPr>
                    <w:pStyle w:val="39"/>
                    <w:keepNext w:val="0"/>
                    <w:keepLines w:val="0"/>
                    <w:widowControl/>
                    <w:suppressLineNumbers w:val="0"/>
                    <w:wordWrap/>
                    <w:ind w:firstLine="0" w:firstLineChars="0"/>
                    <w:jc w:val="center"/>
                    <w:textAlignment w:val="center"/>
                    <w:rPr>
                      <w:rFonts w:hint="default"/>
                      <w:u w:val="none" w:color="auto"/>
                    </w:rPr>
                  </w:pPr>
                  <w:r>
                    <w:rPr>
                      <w:rFonts w:hint="eastAsia"/>
                      <w:u w:val="none" w:color="auto"/>
                      <w:lang w:val="en-US" w:eastAsia="zh-CN"/>
                    </w:rPr>
                    <w:t>0.0477</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35</w:t>
                  </w:r>
                </w:p>
              </w:tc>
              <w:tc>
                <w:tcPr>
                  <w:tcW w:w="1311"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eastAsia" w:cs="Times New Roman"/>
                      <w:u w:val="none" w:color="auto"/>
                      <w:lang w:val="en-US" w:eastAsia="zh-CN"/>
                    </w:rPr>
                    <w:t>0.0257</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1"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rPr>
                  </w:pPr>
                  <w:r>
                    <w:rPr>
                      <w:rFonts w:hint="default" w:ascii="Times New Roman" w:hAnsi="Times New Roman" w:eastAsia="宋体" w:cs="Times New Roman"/>
                      <w:b w:val="0"/>
                      <w:bCs/>
                      <w:kern w:val="21"/>
                      <w:sz w:val="21"/>
                      <w:szCs w:val="21"/>
                      <w:u w:val="none" w:color="auto"/>
                    </w:rPr>
                    <w:t>NH</w:t>
                  </w:r>
                  <w:r>
                    <w:rPr>
                      <w:rFonts w:hint="default" w:ascii="Times New Roman" w:hAnsi="Times New Roman" w:eastAsia="宋体" w:cs="Times New Roman"/>
                      <w:b w:val="0"/>
                      <w:bCs/>
                      <w:kern w:val="21"/>
                      <w:sz w:val="21"/>
                      <w:szCs w:val="21"/>
                      <w:u w:val="none" w:color="auto"/>
                      <w:vertAlign w:val="subscript"/>
                    </w:rPr>
                    <w:t>3</w:t>
                  </w:r>
                  <w:r>
                    <w:rPr>
                      <w:rFonts w:hint="default" w:ascii="Times New Roman" w:hAnsi="Times New Roman" w:eastAsia="宋体" w:cs="Times New Roman"/>
                      <w:b w:val="0"/>
                      <w:bCs/>
                      <w:kern w:val="21"/>
                      <w:sz w:val="21"/>
                      <w:szCs w:val="21"/>
                      <w:u w:val="none" w:color="auto"/>
                    </w:rPr>
                    <w:t>-N</w:t>
                  </w:r>
                </w:p>
              </w:tc>
              <w:tc>
                <w:tcPr>
                  <w:tcW w:w="1230" w:type="dxa"/>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b w:val="0"/>
                      <w:bCs/>
                      <w:kern w:val="21"/>
                      <w:sz w:val="21"/>
                      <w:szCs w:val="21"/>
                      <w:u w:val="none" w:color="auto"/>
                      <w:lang w:val="en-US" w:eastAsia="zh-CN"/>
                    </w:rPr>
                  </w:pPr>
                  <w:r>
                    <w:rPr>
                      <w:rFonts w:hint="eastAsia" w:ascii="Times New Roman" w:hAnsi="Times New Roman" w:eastAsia="宋体" w:cs="Times New Roman"/>
                      <w:b w:val="0"/>
                      <w:bCs/>
                      <w:kern w:val="21"/>
                      <w:sz w:val="21"/>
                      <w:szCs w:val="21"/>
                      <w:u w:val="none" w:color="auto"/>
                      <w:lang w:val="en-US" w:eastAsia="zh-CN"/>
                    </w:rPr>
                    <w:t>10</w:t>
                  </w:r>
                </w:p>
              </w:tc>
              <w:tc>
                <w:tcPr>
                  <w:tcW w:w="1324"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eastAsia" w:cs="Times New Roman"/>
                      <w:u w:val="none" w:color="auto"/>
                      <w:lang w:val="en-US" w:eastAsia="zh-CN"/>
                    </w:rPr>
                    <w:t>0.00734</w:t>
                  </w:r>
                </w:p>
              </w:tc>
              <w:tc>
                <w:tcPr>
                  <w:tcW w:w="1241" w:type="dxa"/>
                  <w:tcBorders>
                    <w:tl2br w:val="nil"/>
                    <w:tr2bl w:val="nil"/>
                  </w:tcBorders>
                  <w:noWrap w:val="0"/>
                  <w:vAlign w:val="center"/>
                </w:tcPr>
                <w:p>
                  <w:pPr>
                    <w:pStyle w:val="39"/>
                    <w:keepNext w:val="0"/>
                    <w:keepLines w:val="0"/>
                    <w:widowControl/>
                    <w:suppressLineNumbers w:val="0"/>
                    <w:wordWrap/>
                    <w:ind w:firstLine="0" w:firstLineChars="0"/>
                    <w:jc w:val="center"/>
                    <w:textAlignment w:val="center"/>
                    <w:rPr>
                      <w:rFonts w:hint="default"/>
                      <w:u w:val="none" w:color="auto"/>
                      <w:lang w:val="en-US"/>
                    </w:rPr>
                  </w:pPr>
                  <w:r>
                    <w:rPr>
                      <w:rFonts w:hint="eastAsia"/>
                      <w:u w:val="none" w:color="auto"/>
                      <w:lang w:val="en-US" w:eastAsia="zh-CN"/>
                    </w:rPr>
                    <w:t>0.00614</w:t>
                  </w:r>
                </w:p>
              </w:tc>
              <w:tc>
                <w:tcPr>
                  <w:tcW w:w="1731" w:type="dxa"/>
                  <w:tcBorders>
                    <w:tl2br w:val="nil"/>
                    <w:tr2bl w:val="nil"/>
                  </w:tcBorders>
                  <w:noWrap w:val="0"/>
                  <w:vAlign w:val="center"/>
                </w:tcPr>
                <w:p>
                  <w:pPr>
                    <w:pStyle w:val="39"/>
                    <w:bidi w:val="0"/>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1.6</w:t>
                  </w:r>
                </w:p>
              </w:tc>
              <w:tc>
                <w:tcPr>
                  <w:tcW w:w="1311"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eastAsia" w:cs="Times New Roman"/>
                      <w:u w:val="none" w:color="auto"/>
                      <w:lang w:val="en-US" w:eastAsia="zh-CN"/>
                    </w:rPr>
                    <w:t>0.0012</w:t>
                  </w:r>
                </w:p>
              </w:tc>
            </w:tr>
          </w:tbl>
          <w:p>
            <w:pPr>
              <w:bidi w:val="0"/>
              <w:rPr>
                <w:rFonts w:hint="default" w:ascii="Times New Roman" w:hAnsi="Times New Roman" w:cs="Times New Roman"/>
                <w:highlight w:val="none"/>
                <w:u w:val="none" w:color="auto"/>
                <w:lang w:eastAsia="zh-CN"/>
              </w:rPr>
            </w:pPr>
            <w:r>
              <w:rPr>
                <w:rFonts w:hint="default" w:ascii="Times New Roman" w:hAnsi="Times New Roman" w:cs="Times New Roman"/>
                <w:color w:val="auto"/>
                <w:u w:val="none" w:color="auto"/>
                <w:lang w:val="en-US"/>
              </w:rPr>
              <w:t>项目</w:t>
            </w:r>
            <w:r>
              <w:rPr>
                <w:rFonts w:hint="eastAsia" w:ascii="Times New Roman" w:hAnsi="Times New Roman" w:cs="Times New Roman"/>
                <w:color w:val="auto"/>
                <w:u w:val="none" w:color="auto"/>
                <w:lang w:val="en-US" w:eastAsia="zh-CN"/>
              </w:rPr>
              <w:t>锅炉</w:t>
            </w:r>
            <w:r>
              <w:rPr>
                <w:rFonts w:hint="default" w:ascii="Times New Roman" w:hAnsi="Times New Roman" w:cs="Times New Roman"/>
                <w:color w:val="auto"/>
                <w:u w:val="none" w:color="auto"/>
                <w:lang w:val="en-US"/>
              </w:rPr>
              <w:t>废水均经过自建污水处理站处理（采用</w:t>
            </w:r>
            <w:r>
              <w:rPr>
                <w:rFonts w:hint="default" w:ascii="Times New Roman" w:hAnsi="Times New Roman" w:cs="Times New Roman"/>
                <w:color w:val="auto"/>
                <w:u w:val="none" w:color="auto"/>
                <w:lang w:val="en-US" w:eastAsia="zh-CN"/>
              </w:rPr>
              <w:t>混凝沉淀+SBR法</w:t>
            </w:r>
            <w:r>
              <w:rPr>
                <w:rFonts w:hint="default" w:ascii="Times New Roman" w:hAnsi="Times New Roman" w:cs="Times New Roman"/>
                <w:color w:val="auto"/>
                <w:u w:val="none" w:color="auto"/>
                <w:lang w:val="en-US"/>
              </w:rPr>
              <w:t>工艺）达到</w:t>
            </w:r>
            <w:r>
              <w:rPr>
                <w:rFonts w:hint="default" w:ascii="Times New Roman" w:hAnsi="Times New Roman" w:cs="Times New Roman"/>
                <w:u w:val="none" w:color="auto"/>
                <w:lang w:eastAsia="zh-CN"/>
              </w:rPr>
              <w:t>《农田灌溉水质标准》（GB5084-</w:t>
            </w:r>
            <w:r>
              <w:rPr>
                <w:rFonts w:hint="default" w:ascii="Times New Roman" w:hAnsi="Times New Roman" w:cs="Times New Roman"/>
                <w:u w:val="none" w:color="auto"/>
                <w:lang w:val="en-US" w:eastAsia="zh-CN"/>
              </w:rPr>
              <w:t>2021</w:t>
            </w:r>
            <w:r>
              <w:rPr>
                <w:rFonts w:hint="default" w:ascii="Times New Roman" w:hAnsi="Times New Roman" w:cs="Times New Roman"/>
                <w:u w:val="none" w:color="auto"/>
                <w:lang w:eastAsia="zh-CN"/>
              </w:rPr>
              <w:t>）中的</w:t>
            </w:r>
            <w:r>
              <w:rPr>
                <w:rFonts w:hint="default" w:ascii="Times New Roman" w:hAnsi="Times New Roman" w:cs="Times New Roman"/>
                <w:u w:val="none" w:color="auto"/>
                <w:lang w:val="en-US" w:eastAsia="zh-CN"/>
              </w:rPr>
              <w:t>水田</w:t>
            </w:r>
            <w:r>
              <w:rPr>
                <w:rFonts w:hint="default" w:ascii="Times New Roman" w:hAnsi="Times New Roman" w:cs="Times New Roman"/>
                <w:u w:val="none" w:color="auto"/>
                <w:lang w:eastAsia="zh-CN"/>
              </w:rPr>
              <w:t>标准后</w:t>
            </w:r>
            <w:r>
              <w:rPr>
                <w:rFonts w:hint="default" w:ascii="Times New Roman" w:hAnsi="Times New Roman" w:cs="Times New Roman"/>
                <w:u w:val="none" w:color="auto"/>
              </w:rPr>
              <w:t>用于</w:t>
            </w:r>
            <w:r>
              <w:rPr>
                <w:rFonts w:hint="default" w:ascii="Times New Roman" w:hAnsi="Times New Roman" w:cs="Times New Roman"/>
                <w:highlight w:val="none"/>
                <w:u w:val="none" w:color="auto"/>
                <w:lang w:val="en-US" w:eastAsia="zh-CN"/>
              </w:rPr>
              <w:t>水田、</w:t>
            </w:r>
            <w:r>
              <w:rPr>
                <w:rFonts w:hint="default" w:ascii="Times New Roman" w:hAnsi="Times New Roman" w:cs="Times New Roman"/>
                <w:highlight w:val="none"/>
                <w:u w:val="none" w:color="auto"/>
                <w:lang w:eastAsia="zh-CN"/>
              </w:rPr>
              <w:t>旱地</w:t>
            </w:r>
            <w:r>
              <w:rPr>
                <w:rFonts w:hint="default" w:ascii="Times New Roman" w:hAnsi="Times New Roman" w:cs="Times New Roman"/>
                <w:highlight w:val="none"/>
                <w:u w:val="none" w:color="auto"/>
                <w:lang w:val="en-US" w:eastAsia="zh-CN"/>
              </w:rPr>
              <w:t>的灌溉</w:t>
            </w:r>
            <w:r>
              <w:rPr>
                <w:rFonts w:hint="default" w:ascii="Times New Roman" w:hAnsi="Times New Roman" w:cs="Times New Roman"/>
                <w:highlight w:val="none"/>
                <w:u w:val="none" w:color="auto"/>
              </w:rPr>
              <w:t>，不</w:t>
            </w:r>
            <w:r>
              <w:rPr>
                <w:rFonts w:hint="default" w:ascii="Times New Roman" w:hAnsi="Times New Roman" w:cs="Times New Roman"/>
                <w:u w:val="none" w:color="auto"/>
              </w:rPr>
              <w:t>外排</w:t>
            </w:r>
            <w:r>
              <w:rPr>
                <w:rFonts w:hint="default" w:ascii="Times New Roman" w:hAnsi="Times New Roman" w:cs="Times New Roman"/>
                <w:highlight w:val="none"/>
                <w:u w:val="none" w:color="auto"/>
                <w:lang w:eastAsia="zh-CN"/>
              </w:rPr>
              <w:t>。</w:t>
            </w:r>
          </w:p>
          <w:p>
            <w:pPr>
              <w:keepNext w:val="0"/>
              <w:keepLines w:val="0"/>
              <w:pageBreakBefore w:val="0"/>
              <w:widowControl w:val="0"/>
              <w:kinsoku/>
              <w:wordWrap/>
              <w:overflowPunct w:val="0"/>
              <w:topLinePunct w:val="0"/>
              <w:autoSpaceDE w:val="0"/>
              <w:autoSpaceDN w:val="0"/>
              <w:bidi w:val="0"/>
              <w:jc w:val="both"/>
              <w:rPr>
                <w:rFonts w:hint="eastAsia"/>
                <w:lang w:val="en-US" w:eastAsia="zh-CN"/>
              </w:rPr>
            </w:pPr>
            <w:r>
              <w:rPr>
                <w:rFonts w:hint="eastAsia"/>
                <w:lang w:val="en-US" w:eastAsia="zh-CN"/>
              </w:rPr>
              <w:t>因项目</w:t>
            </w:r>
            <w:r>
              <w:rPr>
                <w:rFonts w:hint="eastAsia"/>
                <w:u w:val="single" w:color="auto"/>
                <w:lang w:val="en-US" w:eastAsia="zh-CN"/>
              </w:rPr>
              <w:t>灌溉区域涉及饮用水水源保护区的二级陆域保护区，且</w:t>
            </w:r>
            <w:r>
              <w:rPr>
                <w:rFonts w:hint="eastAsia" w:ascii="Times New Roman" w:hAnsi="Times New Roman" w:eastAsia="宋体" w:cs="Times New Roman"/>
                <w:color w:val="auto"/>
                <w:highlight w:val="none"/>
                <w:u w:val="single" w:color="auto"/>
                <w:lang w:val="en-US" w:eastAsia="zh-CN"/>
              </w:rPr>
              <w:t>处于水源地保护区汇水区域，</w:t>
            </w:r>
            <w:r>
              <w:rPr>
                <w:rFonts w:hint="eastAsia"/>
                <w:lang w:val="en-US" w:eastAsia="zh-CN"/>
              </w:rPr>
              <w:t>为进一步保护该区域的水环境，本环评要求项目运营期应落实如下措施：</w:t>
            </w:r>
          </w:p>
          <w:p>
            <w:pPr>
              <w:keepNext w:val="0"/>
              <w:keepLines w:val="0"/>
              <w:pageBreakBefore w:val="0"/>
              <w:widowControl w:val="0"/>
              <w:kinsoku/>
              <w:wordWrap/>
              <w:overflowPunct w:val="0"/>
              <w:topLinePunct w:val="0"/>
              <w:autoSpaceDE w:val="0"/>
              <w:autoSpaceDN w:val="0"/>
              <w:bidi w:val="0"/>
              <w:jc w:val="both"/>
              <w:rPr>
                <w:rFonts w:hint="eastAsia"/>
                <w:lang w:val="en-US" w:eastAsia="zh-CN"/>
              </w:rPr>
            </w:pPr>
            <w:r>
              <w:rPr>
                <w:rFonts w:hint="eastAsia"/>
                <w:lang w:val="en-US" w:eastAsia="zh-CN"/>
              </w:rPr>
              <w:t>①厂区污水处理措施</w:t>
            </w:r>
          </w:p>
          <w:p>
            <w:pPr>
              <w:keepNext w:val="0"/>
              <w:keepLines w:val="0"/>
              <w:pageBreakBefore w:val="0"/>
              <w:widowControl w:val="0"/>
              <w:kinsoku/>
              <w:wordWrap/>
              <w:overflowPunct w:val="0"/>
              <w:topLinePunct w:val="0"/>
              <w:autoSpaceDE w:val="0"/>
              <w:autoSpaceDN w:val="0"/>
              <w:bidi w:val="0"/>
              <w:jc w:val="both"/>
              <w:rPr>
                <w:rFonts w:hint="eastAsia"/>
                <w:lang w:val="en-US" w:eastAsia="zh-CN"/>
              </w:rPr>
            </w:pPr>
            <w:r>
              <w:rPr>
                <w:rFonts w:hint="eastAsia"/>
                <w:lang w:val="en-US" w:eastAsia="zh-CN"/>
              </w:rPr>
              <w:t>项目生产废水需经自建污水处理设施处理达到</w:t>
            </w:r>
            <w:r>
              <w:rPr>
                <w:rFonts w:hint="default" w:ascii="Times New Roman" w:hAnsi="Times New Roman" w:cs="Times New Roman"/>
                <w:u w:val="single" w:color="auto"/>
                <w:lang w:eastAsia="zh-CN"/>
              </w:rPr>
              <w:t>《农田灌溉水质标准》（GB5084-20</w:t>
            </w:r>
            <w:r>
              <w:rPr>
                <w:rFonts w:hint="default" w:ascii="Times New Roman" w:hAnsi="Times New Roman" w:cs="Times New Roman"/>
                <w:u w:val="single" w:color="auto"/>
                <w:lang w:val="en-US" w:eastAsia="zh-CN"/>
              </w:rPr>
              <w:t>21</w:t>
            </w:r>
            <w:r>
              <w:rPr>
                <w:rFonts w:hint="default" w:ascii="Times New Roman" w:hAnsi="Times New Roman" w:cs="Times New Roman"/>
                <w:u w:val="single" w:color="auto"/>
                <w:lang w:eastAsia="zh-CN"/>
              </w:rPr>
              <w:t>）中的</w:t>
            </w:r>
            <w:r>
              <w:rPr>
                <w:rFonts w:hint="eastAsia" w:ascii="Times New Roman" w:hAnsi="Times New Roman" w:cs="Times New Roman"/>
                <w:u w:val="single" w:color="auto"/>
                <w:lang w:val="en-US" w:eastAsia="zh-CN"/>
              </w:rPr>
              <w:t>最严的</w:t>
            </w:r>
            <w:r>
              <w:rPr>
                <w:rFonts w:hint="default" w:ascii="Times New Roman" w:hAnsi="Times New Roman" w:cs="Times New Roman"/>
                <w:u w:val="single" w:color="auto"/>
                <w:lang w:val="en-US" w:eastAsia="zh-CN"/>
              </w:rPr>
              <w:t>水田</w:t>
            </w:r>
            <w:r>
              <w:rPr>
                <w:rFonts w:hint="default" w:ascii="Times New Roman" w:hAnsi="Times New Roman" w:cs="Times New Roman"/>
                <w:u w:val="single" w:color="auto"/>
                <w:lang w:eastAsia="zh-CN"/>
              </w:rPr>
              <w:t>标准后</w:t>
            </w:r>
            <w:r>
              <w:rPr>
                <w:rFonts w:hint="default" w:ascii="Times New Roman" w:hAnsi="Times New Roman" w:cs="Times New Roman"/>
                <w:u w:val="single" w:color="auto"/>
              </w:rPr>
              <w:t>用于</w:t>
            </w:r>
            <w:r>
              <w:rPr>
                <w:rFonts w:hint="default" w:ascii="Times New Roman" w:hAnsi="Times New Roman" w:cs="Times New Roman"/>
                <w:u w:val="single" w:color="auto"/>
                <w:lang w:val="en-US" w:eastAsia="zh-CN"/>
              </w:rPr>
              <w:t>水田、</w:t>
            </w:r>
            <w:r>
              <w:rPr>
                <w:rFonts w:hint="default" w:ascii="Times New Roman" w:hAnsi="Times New Roman" w:cs="Times New Roman"/>
                <w:u w:val="single" w:color="auto"/>
                <w:lang w:eastAsia="zh-CN"/>
              </w:rPr>
              <w:t>旱地</w:t>
            </w:r>
            <w:r>
              <w:rPr>
                <w:rFonts w:hint="default" w:ascii="Times New Roman" w:hAnsi="Times New Roman" w:cs="Times New Roman"/>
                <w:u w:val="single" w:color="auto"/>
                <w:lang w:val="en-US" w:eastAsia="zh-CN"/>
              </w:rPr>
              <w:t>的灌溉</w:t>
            </w:r>
            <w:r>
              <w:rPr>
                <w:rFonts w:hint="eastAsia"/>
                <w:lang w:val="en-US" w:eastAsia="zh-CN"/>
              </w:rPr>
              <w:t xml:space="preserve">。 </w:t>
            </w:r>
          </w:p>
          <w:p>
            <w:pPr>
              <w:keepNext w:val="0"/>
              <w:keepLines w:val="0"/>
              <w:pageBreakBefore w:val="0"/>
              <w:widowControl w:val="0"/>
              <w:kinsoku/>
              <w:wordWrap/>
              <w:overflowPunct w:val="0"/>
              <w:topLinePunct w:val="0"/>
              <w:autoSpaceDE w:val="0"/>
              <w:autoSpaceDN w:val="0"/>
              <w:bidi w:val="0"/>
              <w:jc w:val="both"/>
              <w:rPr>
                <w:rFonts w:hint="eastAsia"/>
                <w:lang w:val="en-US" w:eastAsia="zh-CN"/>
              </w:rPr>
            </w:pPr>
            <w:r>
              <w:rPr>
                <w:rFonts w:hint="eastAsia"/>
                <w:lang w:val="en-US" w:eastAsia="zh-CN"/>
              </w:rPr>
              <w:t>②项目管理区生活污水处理措施</w:t>
            </w:r>
          </w:p>
          <w:p>
            <w:pPr>
              <w:keepNext w:val="0"/>
              <w:keepLines w:val="0"/>
              <w:pageBreakBefore w:val="0"/>
              <w:widowControl w:val="0"/>
              <w:kinsoku/>
              <w:wordWrap/>
              <w:overflowPunct w:val="0"/>
              <w:topLinePunct w:val="0"/>
              <w:autoSpaceDE w:val="0"/>
              <w:autoSpaceDN w:val="0"/>
              <w:bidi w:val="0"/>
              <w:jc w:val="both"/>
              <w:rPr>
                <w:rFonts w:hint="eastAsia"/>
                <w:lang w:val="en-US" w:eastAsia="zh-CN"/>
              </w:rPr>
            </w:pPr>
            <w:r>
              <w:rPr>
                <w:rFonts w:hint="eastAsia"/>
                <w:lang w:val="en-US" w:eastAsia="zh-CN"/>
              </w:rPr>
              <w:t>本项目厂内生活污水需经过厂内化粪池预处理后才可与生产废水一起进入污水处理设施处理。</w:t>
            </w:r>
          </w:p>
          <w:p>
            <w:pPr>
              <w:pStyle w:val="11"/>
              <w:rPr>
                <w:rFonts w:hint="default" w:ascii="Times New Roman" w:hAnsi="Times New Roman" w:cs="Times New Roman"/>
                <w:highlight w:val="none"/>
                <w:u w:val="none" w:color="auto"/>
                <w:lang w:eastAsia="zh-CN"/>
              </w:rPr>
            </w:pPr>
            <w:r>
              <w:rPr>
                <w:rFonts w:hint="eastAsia"/>
                <w:lang w:val="en-US" w:eastAsia="zh-CN"/>
              </w:rPr>
              <w:t>③污水处理站要制定污水处理装置操作管理规程、岗位责任制、奖惩条例等规章制度，对污水处理站实现规范化、制度化管理，操作人员严格执行操作管理规程，最大限度控制由于操作失误造成的废水事故性排放发生。工作人员定期对污水处理装置进行检查和维修，使其始终处于正常工作状态。</w:t>
            </w:r>
          </w:p>
          <w:p>
            <w:pPr>
              <w:rPr>
                <w:rFonts w:hint="default" w:ascii="Times New Roman" w:hAnsi="Times New Roman" w:cs="Times New Roman"/>
                <w:highlight w:val="none"/>
                <w:u w:val="none" w:color="auto"/>
                <w:lang w:val="en-US" w:eastAsia="zh-CN"/>
              </w:rPr>
            </w:pPr>
            <w:r>
              <w:rPr>
                <w:rFonts w:hint="eastAsia" w:cs="Times New Roman"/>
                <w:highlight w:val="none"/>
                <w:u w:val="none" w:color="auto"/>
                <w:lang w:val="en-US" w:eastAsia="zh-CN"/>
              </w:rPr>
              <w:t>④</w:t>
            </w:r>
            <w:r>
              <w:rPr>
                <w:rFonts w:hint="eastAsia" w:cs="Times New Roman"/>
                <w:i w:val="0"/>
                <w:iCs w:val="0"/>
                <w:color w:val="000000"/>
                <w:szCs w:val="24"/>
                <w:highlight w:val="none"/>
                <w:u w:val="none" w:color="auto"/>
                <w:lang w:val="en-US" w:eastAsia="zh-CN"/>
              </w:rPr>
              <w:t>设置</w:t>
            </w:r>
            <w:r>
              <w:rPr>
                <w:rFonts w:hint="default" w:ascii="Times New Roman" w:hAnsi="Times New Roman" w:cs="Times New Roman"/>
                <w:i w:val="0"/>
                <w:iCs w:val="0"/>
                <w:color w:val="000000"/>
                <w:szCs w:val="24"/>
                <w:highlight w:val="none"/>
                <w:u w:val="none" w:color="auto"/>
                <w:lang w:val="en-US" w:eastAsia="zh-CN"/>
              </w:rPr>
              <w:t>清水池</w:t>
            </w:r>
            <w:r>
              <w:rPr>
                <w:rFonts w:hint="eastAsia" w:cs="Times New Roman"/>
                <w:i w:val="0"/>
                <w:iCs w:val="0"/>
                <w:color w:val="000000"/>
                <w:szCs w:val="24"/>
                <w:highlight w:val="none"/>
                <w:u w:val="none" w:color="auto"/>
                <w:lang w:val="en-US" w:eastAsia="zh-CN"/>
              </w:rPr>
              <w:t>，</w:t>
            </w:r>
            <w:r>
              <w:rPr>
                <w:rFonts w:hint="default" w:ascii="Times New Roman" w:hAnsi="Times New Roman" w:cs="Times New Roman"/>
                <w:i w:val="0"/>
                <w:iCs w:val="0"/>
                <w:color w:val="000000"/>
                <w:szCs w:val="24"/>
                <w:highlight w:val="none"/>
                <w:u w:val="none" w:color="auto"/>
                <w:lang w:val="en-US" w:eastAsia="zh-CN"/>
              </w:rPr>
              <w:t>容积设为200m</w:t>
            </w:r>
            <w:r>
              <w:rPr>
                <w:rFonts w:hint="default" w:ascii="Times New Roman" w:hAnsi="Times New Roman" w:cs="Times New Roman"/>
                <w:i w:val="0"/>
                <w:iCs w:val="0"/>
                <w:color w:val="000000"/>
                <w:szCs w:val="24"/>
                <w:highlight w:val="none"/>
                <w:u w:val="none" w:color="auto"/>
                <w:vertAlign w:val="superscript"/>
                <w:lang w:val="en-US" w:eastAsia="zh-CN"/>
              </w:rPr>
              <w:t>3</w:t>
            </w:r>
            <w:r>
              <w:rPr>
                <w:rFonts w:hint="default" w:ascii="Times New Roman" w:hAnsi="Times New Roman" w:cs="Times New Roman"/>
                <w:i w:val="0"/>
                <w:iCs w:val="0"/>
                <w:color w:val="000000"/>
                <w:szCs w:val="24"/>
                <w:highlight w:val="none"/>
                <w:u w:val="none" w:color="auto"/>
                <w:lang w:val="en-US" w:eastAsia="zh-CN"/>
              </w:rPr>
              <w:t>，并设置切换阀门，</w:t>
            </w:r>
            <w:r>
              <w:rPr>
                <w:rFonts w:hint="default" w:ascii="Times New Roman" w:hAnsi="Times New Roman" w:cs="Times New Roman"/>
                <w:highlight w:val="none"/>
                <w:u w:val="none" w:color="auto"/>
              </w:rPr>
              <w:t>在无需农灌</w:t>
            </w:r>
            <w:r>
              <w:rPr>
                <w:rFonts w:hint="default" w:ascii="Times New Roman" w:hAnsi="Times New Roman" w:cs="Times New Roman"/>
                <w:highlight w:val="none"/>
                <w:u w:val="none" w:color="auto"/>
                <w:lang w:val="en-US" w:eastAsia="zh-CN"/>
              </w:rPr>
              <w:t>以及事故状态下</w:t>
            </w:r>
            <w:r>
              <w:rPr>
                <w:rFonts w:hint="default" w:ascii="Times New Roman" w:hAnsi="Times New Roman" w:cs="Times New Roman"/>
                <w:highlight w:val="none"/>
                <w:u w:val="none" w:color="auto"/>
              </w:rPr>
              <w:t>时</w:t>
            </w:r>
            <w:r>
              <w:rPr>
                <w:rFonts w:hint="default" w:ascii="Times New Roman" w:hAnsi="Times New Roman" w:cs="Times New Roman"/>
                <w:highlight w:val="none"/>
                <w:u w:val="none" w:color="auto"/>
                <w:lang w:eastAsia="zh-CN"/>
              </w:rPr>
              <w:t>，</w:t>
            </w:r>
            <w:r>
              <w:rPr>
                <w:rFonts w:hint="eastAsia" w:ascii="Times New Roman" w:hAnsi="Times New Roman" w:cs="Times New Roman"/>
                <w:highlight w:val="none"/>
                <w:u w:val="none" w:color="auto"/>
                <w:lang w:val="en-US" w:eastAsia="zh-CN"/>
              </w:rPr>
              <w:t>将</w:t>
            </w:r>
            <w:r>
              <w:rPr>
                <w:rFonts w:hint="default" w:ascii="Times New Roman" w:hAnsi="Times New Roman" w:cs="Times New Roman"/>
                <w:highlight w:val="none"/>
                <w:u w:val="none" w:color="auto"/>
                <w:lang w:eastAsia="zh-CN"/>
              </w:rPr>
              <w:t>废水储存在</w:t>
            </w:r>
            <w:r>
              <w:rPr>
                <w:rFonts w:hint="default" w:ascii="Times New Roman" w:hAnsi="Times New Roman" w:cs="Times New Roman"/>
                <w:highlight w:val="none"/>
                <w:u w:val="none" w:color="auto"/>
                <w:lang w:val="en-US" w:eastAsia="zh-CN"/>
              </w:rPr>
              <w:t>厂内清</w:t>
            </w:r>
            <w:r>
              <w:rPr>
                <w:rFonts w:hint="default" w:ascii="Times New Roman" w:hAnsi="Times New Roman" w:cs="Times New Roman"/>
                <w:highlight w:val="none"/>
                <w:u w:val="none" w:color="auto"/>
                <w:lang w:eastAsia="zh-CN"/>
              </w:rPr>
              <w:t>水池内</w:t>
            </w:r>
            <w:r>
              <w:rPr>
                <w:rFonts w:hint="eastAsia" w:cs="Times New Roman"/>
                <w:highlight w:val="none"/>
                <w:u w:val="none" w:color="auto"/>
                <w:lang w:eastAsia="zh-CN"/>
              </w:rPr>
              <w:t>，</w:t>
            </w:r>
            <w:r>
              <w:rPr>
                <w:rFonts w:hint="eastAsia" w:ascii="Times New Roman" w:hAnsi="Times New Roman" w:cs="Times New Roman"/>
                <w:highlight w:val="none"/>
                <w:u w:val="none" w:color="auto"/>
                <w:lang w:val="en-US" w:eastAsia="zh-CN"/>
              </w:rPr>
              <w:t>且灌溉区域现有1个500立方的灌溉水池，项目废水处理达标后由清水池通过水泵泵至灌溉水池中，雨季时同样可将废水</w:t>
            </w:r>
            <w:r>
              <w:rPr>
                <w:rFonts w:hint="eastAsia" w:cs="Times New Roman"/>
                <w:highlight w:val="none"/>
                <w:u w:val="none" w:color="auto"/>
                <w:lang w:val="en-US" w:eastAsia="zh-CN"/>
              </w:rPr>
              <w:t>应急</w:t>
            </w:r>
            <w:r>
              <w:rPr>
                <w:rFonts w:hint="eastAsia" w:ascii="Times New Roman" w:hAnsi="Times New Roman" w:cs="Times New Roman"/>
                <w:highlight w:val="none"/>
                <w:u w:val="none" w:color="auto"/>
                <w:lang w:val="en-US" w:eastAsia="zh-CN"/>
              </w:rPr>
              <w:t>储存于灌溉水池中</w:t>
            </w:r>
            <w:r>
              <w:rPr>
                <w:rFonts w:hint="eastAsia" w:cs="Times New Roman"/>
                <w:highlight w:val="none"/>
                <w:u w:val="none" w:color="auto"/>
                <w:lang w:val="en-US" w:eastAsia="zh-CN"/>
              </w:rPr>
              <w:t>，可满足雨季生产废水应急储存的需求</w:t>
            </w:r>
            <w:r>
              <w:rPr>
                <w:rFonts w:hint="eastAsia" w:cs="Times New Roman"/>
                <w:sz w:val="24"/>
                <w:szCs w:val="24"/>
                <w:u w:val="none" w:color="auto"/>
                <w:lang w:val="en-US" w:eastAsia="zh-CN"/>
              </w:rPr>
              <w:t>。</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（2）废水处理措施及排放情况</w:t>
            </w:r>
          </w:p>
          <w:p>
            <w:pPr>
              <w:wordWrap/>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rPr>
              <w:t>①</w:t>
            </w:r>
            <w:r>
              <w:rPr>
                <w:rFonts w:hint="default" w:ascii="Times New Roman" w:hAnsi="Times New Roman" w:cs="Times New Roman"/>
                <w:color w:val="auto"/>
                <w:u w:val="none" w:color="auto"/>
                <w:lang w:val="en-US"/>
              </w:rPr>
              <w:t xml:space="preserve"> 处理措施</w:t>
            </w:r>
          </w:p>
          <w:p>
            <w:pPr>
              <w:wordWrap/>
              <w:ind w:firstLine="480"/>
              <w:rPr>
                <w:rFonts w:ascii="Times New Roman" w:hAnsi="Times New Roman" w:cs="Times New Roman"/>
                <w:color w:val="auto"/>
                <w:u w:val="none" w:color="auto"/>
              </w:rPr>
            </w:pPr>
            <w:r>
              <w:rPr>
                <w:rFonts w:ascii="Times New Roman" w:hAnsi="Times New Roman" w:cs="Times New Roman"/>
                <w:color w:val="auto"/>
                <w:u w:val="none" w:color="auto"/>
              </w:rPr>
              <w:t>本项目废水主要是</w:t>
            </w:r>
            <w:r>
              <w:rPr>
                <w:rFonts w:hint="default" w:ascii="Times New Roman" w:hAnsi="Times New Roman" w:cs="Times New Roman"/>
                <w:color w:val="auto"/>
                <w:u w:val="none" w:color="auto"/>
                <w:lang w:val="en-US"/>
              </w:rPr>
              <w:t>员工</w:t>
            </w:r>
            <w:r>
              <w:rPr>
                <w:rFonts w:ascii="Times New Roman" w:hAnsi="Times New Roman" w:cs="Times New Roman"/>
                <w:color w:val="auto"/>
                <w:u w:val="none" w:color="auto"/>
              </w:rPr>
              <w:t>生活</w:t>
            </w:r>
            <w:r>
              <w:rPr>
                <w:rFonts w:ascii="Times New Roman" w:hAnsi="Times New Roman" w:cs="Times New Roman"/>
                <w:color w:val="auto"/>
                <w:u w:val="none" w:color="auto"/>
                <w:lang w:val="en-US"/>
              </w:rPr>
              <w:t>污水</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米粉</w:t>
            </w:r>
            <w:r>
              <w:rPr>
                <w:rFonts w:hint="default" w:ascii="Times New Roman" w:hAnsi="Times New Roman" w:cs="Times New Roman"/>
                <w:color w:val="auto"/>
                <w:u w:val="none" w:color="auto"/>
                <w:lang w:val="en-US"/>
              </w:rPr>
              <w:t>生产废水</w:t>
            </w:r>
            <w:r>
              <w:rPr>
                <w:rFonts w:hint="default" w:ascii="Times New Roman" w:hAnsi="Times New Roman" w:cs="Times New Roman"/>
                <w:color w:val="auto"/>
                <w:u w:val="none" w:color="auto"/>
                <w:lang w:val="en-US" w:eastAsia="zh-CN"/>
              </w:rPr>
              <w:t>、地面、设备冲洗废水、锅炉废水以及化验废水；</w:t>
            </w:r>
            <w:r>
              <w:rPr>
                <w:rFonts w:hint="default" w:ascii="Times New Roman" w:hAnsi="Times New Roman" w:cs="Times New Roman"/>
                <w:u w:val="none" w:color="auto"/>
                <w:lang w:val="en-US" w:eastAsia="zh-CN"/>
              </w:rPr>
              <w:t>以上</w:t>
            </w:r>
            <w:r>
              <w:rPr>
                <w:rFonts w:hint="default" w:ascii="Times New Roman" w:hAnsi="Times New Roman" w:cs="Times New Roman"/>
                <w:u w:val="none" w:color="auto"/>
              </w:rPr>
              <w:t>废水</w:t>
            </w:r>
            <w:r>
              <w:rPr>
                <w:rFonts w:hint="default" w:ascii="Times New Roman" w:hAnsi="Times New Roman" w:cs="Times New Roman"/>
                <w:u w:val="none" w:color="auto"/>
                <w:lang w:val="en-US" w:eastAsia="zh-CN"/>
              </w:rPr>
              <w:t>均</w:t>
            </w:r>
            <w:r>
              <w:rPr>
                <w:rFonts w:hint="default" w:ascii="Times New Roman" w:hAnsi="Times New Roman" w:cs="Times New Roman"/>
                <w:u w:val="none" w:color="auto"/>
              </w:rPr>
              <w:t>进入</w:t>
            </w:r>
            <w:r>
              <w:rPr>
                <w:rFonts w:hint="default" w:ascii="Times New Roman" w:hAnsi="Times New Roman" w:cs="Times New Roman"/>
                <w:u w:val="none" w:color="auto"/>
                <w:lang w:eastAsia="zh-CN"/>
              </w:rPr>
              <w:t>污水处理站处理后达到《农田灌溉水质标准》（GB5084-20</w:t>
            </w:r>
            <w:r>
              <w:rPr>
                <w:rFonts w:hint="default" w:ascii="Times New Roman" w:hAnsi="Times New Roman" w:cs="Times New Roman"/>
                <w:u w:val="none" w:color="auto"/>
                <w:lang w:val="en-US" w:eastAsia="zh-CN"/>
              </w:rPr>
              <w:t>21</w:t>
            </w:r>
            <w:r>
              <w:rPr>
                <w:rFonts w:hint="default" w:ascii="Times New Roman" w:hAnsi="Times New Roman" w:cs="Times New Roman"/>
                <w:u w:val="none" w:color="auto"/>
                <w:lang w:eastAsia="zh-CN"/>
              </w:rPr>
              <w:t>）中的</w:t>
            </w:r>
            <w:r>
              <w:rPr>
                <w:rFonts w:hint="default" w:ascii="Times New Roman" w:hAnsi="Times New Roman" w:cs="Times New Roman"/>
                <w:u w:val="none" w:color="auto"/>
                <w:lang w:val="en-US" w:eastAsia="zh-CN"/>
              </w:rPr>
              <w:t>水田</w:t>
            </w:r>
            <w:r>
              <w:rPr>
                <w:rFonts w:hint="default" w:ascii="Times New Roman" w:hAnsi="Times New Roman" w:cs="Times New Roman"/>
                <w:u w:val="none" w:color="auto"/>
                <w:lang w:eastAsia="zh-CN"/>
              </w:rPr>
              <w:t>标准后</w:t>
            </w:r>
            <w:r>
              <w:rPr>
                <w:rFonts w:hint="default" w:ascii="Times New Roman" w:hAnsi="Times New Roman" w:cs="Times New Roman"/>
                <w:u w:val="none" w:color="auto"/>
              </w:rPr>
              <w:t>用于</w:t>
            </w:r>
            <w:r>
              <w:rPr>
                <w:rFonts w:hint="default" w:ascii="Times New Roman" w:hAnsi="Times New Roman" w:cs="Times New Roman"/>
                <w:highlight w:val="none"/>
                <w:u w:val="none" w:color="auto"/>
                <w:lang w:val="en-US" w:eastAsia="zh-CN"/>
              </w:rPr>
              <w:t>水田、</w:t>
            </w:r>
            <w:r>
              <w:rPr>
                <w:rFonts w:hint="default" w:ascii="Times New Roman" w:hAnsi="Times New Roman" w:cs="Times New Roman"/>
                <w:highlight w:val="none"/>
                <w:u w:val="none" w:color="auto"/>
                <w:lang w:eastAsia="zh-CN"/>
              </w:rPr>
              <w:t>旱地</w:t>
            </w:r>
            <w:r>
              <w:rPr>
                <w:rFonts w:hint="default" w:ascii="Times New Roman" w:hAnsi="Times New Roman" w:cs="Times New Roman"/>
                <w:highlight w:val="none"/>
                <w:u w:val="none" w:color="auto"/>
                <w:lang w:val="en-US" w:eastAsia="zh-CN"/>
              </w:rPr>
              <w:t>的灌溉</w:t>
            </w:r>
            <w:r>
              <w:rPr>
                <w:rFonts w:hint="default" w:ascii="Times New Roman" w:hAnsi="Times New Roman" w:cs="Times New Roman"/>
                <w:highlight w:val="none"/>
                <w:u w:val="none" w:color="auto"/>
              </w:rPr>
              <w:t>，不</w:t>
            </w:r>
            <w:r>
              <w:rPr>
                <w:rFonts w:hint="default" w:ascii="Times New Roman" w:hAnsi="Times New Roman" w:cs="Times New Roman"/>
                <w:u w:val="none" w:color="auto"/>
              </w:rPr>
              <w:t>外排</w:t>
            </w:r>
          </w:p>
          <w:p>
            <w:pPr>
              <w:wordWrap/>
              <w:ind w:firstLine="480"/>
              <w:rPr>
                <w:rFonts w:ascii="Times New Roman" w:hAnsi="Times New Roman" w:cs="Times New Roman"/>
                <w:color w:val="auto"/>
                <w:sz w:val="24"/>
                <w:szCs w:val="24"/>
                <w:highlight w:val="yellow"/>
                <w:u w:val="none" w:color="auto"/>
                <w:lang w:val="en-US"/>
              </w:rPr>
            </w:pPr>
            <w:r>
              <w:rPr>
                <w:rFonts w:hint="default" w:ascii="Times New Roman" w:hAnsi="Times New Roman" w:cs="Times New Roman"/>
                <w:color w:val="auto"/>
                <w:sz w:val="24"/>
                <w:szCs w:val="24"/>
                <w:u w:val="none" w:color="auto"/>
              </w:rPr>
              <w:t>根据核算废水量，</w:t>
            </w:r>
            <w:r>
              <w:rPr>
                <w:rFonts w:hint="default" w:ascii="Times New Roman" w:hAnsi="Times New Roman" w:cs="Times New Roman"/>
                <w:color w:val="auto"/>
                <w:sz w:val="24"/>
                <w:szCs w:val="24"/>
                <w:u w:val="none" w:color="auto"/>
                <w:lang w:eastAsia="zh-CN"/>
              </w:rPr>
              <w:t>项目废水产生量</w:t>
            </w:r>
            <w:r>
              <w:rPr>
                <w:rFonts w:hint="eastAsia" w:cs="Times New Roman"/>
                <w:color w:val="auto"/>
                <w:sz w:val="24"/>
                <w:szCs w:val="24"/>
                <w:u w:val="none" w:color="auto"/>
                <w:lang w:val="en-US" w:eastAsia="zh-CN"/>
              </w:rPr>
              <w:t>为30.5</w:t>
            </w:r>
            <w:r>
              <w:rPr>
                <w:rFonts w:hint="default" w:ascii="Times New Roman" w:hAnsi="Times New Roman" w:cs="Times New Roman"/>
                <w:color w:val="auto"/>
                <w:sz w:val="24"/>
                <w:szCs w:val="24"/>
                <w:u w:val="none" w:color="auto"/>
                <w:lang w:val="en-US" w:eastAsia="zh-CN"/>
              </w:rPr>
              <w:t>t/d</w:t>
            </w:r>
            <w:r>
              <w:rPr>
                <w:rFonts w:hint="default" w:ascii="Times New Roman" w:hAnsi="Times New Roman" w:cs="Times New Roman"/>
                <w:caps/>
                <w:color w:val="auto"/>
                <w:sz w:val="24"/>
                <w:szCs w:val="24"/>
                <w:u w:val="none" w:color="auto"/>
                <w:lang w:eastAsia="zh-CN"/>
              </w:rPr>
              <w:t>（</w:t>
            </w:r>
            <w:r>
              <w:rPr>
                <w:rFonts w:hint="eastAsia" w:cs="Times New Roman"/>
                <w:caps/>
                <w:color w:val="auto"/>
                <w:sz w:val="24"/>
                <w:szCs w:val="24"/>
                <w:u w:val="none" w:color="auto"/>
                <w:lang w:val="en-US" w:eastAsia="zh-CN"/>
              </w:rPr>
              <w:t>10978</w:t>
            </w:r>
            <w:r>
              <w:rPr>
                <w:rFonts w:hint="default" w:ascii="Times New Roman" w:hAnsi="Times New Roman" w:cs="Times New Roman"/>
                <w:color w:val="auto"/>
                <w:sz w:val="24"/>
                <w:szCs w:val="24"/>
                <w:u w:val="none" w:color="auto"/>
                <w:lang w:val="en-US"/>
              </w:rPr>
              <w:t>m</w:t>
            </w:r>
            <w:r>
              <w:rPr>
                <w:rFonts w:hint="default" w:ascii="Times New Roman" w:hAnsi="Times New Roman" w:cs="Times New Roman"/>
                <w:color w:val="auto"/>
                <w:sz w:val="24"/>
                <w:szCs w:val="24"/>
                <w:u w:val="none" w:color="auto"/>
                <w:vertAlign w:val="superscript"/>
                <w:lang w:val="en-US"/>
              </w:rPr>
              <w:t>3</w:t>
            </w:r>
            <w:r>
              <w:rPr>
                <w:rFonts w:hint="default" w:ascii="Times New Roman" w:hAnsi="Times New Roman" w:cs="Times New Roman"/>
                <w:color w:val="auto"/>
                <w:sz w:val="24"/>
                <w:szCs w:val="24"/>
                <w:u w:val="none" w:color="auto"/>
                <w:lang w:val="en-US"/>
              </w:rPr>
              <w:t>/a</w:t>
            </w:r>
            <w:r>
              <w:rPr>
                <w:rFonts w:hint="default" w:ascii="Times New Roman" w:hAnsi="Times New Roman" w:cs="Times New Roman"/>
                <w:caps/>
                <w:color w:val="auto"/>
                <w:sz w:val="24"/>
                <w:szCs w:val="24"/>
                <w:u w:val="none" w:color="auto"/>
                <w:lang w:eastAsia="zh-CN"/>
              </w:rPr>
              <w:t>）</w:t>
            </w:r>
            <w:r>
              <w:rPr>
                <w:rFonts w:hint="eastAsia" w:cs="Times New Roman"/>
                <w:caps/>
                <w:color w:val="auto"/>
                <w:sz w:val="24"/>
                <w:szCs w:val="24"/>
                <w:u w:val="none" w:color="auto"/>
                <w:lang w:eastAsia="zh-CN"/>
              </w:rPr>
              <w:t>，</w:t>
            </w:r>
            <w:r>
              <w:rPr>
                <w:rFonts w:hint="eastAsia"/>
                <w:u w:val="none" w:color="auto"/>
              </w:rPr>
              <w:t>污水处理站设计规模参照《医院污水处理工程技术规范》HJ2029-2013，设计水量应在实测或测算的基础上留有设计裕量，设计</w:t>
            </w:r>
            <w:r>
              <w:rPr>
                <w:rFonts w:hint="eastAsia"/>
                <w:u w:val="none" w:color="auto"/>
                <w:lang w:val="en-US" w:eastAsia="zh-CN"/>
              </w:rPr>
              <w:t>余量</w:t>
            </w:r>
            <w:r>
              <w:rPr>
                <w:rFonts w:hint="eastAsia"/>
                <w:u w:val="none" w:color="auto"/>
              </w:rPr>
              <w:t>宜取实测值或测算值的10%~20%</w:t>
            </w:r>
            <w:r>
              <w:rPr>
                <w:rFonts w:hint="eastAsia"/>
                <w:u w:val="none" w:color="auto"/>
                <w:lang w:eastAsia="zh-CN"/>
              </w:rPr>
              <w:t>，</w:t>
            </w:r>
            <w:r>
              <w:rPr>
                <w:rFonts w:hint="eastAsia"/>
                <w:u w:val="none" w:color="auto"/>
                <w:lang w:val="en-US" w:eastAsia="zh-CN"/>
              </w:rPr>
              <w:t>本</w:t>
            </w:r>
            <w:r>
              <w:rPr>
                <w:rFonts w:hint="default" w:ascii="Times New Roman" w:hAnsi="Times New Roman" w:cs="Times New Roman"/>
                <w:color w:val="auto"/>
                <w:sz w:val="24"/>
                <w:szCs w:val="24"/>
                <w:u w:val="none" w:color="auto"/>
              </w:rPr>
              <w:t>项目</w:t>
            </w:r>
            <w:r>
              <w:rPr>
                <w:rFonts w:hint="eastAsia" w:cs="Times New Roman"/>
                <w:color w:val="auto"/>
                <w:sz w:val="24"/>
                <w:szCs w:val="24"/>
                <w:u w:val="none" w:color="auto"/>
                <w:lang w:val="en-US" w:eastAsia="zh-CN"/>
              </w:rPr>
              <w:t>取</w:t>
            </w:r>
            <w:r>
              <w:rPr>
                <w:rFonts w:hint="eastAsia"/>
                <w:u w:val="none" w:color="auto"/>
              </w:rPr>
              <w:t>测算值的1</w:t>
            </w:r>
            <w:r>
              <w:rPr>
                <w:rFonts w:hint="eastAsia"/>
                <w:u w:val="none" w:color="auto"/>
                <w:lang w:val="en-US" w:eastAsia="zh-CN"/>
              </w:rPr>
              <w:t>5</w:t>
            </w:r>
            <w:r>
              <w:rPr>
                <w:rFonts w:hint="eastAsia"/>
                <w:u w:val="none" w:color="auto"/>
              </w:rPr>
              <w:t>%</w:t>
            </w:r>
            <w:r>
              <w:rPr>
                <w:rFonts w:hint="eastAsia"/>
                <w:u w:val="none" w:color="auto"/>
                <w:lang w:val="en-US" w:eastAsia="zh-CN"/>
              </w:rPr>
              <w:t>计，则</w:t>
            </w:r>
            <w:r>
              <w:rPr>
                <w:rFonts w:hint="default" w:ascii="Times New Roman" w:hAnsi="Times New Roman" w:cs="Times New Roman"/>
                <w:color w:val="auto"/>
                <w:sz w:val="24"/>
                <w:szCs w:val="24"/>
                <w:u w:val="none" w:color="auto"/>
              </w:rPr>
              <w:t>自建污水处理站设计处理规模为</w:t>
            </w:r>
            <w:r>
              <w:rPr>
                <w:rFonts w:hint="eastAsia" w:cs="Times New Roman"/>
                <w:color w:val="auto"/>
                <w:sz w:val="24"/>
                <w:szCs w:val="24"/>
                <w:u w:val="none" w:color="auto"/>
                <w:lang w:val="en-US" w:eastAsia="zh-CN"/>
              </w:rPr>
              <w:t>50</w:t>
            </w:r>
            <w:r>
              <w:rPr>
                <w:rFonts w:hint="default" w:ascii="Times New Roman" w:hAnsi="Times New Roman" w:cs="Times New Roman"/>
                <w:color w:val="auto"/>
                <w:sz w:val="24"/>
                <w:szCs w:val="24"/>
                <w:u w:val="none" w:color="auto"/>
                <w:lang w:val="en-US"/>
              </w:rPr>
              <w:t>t/d，高于项目单日废水产生量，污水处理站设计处理工艺采用</w:t>
            </w:r>
            <w:r>
              <w:rPr>
                <w:rFonts w:hint="default" w:ascii="Times New Roman" w:hAnsi="Times New Roman" w:cs="Times New Roman"/>
                <w:color w:val="auto"/>
                <w:sz w:val="24"/>
                <w:szCs w:val="24"/>
                <w:u w:val="none" w:color="auto"/>
                <w:lang w:val="en-US" w:eastAsia="zh-CN"/>
              </w:rPr>
              <w:t>混凝沉淀+</w:t>
            </w:r>
            <w:r>
              <w:rPr>
                <w:rFonts w:hint="default" w:ascii="Times New Roman" w:hAnsi="Times New Roman" w:cs="Times New Roman"/>
                <w:color w:val="auto"/>
                <w:u w:val="none" w:color="auto"/>
                <w:lang w:val="en-US" w:eastAsia="zh-CN"/>
              </w:rPr>
              <w:t>SBR</w:t>
            </w:r>
            <w:r>
              <w:rPr>
                <w:rFonts w:hint="default" w:ascii="Times New Roman" w:hAnsi="Times New Roman" w:cs="Times New Roman"/>
                <w:color w:val="auto"/>
                <w:u w:val="none" w:color="auto"/>
                <w:lang w:val="en-US"/>
              </w:rPr>
              <w:t>法</w:t>
            </w:r>
            <w:r>
              <w:rPr>
                <w:rFonts w:hint="default" w:ascii="Times New Roman" w:hAnsi="Times New Roman" w:cs="Times New Roman"/>
                <w:color w:val="auto"/>
                <w:sz w:val="24"/>
                <w:szCs w:val="24"/>
                <w:u w:val="none" w:color="auto"/>
                <w:lang w:val="en-US"/>
              </w:rPr>
              <w:t>处理工艺，</w:t>
            </w:r>
            <w:r>
              <w:rPr>
                <w:rFonts w:hint="default" w:ascii="Times New Roman" w:hAnsi="Times New Roman" w:cs="Times New Roman"/>
                <w:color w:val="auto"/>
                <w:sz w:val="24"/>
                <w:szCs w:val="24"/>
                <w:highlight w:val="none"/>
                <w:u w:val="none" w:color="auto"/>
                <w:lang w:val="en-US"/>
              </w:rPr>
              <w:t>污水处理站放置于</w:t>
            </w:r>
            <w:r>
              <w:rPr>
                <w:rFonts w:hint="default" w:ascii="Times New Roman" w:hAnsi="Times New Roman" w:cs="Times New Roman"/>
                <w:color w:val="auto"/>
                <w:sz w:val="24"/>
                <w:szCs w:val="24"/>
                <w:highlight w:val="none"/>
                <w:u w:val="none" w:color="auto"/>
                <w:lang w:val="en-US" w:eastAsia="zh-CN"/>
              </w:rPr>
              <w:t>生产车间南侧</w:t>
            </w:r>
            <w:r>
              <w:rPr>
                <w:rFonts w:hint="default" w:ascii="Times New Roman" w:hAnsi="Times New Roman" w:cs="Times New Roman"/>
                <w:color w:val="auto"/>
                <w:sz w:val="24"/>
                <w:szCs w:val="24"/>
                <w:highlight w:val="none"/>
                <w:u w:val="none" w:color="auto"/>
                <w:lang w:val="en-US"/>
              </w:rPr>
              <w:t>。</w:t>
            </w:r>
          </w:p>
          <w:p>
            <w:pPr>
              <w:ind w:firstLine="480"/>
              <w:rPr>
                <w:rFonts w:ascii="Times New Roman" w:hAnsi="Times New Roman" w:cs="Times New Roman"/>
                <w:color w:val="auto"/>
                <w:u w:val="single" w:color="auto"/>
                <w:lang w:val="en-US"/>
              </w:rPr>
            </w:pPr>
            <w:r>
              <w:rPr>
                <w:rFonts w:hint="default" w:ascii="Times New Roman" w:hAnsi="Times New Roman" w:cs="Times New Roman"/>
                <w:color w:val="auto"/>
                <w:u w:val="single" w:color="auto"/>
                <w:lang w:val="en-US"/>
              </w:rPr>
              <w:t>（2）废水治理可行性分析</w:t>
            </w:r>
          </w:p>
          <w:p>
            <w:pPr>
              <w:wordWrap/>
              <w:ind w:firstLine="480"/>
              <w:rPr>
                <w:rFonts w:hint="default" w:ascii="Times New Roman" w:hAnsi="Times New Roman" w:eastAsia="宋体" w:cs="Times New Roman"/>
                <w:color w:val="auto"/>
                <w:u w:val="single" w:color="auto"/>
                <w:lang w:val="en-US" w:eastAsia="zh-CN"/>
              </w:rPr>
            </w:pPr>
            <w:r>
              <w:rPr>
                <w:rFonts w:hint="default" w:ascii="Times New Roman" w:hAnsi="Times New Roman" w:cs="Times New Roman"/>
                <w:color w:val="auto"/>
                <w:u w:val="single" w:color="auto"/>
                <w:lang w:val="en-US"/>
              </w:rPr>
              <w:t>A.</w:t>
            </w:r>
            <w:r>
              <w:rPr>
                <w:rFonts w:hint="default" w:ascii="Times New Roman" w:hAnsi="Times New Roman" w:cs="Times New Roman"/>
                <w:color w:val="auto"/>
                <w:u w:val="single" w:color="auto"/>
                <w:lang w:val="en-US" w:eastAsia="zh-CN"/>
              </w:rPr>
              <w:t>处理措施可行性分析</w:t>
            </w:r>
          </w:p>
          <w:p>
            <w:pPr>
              <w:wordWrap/>
              <w:overflowPunct w:val="0"/>
              <w:topLinePunct w:val="0"/>
              <w:autoSpaceDE w:val="0"/>
              <w:autoSpaceDN w:val="0"/>
              <w:ind w:firstLine="480"/>
              <w:rPr>
                <w:rFonts w:ascii="Times New Roman" w:hAnsi="Times New Roman" w:cs="Times New Roman"/>
                <w:color w:val="auto"/>
                <w:u w:val="single" w:color="auto"/>
                <w:lang w:val="en-US"/>
              </w:rPr>
            </w:pPr>
            <w:r>
              <w:rPr>
                <w:rFonts w:hint="default" w:ascii="Times New Roman" w:hAnsi="Times New Roman" w:cs="Times New Roman"/>
                <w:color w:val="auto"/>
                <w:u w:val="single" w:color="auto"/>
                <w:lang w:val="en-US"/>
              </w:rPr>
              <w:t>根据《排污许可证申请与核发技术规范—食品制造工业—方便食品、食品及饲料添加剂制造工业》（HJ1030.3-2019）中附录A表A.1：方便食品制造工业排污单位废水污染防治可行技术参考表，具体见下表。</w:t>
            </w:r>
          </w:p>
          <w:p>
            <w:pPr>
              <w:pStyle w:val="43"/>
              <w:bidi w:val="0"/>
              <w:rPr>
                <w:rFonts w:ascii="Times New Roman" w:hAnsi="Times New Roman" w:cs="Times New Roman"/>
                <w:u w:val="single" w:color="auto"/>
                <w:lang w:val="en-US"/>
              </w:rPr>
            </w:pPr>
            <w:r>
              <w:rPr>
                <w:rFonts w:ascii="Times New Roman" w:hAnsi="Times New Roman" w:cs="Times New Roman"/>
                <w:u w:val="single" w:color="auto"/>
              </w:rPr>
              <w:t>表</w:t>
            </w:r>
            <w:r>
              <w:rPr>
                <w:rFonts w:hint="default" w:ascii="Times New Roman" w:hAnsi="Times New Roman" w:cs="Times New Roman"/>
                <w:u w:val="single" w:color="auto"/>
                <w:lang w:val="en-US"/>
              </w:rPr>
              <w:t>4</w:t>
            </w:r>
            <w:r>
              <w:rPr>
                <w:rFonts w:hint="default" w:ascii="Times New Roman" w:hAnsi="Times New Roman" w:cs="Times New Roman"/>
                <w:u w:val="single" w:color="auto"/>
                <w:lang w:val="en-US" w:eastAsia="zh-CN"/>
              </w:rPr>
              <w:t>.2</w:t>
            </w:r>
            <w:r>
              <w:rPr>
                <w:rFonts w:ascii="Times New Roman" w:hAnsi="Times New Roman" w:cs="Times New Roman"/>
                <w:u w:val="single" w:color="auto"/>
              </w:rPr>
              <w:t>-</w:t>
            </w:r>
            <w:r>
              <w:rPr>
                <w:rFonts w:hint="eastAsia" w:cs="Times New Roman"/>
                <w:u w:val="single" w:color="auto"/>
                <w:lang w:val="en-US" w:eastAsia="zh-CN"/>
              </w:rPr>
              <w:t>6</w:t>
            </w:r>
            <w:r>
              <w:rPr>
                <w:rFonts w:hint="default" w:ascii="Times New Roman" w:hAnsi="Times New Roman" w:cs="Times New Roman"/>
                <w:u w:val="single" w:color="auto"/>
              </w:rPr>
              <w:t>：</w:t>
            </w:r>
            <w:r>
              <w:rPr>
                <w:rFonts w:hint="default" w:ascii="Times New Roman" w:hAnsi="Times New Roman" w:cs="Times New Roman"/>
                <w:u w:val="single" w:color="auto"/>
                <w:lang w:val="en-US"/>
              </w:rPr>
              <w:t>方便食品制造工业排污单位废水污染防治可行技术参考表</w:t>
            </w:r>
          </w:p>
          <w:tbl>
            <w:tblPr>
              <w:tblStyle w:val="29"/>
              <w:tblW w:w="48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789"/>
              <w:gridCol w:w="2256"/>
              <w:gridCol w:w="43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1" w:type="dxa"/>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single" w:color="auto"/>
                      <w:lang w:val="en-US"/>
                    </w:rPr>
                  </w:pPr>
                  <w:r>
                    <w:rPr>
                      <w:rFonts w:hint="default" w:ascii="Times New Roman" w:hAnsi="Times New Roman" w:eastAsia="宋体" w:cs="Times New Roman"/>
                      <w:b/>
                      <w:bCs/>
                      <w:color w:val="auto"/>
                      <w:u w:val="single" w:color="auto"/>
                      <w:lang w:val="en-US"/>
                    </w:rPr>
                    <w:t>废水类别</w:t>
                  </w:r>
                </w:p>
              </w:tc>
              <w:tc>
                <w:tcPr>
                  <w:tcW w:w="768" w:type="dxa"/>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single" w:color="auto"/>
                      <w:lang w:val="en-US"/>
                    </w:rPr>
                  </w:pPr>
                  <w:r>
                    <w:rPr>
                      <w:rFonts w:hint="default" w:ascii="Times New Roman" w:hAnsi="Times New Roman" w:eastAsia="宋体" w:cs="Times New Roman"/>
                      <w:b/>
                      <w:bCs/>
                      <w:color w:val="auto"/>
                      <w:u w:val="single" w:color="auto"/>
                      <w:lang w:val="en-US"/>
                    </w:rPr>
                    <w:t>排放去向</w:t>
                  </w:r>
                </w:p>
              </w:tc>
              <w:tc>
                <w:tcPr>
                  <w:tcW w:w="6464" w:type="dxa"/>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single" w:color="auto"/>
                      <w:lang w:val="en-US"/>
                    </w:rPr>
                  </w:pPr>
                  <w:r>
                    <w:rPr>
                      <w:rFonts w:hint="default" w:ascii="Times New Roman" w:hAnsi="Times New Roman" w:eastAsia="宋体" w:cs="Times New Roman"/>
                      <w:b/>
                      <w:bCs/>
                      <w:color w:val="auto"/>
                      <w:u w:val="single" w:color="auto"/>
                      <w:lang w:val="en-US"/>
                    </w:rPr>
                    <w:t>可行技术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1" w:type="dxa"/>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single" w:color="auto"/>
                      <w:lang w:val="en-US"/>
                    </w:rPr>
                  </w:pPr>
                </w:p>
              </w:tc>
              <w:tc>
                <w:tcPr>
                  <w:tcW w:w="768" w:type="dxa"/>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single" w:color="auto"/>
                      <w:lang w:val="en-US"/>
                    </w:rPr>
                  </w:pPr>
                </w:p>
              </w:tc>
              <w:tc>
                <w:tcPr>
                  <w:tcW w:w="2196"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single" w:color="auto"/>
                      <w:lang w:val="en-US"/>
                    </w:rPr>
                  </w:pPr>
                  <w:r>
                    <w:rPr>
                      <w:rFonts w:hint="default" w:ascii="Times New Roman" w:hAnsi="Times New Roman" w:eastAsia="宋体" w:cs="Times New Roman"/>
                      <w:b/>
                      <w:bCs/>
                      <w:color w:val="auto"/>
                      <w:u w:val="single" w:color="auto"/>
                      <w:lang w:val="en-US"/>
                    </w:rPr>
                    <w:t>污染控制项目</w:t>
                  </w:r>
                </w:p>
              </w:tc>
              <w:tc>
                <w:tcPr>
                  <w:tcW w:w="426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single" w:color="auto"/>
                      <w:lang w:val="en-US"/>
                    </w:rPr>
                  </w:pPr>
                  <w:r>
                    <w:rPr>
                      <w:rFonts w:hint="default" w:ascii="Times New Roman" w:hAnsi="Times New Roman" w:eastAsia="宋体" w:cs="Times New Roman"/>
                      <w:b/>
                      <w:bCs/>
                      <w:color w:val="auto"/>
                      <w:u w:val="single" w:color="auto"/>
                      <w:lang w:val="en-US"/>
                    </w:rPr>
                    <w:t>一般排污单位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生活污水</w:t>
                  </w:r>
                </w:p>
              </w:tc>
              <w:tc>
                <w:tcPr>
                  <w:tcW w:w="76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直接排放</w:t>
                  </w:r>
                </w:p>
              </w:tc>
              <w:tc>
                <w:tcPr>
                  <w:tcW w:w="2196"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pH值、化学需氧量、氨氮、悬浮物、BOD</w:t>
                  </w:r>
                  <w:r>
                    <w:rPr>
                      <w:rFonts w:hint="default" w:ascii="Times New Roman" w:hAnsi="Times New Roman" w:eastAsia="宋体" w:cs="Times New Roman"/>
                      <w:color w:val="auto"/>
                      <w:u w:val="single" w:color="auto"/>
                      <w:vertAlign w:val="subscript"/>
                      <w:lang w:val="en-US"/>
                    </w:rPr>
                    <w:t>5</w:t>
                  </w:r>
                  <w:r>
                    <w:rPr>
                      <w:rFonts w:hint="default" w:ascii="Times New Roman" w:hAnsi="Times New Roman" w:eastAsia="宋体" w:cs="Times New Roman"/>
                      <w:color w:val="auto"/>
                      <w:u w:val="single" w:color="auto"/>
                      <w:lang w:val="en-US"/>
                    </w:rPr>
                    <w:t>、总磷、动植物油</w:t>
                  </w:r>
                </w:p>
              </w:tc>
              <w:tc>
                <w:tcPr>
                  <w:tcW w:w="426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预处理：粗（细）格栅、沉淀</w:t>
                  </w:r>
                </w:p>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生化处理：活性污泥法；改进的活性污泥法</w:t>
                  </w:r>
                </w:p>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除磷处理：化学除磷；生物除磷；生物和化学组合除磷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厂内综合污水废水处理站的综合污水</w:t>
                  </w:r>
                </w:p>
              </w:tc>
              <w:tc>
                <w:tcPr>
                  <w:tcW w:w="76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直接排放</w:t>
                  </w:r>
                </w:p>
              </w:tc>
              <w:tc>
                <w:tcPr>
                  <w:tcW w:w="2196" w:type="dxa"/>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pH值、化学需氧量、氨氮、悬浮物、BOD</w:t>
                  </w:r>
                  <w:r>
                    <w:rPr>
                      <w:rFonts w:hint="default" w:ascii="Times New Roman" w:hAnsi="Times New Roman" w:eastAsia="宋体" w:cs="Times New Roman"/>
                      <w:color w:val="auto"/>
                      <w:u w:val="single" w:color="auto"/>
                      <w:vertAlign w:val="subscript"/>
                      <w:lang w:val="en-US"/>
                    </w:rPr>
                    <w:t>5</w:t>
                  </w:r>
                  <w:r>
                    <w:rPr>
                      <w:rFonts w:hint="default" w:ascii="Times New Roman" w:hAnsi="Times New Roman" w:eastAsia="宋体" w:cs="Times New Roman"/>
                      <w:color w:val="auto"/>
                      <w:u w:val="single" w:color="auto"/>
                      <w:lang w:val="en-US"/>
                    </w:rPr>
                    <w:t>、总磷、动植物油</w:t>
                  </w:r>
                </w:p>
              </w:tc>
              <w:tc>
                <w:tcPr>
                  <w:tcW w:w="426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预处理：粗（细）格栅、竖流或辐流式沉淀；混凝沉淀；气浮</w:t>
                  </w:r>
                </w:p>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生化处理：UASB；IC或水解酸化技术；AF；活性污泥法；氧化沟及各类改型工艺；生物接触氧化法；SBR；A/O；A</w:t>
                  </w:r>
                  <w:r>
                    <w:rPr>
                      <w:rFonts w:hint="default" w:ascii="Times New Roman" w:hAnsi="Times New Roman" w:eastAsia="宋体" w:cs="Times New Roman"/>
                      <w:color w:val="auto"/>
                      <w:u w:val="single" w:color="auto"/>
                      <w:vertAlign w:val="superscript"/>
                      <w:lang w:val="en-US"/>
                    </w:rPr>
                    <w:t>2</w:t>
                  </w:r>
                  <w:r>
                    <w:rPr>
                      <w:rFonts w:hint="default" w:ascii="Times New Roman" w:hAnsi="Times New Roman" w:eastAsia="宋体" w:cs="Times New Roman"/>
                      <w:color w:val="auto"/>
                      <w:u w:val="single" w:color="auto"/>
                      <w:lang w:val="en-US"/>
                    </w:rPr>
                    <w:t>/0；MBR法</w:t>
                  </w:r>
                </w:p>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除磷处理：化学除磷；生物除磷；生物和化学组合除磷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p>
              </w:tc>
              <w:tc>
                <w:tcPr>
                  <w:tcW w:w="76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间接排放</w:t>
                  </w:r>
                </w:p>
              </w:tc>
              <w:tc>
                <w:tcPr>
                  <w:tcW w:w="2196" w:type="dxa"/>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p>
              </w:tc>
              <w:tc>
                <w:tcPr>
                  <w:tcW w:w="4268"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预处理：粗（细）格栅、竖流或辐流式沉淀；混凝沉淀；气浮</w:t>
                  </w:r>
                </w:p>
                <w:p>
                  <w:pPr>
                    <w:pStyle w:val="51"/>
                    <w:widowControl w:val="0"/>
                    <w:wordWrap/>
                    <w:overflowPunct w:val="0"/>
                    <w:topLinePunct w:val="0"/>
                    <w:autoSpaceDE w:val="0"/>
                    <w:autoSpaceDN w:val="0"/>
                    <w:rPr>
                      <w:rFonts w:hint="default" w:ascii="Times New Roman" w:hAnsi="Times New Roman" w:eastAsia="宋体" w:cs="Times New Roman"/>
                      <w:color w:val="auto"/>
                      <w:u w:val="single" w:color="auto"/>
                      <w:lang w:val="en-US"/>
                    </w:rPr>
                  </w:pPr>
                  <w:r>
                    <w:rPr>
                      <w:rFonts w:hint="default" w:ascii="Times New Roman" w:hAnsi="Times New Roman" w:eastAsia="宋体" w:cs="Times New Roman"/>
                      <w:color w:val="auto"/>
                      <w:u w:val="single" w:color="auto"/>
                      <w:lang w:val="en-US"/>
                    </w:rPr>
                    <w:t>生化处理：UASB；IC或水解酸化技术；AF；活性污泥法；氧化沟及各类改型工艺；生物接触氧化法；SBR；A/O；A</w:t>
                  </w:r>
                  <w:r>
                    <w:rPr>
                      <w:rFonts w:hint="default" w:ascii="Times New Roman" w:hAnsi="Times New Roman" w:eastAsia="宋体" w:cs="Times New Roman"/>
                      <w:color w:val="auto"/>
                      <w:u w:val="single" w:color="auto"/>
                      <w:vertAlign w:val="superscript"/>
                      <w:lang w:val="en-US"/>
                    </w:rPr>
                    <w:t>2</w:t>
                  </w:r>
                  <w:r>
                    <w:rPr>
                      <w:rFonts w:hint="default" w:ascii="Times New Roman" w:hAnsi="Times New Roman" w:eastAsia="宋体" w:cs="Times New Roman"/>
                      <w:color w:val="auto"/>
                      <w:u w:val="single" w:color="auto"/>
                      <w:lang w:val="en-US"/>
                    </w:rPr>
                    <w:t>/0</w:t>
                  </w:r>
                </w:p>
              </w:tc>
            </w:tr>
          </w:tbl>
          <w:p>
            <w:pPr>
              <w:ind w:firstLine="480"/>
              <w:rPr>
                <w:rFonts w:ascii="Times New Roman" w:hAnsi="Times New Roman" w:cs="Times New Roman"/>
                <w:color w:val="auto"/>
                <w:u w:val="single" w:color="auto"/>
              </w:rPr>
            </w:pPr>
            <w:r>
              <w:rPr>
                <w:rFonts w:hint="default" w:ascii="Times New Roman" w:hAnsi="Times New Roman" w:cs="Times New Roman"/>
                <w:u w:val="single" w:color="auto"/>
              </w:rPr>
              <w:t>污水处理站采用</w:t>
            </w:r>
            <w:r>
              <w:rPr>
                <w:rFonts w:hint="default" w:ascii="Times New Roman" w:hAnsi="Times New Roman" w:cs="Times New Roman"/>
                <w:highlight w:val="none"/>
                <w:u w:val="single" w:color="auto"/>
                <w:lang w:val="en-US" w:eastAsia="zh-CN"/>
              </w:rPr>
              <w:t>SBR法</w:t>
            </w:r>
            <w:r>
              <w:rPr>
                <w:rFonts w:hint="default" w:ascii="Times New Roman" w:hAnsi="Times New Roman" w:cs="Times New Roman"/>
                <w:szCs w:val="24"/>
                <w:u w:val="single" w:color="auto"/>
                <w:lang w:eastAsia="zh-CN"/>
              </w:rPr>
              <w:t>处理</w:t>
            </w:r>
            <w:r>
              <w:rPr>
                <w:rFonts w:hint="default" w:ascii="Times New Roman" w:hAnsi="Times New Roman" w:cs="Times New Roman"/>
                <w:u w:val="single" w:color="auto"/>
                <w:lang w:eastAsia="zh-CN"/>
              </w:rPr>
              <w:t>，</w:t>
            </w:r>
            <w:r>
              <w:rPr>
                <w:rFonts w:hint="default" w:ascii="Times New Roman" w:hAnsi="Times New Roman" w:cs="Times New Roman"/>
                <w:u w:val="single" w:color="auto"/>
              </w:rPr>
              <w:t>本项目不含重金属等危害性大的废水，废水经污水处理设施处理是可行的</w:t>
            </w:r>
            <w:r>
              <w:rPr>
                <w:rFonts w:hint="default" w:ascii="Times New Roman" w:hAnsi="Times New Roman" w:cs="Times New Roman"/>
                <w:color w:val="auto"/>
                <w:u w:val="single" w:color="auto"/>
                <w:lang w:val="en-US"/>
              </w:rPr>
              <w:t>，其具体流程如下图所示：</w:t>
            </w:r>
          </w:p>
          <w:p>
            <w:pPr>
              <w:wordWrap/>
              <w:overflowPunct w:val="0"/>
              <w:topLinePunct w:val="0"/>
              <w:autoSpaceDE w:val="0"/>
              <w:autoSpaceDN w:val="0"/>
              <w:ind w:firstLine="0" w:firstLineChars="0"/>
              <w:jc w:val="center"/>
              <w:rPr>
                <w:rFonts w:hint="default" w:ascii="Times New Roman" w:hAnsi="Times New Roman" w:eastAsia="宋体" w:cs="Times New Roman"/>
                <w:color w:val="auto"/>
                <w:u w:val="single" w:color="auto"/>
                <w:lang w:eastAsia="zh-CN"/>
              </w:rPr>
            </w:pPr>
            <w:r>
              <w:rPr>
                <w:rFonts w:hint="default" w:ascii="Times New Roman" w:hAnsi="Times New Roman" w:eastAsia="宋体" w:cs="Times New Roman"/>
                <w:color w:val="auto"/>
                <w:u w:val="single" w:color="auto"/>
                <w:lang w:eastAsia="zh-CN"/>
              </w:rPr>
              <w:drawing>
                <wp:inline distT="0" distB="0" distL="114300" distR="114300">
                  <wp:extent cx="4511040" cy="2409825"/>
                  <wp:effectExtent l="0" t="0" r="3810" b="9525"/>
                  <wp:docPr id="8" name="图片 8" descr="泸溪米粉厂水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泸溪米粉厂水处理"/>
                          <pic:cNvPicPr>
                            <a:picLocks noChangeAspect="1"/>
                          </pic:cNvPicPr>
                        </pic:nvPicPr>
                        <pic:blipFill>
                          <a:blip r:embed="rId28"/>
                          <a:stretch>
                            <a:fillRect/>
                          </a:stretch>
                        </pic:blipFill>
                        <pic:spPr>
                          <a:xfrm>
                            <a:off x="0" y="0"/>
                            <a:ext cx="4511040" cy="2409825"/>
                          </a:xfrm>
                          <a:prstGeom prst="rect">
                            <a:avLst/>
                          </a:prstGeom>
                        </pic:spPr>
                      </pic:pic>
                    </a:graphicData>
                  </a:graphic>
                </wp:inline>
              </w:drawing>
            </w:r>
          </w:p>
          <w:p>
            <w:pPr>
              <w:pStyle w:val="71"/>
              <w:bidi w:val="0"/>
              <w:rPr>
                <w:rFonts w:hint="default" w:ascii="Times New Roman" w:hAnsi="Times New Roman" w:cs="Times New Roman"/>
                <w:u w:val="single" w:color="auto"/>
                <w:lang w:val="en-US"/>
              </w:rPr>
            </w:pPr>
            <w:r>
              <w:rPr>
                <w:rFonts w:hint="default" w:ascii="Times New Roman" w:hAnsi="Times New Roman" w:cs="Times New Roman"/>
                <w:u w:val="single" w:color="auto"/>
                <w:lang w:val="en-US"/>
              </w:rPr>
              <w:t>图4-1：生产废水处理工艺流程</w:t>
            </w:r>
          </w:p>
          <w:p>
            <w:pPr>
              <w:wordWrap/>
              <w:overflowPunct w:val="0"/>
              <w:topLinePunct w:val="0"/>
              <w:autoSpaceDE w:val="0"/>
              <w:autoSpaceDN w:val="0"/>
              <w:ind w:firstLine="480"/>
              <w:rPr>
                <w:rFonts w:ascii="Times New Roman" w:hAnsi="Times New Roman" w:cs="Times New Roman"/>
                <w:color w:val="auto"/>
                <w:u w:val="single" w:color="auto"/>
                <w:lang w:val="en-US"/>
              </w:rPr>
            </w:pPr>
            <w:r>
              <w:rPr>
                <w:rFonts w:hint="default" w:ascii="Times New Roman" w:hAnsi="Times New Roman" w:cs="Times New Roman"/>
                <w:color w:val="auto"/>
                <w:u w:val="single" w:color="auto"/>
                <w:lang w:val="en-US"/>
              </w:rPr>
              <w:t>据上表4</w:t>
            </w:r>
            <w:r>
              <w:rPr>
                <w:rFonts w:hint="default" w:ascii="Times New Roman" w:hAnsi="Times New Roman" w:cs="Times New Roman"/>
                <w:color w:val="auto"/>
                <w:u w:val="single" w:color="auto"/>
                <w:lang w:val="en-US" w:eastAsia="zh-CN"/>
              </w:rPr>
              <w:t>.2-</w:t>
            </w:r>
            <w:r>
              <w:rPr>
                <w:rFonts w:hint="eastAsia" w:cs="Times New Roman"/>
                <w:color w:val="auto"/>
                <w:u w:val="single" w:color="auto"/>
                <w:lang w:val="en-US" w:eastAsia="zh-CN"/>
              </w:rPr>
              <w:t>6</w:t>
            </w:r>
            <w:r>
              <w:rPr>
                <w:rFonts w:hint="default" w:ascii="Times New Roman" w:hAnsi="Times New Roman" w:cs="Times New Roman"/>
                <w:color w:val="auto"/>
                <w:u w:val="single" w:color="auto"/>
                <w:lang w:val="en-US"/>
              </w:rPr>
              <w:t>可知，项目污水处理工艺符合《排污许可证申请与核发技术规范—食品制造工业—方便食品、食品及饲料添加剂制造工业》（HJ1030.3-2019）相关要求</w:t>
            </w:r>
            <w:r>
              <w:rPr>
                <w:rFonts w:hint="default" w:ascii="Times New Roman" w:hAnsi="Times New Roman" w:cs="Times New Roman"/>
                <w:color w:val="auto"/>
                <w:u w:val="single" w:color="auto"/>
                <w:lang w:val="en-US" w:eastAsia="zh-CN"/>
              </w:rPr>
              <w:t>，</w:t>
            </w:r>
            <w:r>
              <w:rPr>
                <w:rFonts w:hint="default" w:ascii="Times New Roman" w:hAnsi="Times New Roman" w:cs="Times New Roman"/>
                <w:color w:val="auto"/>
                <w:u w:val="single" w:color="auto"/>
                <w:lang w:val="en-US"/>
              </w:rPr>
              <w:t>预处理</w:t>
            </w:r>
            <w:r>
              <w:rPr>
                <w:rFonts w:hint="default" w:ascii="Times New Roman" w:hAnsi="Times New Roman" w:cs="Times New Roman"/>
                <w:color w:val="auto"/>
                <w:u w:val="single" w:color="auto"/>
                <w:lang w:val="en-US" w:eastAsia="zh-CN"/>
              </w:rPr>
              <w:t>采用“格栅+混凝沉淀”，</w:t>
            </w:r>
            <w:r>
              <w:rPr>
                <w:rFonts w:hint="default" w:ascii="Times New Roman" w:hAnsi="Times New Roman" w:cs="Times New Roman"/>
                <w:color w:val="auto"/>
                <w:u w:val="single" w:color="auto"/>
                <w:lang w:val="en-US"/>
              </w:rPr>
              <w:t>生化处理</w:t>
            </w:r>
            <w:r>
              <w:rPr>
                <w:rFonts w:hint="default" w:ascii="Times New Roman" w:hAnsi="Times New Roman" w:cs="Times New Roman"/>
                <w:color w:val="auto"/>
                <w:u w:val="single" w:color="auto"/>
                <w:lang w:val="en-US" w:eastAsia="zh-CN"/>
              </w:rPr>
              <w:t>工段采用SBR法</w:t>
            </w:r>
            <w:r>
              <w:rPr>
                <w:rFonts w:hint="default" w:ascii="Times New Roman" w:hAnsi="Times New Roman" w:cs="Times New Roman"/>
                <w:color w:val="auto"/>
                <w:u w:val="single" w:color="auto"/>
                <w:lang w:val="en-US"/>
              </w:rPr>
              <w:t>。因此本项目的废水处理技术是可行的。</w:t>
            </w:r>
          </w:p>
          <w:p>
            <w:pPr>
              <w:wordWrap/>
              <w:ind w:firstLine="480"/>
              <w:rPr>
                <w:rFonts w:hint="default" w:ascii="Times New Roman" w:hAnsi="Times New Roman" w:eastAsia="宋体" w:cs="Times New Roman"/>
                <w:color w:val="auto"/>
                <w:u w:val="single" w:color="auto"/>
                <w:lang w:val="en-US" w:eastAsia="zh-CN"/>
              </w:rPr>
            </w:pPr>
            <w:r>
              <w:rPr>
                <w:rFonts w:hint="default" w:ascii="Times New Roman" w:hAnsi="Times New Roman" w:cs="Times New Roman"/>
                <w:color w:val="auto"/>
                <w:u w:val="single" w:color="auto"/>
                <w:lang w:val="en-US" w:eastAsia="zh-CN"/>
              </w:rPr>
              <w:t>B.处理效率及规模设置可行性分析</w:t>
            </w:r>
          </w:p>
          <w:p>
            <w:pPr>
              <w:ind w:firstLine="480"/>
              <w:rPr>
                <w:rFonts w:hint="default" w:ascii="Times New Roman" w:hAnsi="Times New Roman" w:cs="Times New Roman"/>
                <w:color w:val="auto"/>
                <w:u w:val="none" w:color="auto"/>
              </w:rPr>
            </w:pPr>
            <w:r>
              <w:rPr>
                <w:rFonts w:hint="default" w:ascii="Times New Roman" w:hAnsi="Times New Roman" w:cs="Times New Roman"/>
                <w:color w:val="auto"/>
                <w:u w:val="single" w:color="auto"/>
                <w:lang w:val="en-US" w:eastAsia="zh-CN"/>
              </w:rPr>
              <w:t>项目</w:t>
            </w:r>
            <w:r>
              <w:rPr>
                <w:rFonts w:hint="default" w:ascii="Times New Roman" w:hAnsi="Times New Roman" w:cs="Times New Roman"/>
                <w:color w:val="auto"/>
                <w:u w:val="single" w:color="auto"/>
              </w:rPr>
              <w:t>废水经</w:t>
            </w:r>
            <w:r>
              <w:rPr>
                <w:rFonts w:hint="default" w:ascii="Times New Roman" w:hAnsi="Times New Roman" w:cs="Times New Roman"/>
                <w:color w:val="auto"/>
                <w:u w:val="single" w:color="auto"/>
                <w:lang w:val="en-US"/>
              </w:rPr>
              <w:t>自建污水处理站进行处理</w:t>
            </w:r>
            <w:r>
              <w:rPr>
                <w:rFonts w:hint="default" w:ascii="Times New Roman" w:hAnsi="Times New Roman" w:cs="Times New Roman"/>
                <w:color w:val="auto"/>
                <w:u w:val="single" w:color="auto"/>
              </w:rPr>
              <w:t>，设计处理规模为</w:t>
            </w:r>
            <w:r>
              <w:rPr>
                <w:rFonts w:hint="eastAsia" w:cs="Times New Roman"/>
                <w:color w:val="auto"/>
                <w:u w:val="single" w:color="auto"/>
                <w:lang w:val="en-US" w:eastAsia="zh-CN"/>
              </w:rPr>
              <w:t>50</w:t>
            </w:r>
            <w:r>
              <w:rPr>
                <w:rFonts w:hint="default" w:ascii="Times New Roman" w:hAnsi="Times New Roman" w:cs="Times New Roman"/>
                <w:color w:val="auto"/>
                <w:u w:val="single" w:color="auto"/>
              </w:rPr>
              <w:t>t/d。本项目</w:t>
            </w:r>
            <w:r>
              <w:rPr>
                <w:rFonts w:hint="default" w:ascii="Times New Roman" w:hAnsi="Times New Roman" w:cs="Times New Roman"/>
                <w:color w:val="auto"/>
                <w:u w:val="single" w:color="auto"/>
                <w:lang w:val="en-US"/>
              </w:rPr>
              <w:t>废水</w:t>
            </w:r>
            <w:r>
              <w:rPr>
                <w:rFonts w:hint="default" w:ascii="Times New Roman" w:hAnsi="Times New Roman" w:cs="Times New Roman"/>
                <w:color w:val="auto"/>
                <w:u w:val="single" w:color="auto"/>
              </w:rPr>
              <w:t>生化性较好，处理废水量</w:t>
            </w:r>
            <w:r>
              <w:rPr>
                <w:rFonts w:hint="eastAsia" w:cs="Times New Roman"/>
                <w:color w:val="auto"/>
                <w:u w:val="single" w:color="auto"/>
                <w:lang w:val="en-US" w:eastAsia="zh-CN"/>
              </w:rPr>
              <w:t>合计为30.5</w:t>
            </w:r>
            <w:r>
              <w:rPr>
                <w:rFonts w:hint="default" w:ascii="Times New Roman" w:hAnsi="Times New Roman" w:cs="Times New Roman"/>
                <w:color w:val="auto"/>
                <w:u w:val="single" w:color="auto"/>
              </w:rPr>
              <w:t>t/d，低于设计处理规模。</w:t>
            </w:r>
            <w:r>
              <w:rPr>
                <w:rFonts w:hint="default" w:ascii="Times New Roman" w:hAnsi="Times New Roman" w:cs="Times New Roman"/>
                <w:color w:val="auto"/>
                <w:u w:val="single" w:color="auto"/>
                <w:lang w:val="en-US"/>
              </w:rPr>
              <w:t>本项目</w:t>
            </w:r>
            <w:r>
              <w:rPr>
                <w:rFonts w:hint="default" w:ascii="Times New Roman" w:hAnsi="Times New Roman" w:cs="Times New Roman"/>
                <w:color w:val="auto"/>
                <w:u w:val="single" w:color="auto"/>
              </w:rPr>
              <w:t>生产废水</w:t>
            </w:r>
            <w:r>
              <w:rPr>
                <w:rFonts w:hint="default" w:ascii="Times New Roman" w:hAnsi="Times New Roman" w:cs="Times New Roman"/>
                <w:color w:val="auto"/>
                <w:u w:val="single" w:color="auto"/>
                <w:lang w:val="en-US"/>
              </w:rPr>
              <w:t>主要是高浓度COD的米粉生产线废水</w:t>
            </w:r>
            <w:r>
              <w:rPr>
                <w:rFonts w:hint="default" w:ascii="Times New Roman" w:hAnsi="Times New Roman" w:cs="Times New Roman"/>
                <w:color w:val="auto"/>
                <w:u w:val="single" w:color="auto"/>
              </w:rPr>
              <w:t>。经</w:t>
            </w:r>
            <w:r>
              <w:rPr>
                <w:rFonts w:hint="default" w:ascii="Times New Roman" w:hAnsi="Times New Roman" w:cs="Times New Roman"/>
                <w:color w:val="auto"/>
                <w:u w:val="single" w:color="auto"/>
                <w:lang w:val="en-US" w:eastAsia="zh-CN"/>
              </w:rPr>
              <w:t>SBR</w:t>
            </w:r>
            <w:r>
              <w:rPr>
                <w:rFonts w:hint="default" w:ascii="Times New Roman" w:hAnsi="Times New Roman" w:cs="Times New Roman"/>
                <w:color w:val="auto"/>
                <w:u w:val="single" w:color="auto"/>
              </w:rPr>
              <w:t>工艺处理</w:t>
            </w:r>
            <w:r>
              <w:rPr>
                <w:rFonts w:hint="default" w:ascii="Times New Roman" w:hAnsi="Times New Roman" w:cs="Times New Roman"/>
                <w:color w:val="auto"/>
                <w:u w:val="single" w:color="auto"/>
                <w:lang w:eastAsia="zh-CN"/>
              </w:rPr>
              <w:t>。根据</w:t>
            </w:r>
            <w:r>
              <w:rPr>
                <w:rFonts w:hint="default" w:ascii="Times New Roman" w:hAnsi="Times New Roman" w:cs="Times New Roman"/>
                <w:color w:val="auto"/>
                <w:u w:val="single" w:color="auto"/>
                <w:lang w:val="en-US" w:eastAsia="zh-CN"/>
              </w:rPr>
              <w:t>类比</w:t>
            </w:r>
            <w:r>
              <w:rPr>
                <w:rFonts w:hint="default" w:ascii="Times New Roman" w:hAnsi="Times New Roman" w:cs="Times New Roman"/>
                <w:color w:val="auto"/>
                <w:u w:val="single" w:color="auto"/>
                <w:lang w:eastAsia="zh-CN"/>
              </w:rPr>
              <w:t>《</w:t>
            </w:r>
            <w:r>
              <w:rPr>
                <w:rFonts w:ascii="Times New Roman" w:hAnsi="Times New Roman" w:eastAsia="宋体" w:cs="Times New Roman"/>
                <w:kern w:val="0"/>
                <w:sz w:val="24"/>
                <w:szCs w:val="24"/>
                <w:u w:val="single" w:color="auto"/>
              </w:rPr>
              <w:t>湖南省保靖文运食品有限公司年产</w:t>
            </w:r>
            <w:r>
              <w:rPr>
                <w:rFonts w:hint="default" w:ascii="Times New Roman" w:hAnsi="Times New Roman" w:eastAsia="宋体" w:cs="Times New Roman"/>
                <w:kern w:val="0"/>
                <w:sz w:val="24"/>
                <w:szCs w:val="24"/>
                <w:u w:val="single" w:color="auto"/>
                <w:lang w:val="en-US" w:eastAsia="zh-CN"/>
              </w:rPr>
              <w:t>3000</w:t>
            </w:r>
            <w:r>
              <w:rPr>
                <w:rFonts w:ascii="Times New Roman" w:hAnsi="Times New Roman" w:eastAsia="宋体" w:cs="Times New Roman"/>
                <w:kern w:val="0"/>
                <w:sz w:val="24"/>
                <w:szCs w:val="24"/>
                <w:u w:val="single" w:color="auto"/>
              </w:rPr>
              <w:t>吨自熟式鲜米粉生产线项目</w:t>
            </w:r>
            <w:r>
              <w:rPr>
                <w:rFonts w:hint="default" w:ascii="Times New Roman" w:hAnsi="Times New Roman" w:cs="Times New Roman"/>
                <w:kern w:val="0"/>
                <w:sz w:val="24"/>
                <w:szCs w:val="24"/>
                <w:u w:val="single" w:color="auto"/>
                <w:lang w:val="en-US" w:eastAsia="zh-CN"/>
              </w:rPr>
              <w:t>竣工环境保护验收报告</w:t>
            </w:r>
            <w:r>
              <w:rPr>
                <w:rFonts w:hint="default" w:ascii="Times New Roman" w:hAnsi="Times New Roman" w:cs="Times New Roman"/>
                <w:color w:val="auto"/>
                <w:u w:val="single" w:color="auto"/>
                <w:lang w:eastAsia="zh-CN"/>
              </w:rPr>
              <w:t>》中采用</w:t>
            </w:r>
            <w:r>
              <w:rPr>
                <w:rFonts w:hint="default" w:ascii="Times New Roman" w:hAnsi="Times New Roman" w:cs="Times New Roman"/>
                <w:color w:val="auto"/>
                <w:u w:val="single" w:color="auto"/>
                <w:lang w:val="en-US" w:eastAsia="zh-CN"/>
              </w:rPr>
              <w:t>SBR法对废物污染物处理效率（详见前文表4.2-1）</w:t>
            </w:r>
            <w:r>
              <w:rPr>
                <w:rFonts w:hint="default" w:ascii="Times New Roman" w:hAnsi="Times New Roman" w:cs="Times New Roman"/>
                <w:color w:val="auto"/>
                <w:u w:val="single" w:color="auto"/>
              </w:rPr>
              <w:t>，</w:t>
            </w:r>
            <w:r>
              <w:rPr>
                <w:rFonts w:hint="default" w:ascii="Times New Roman" w:hAnsi="Times New Roman" w:cs="Times New Roman"/>
                <w:color w:val="auto"/>
                <w:u w:val="single" w:color="auto"/>
                <w:lang w:eastAsia="zh-CN"/>
              </w:rPr>
              <w:t>核算出本项目污水处理站废水污染物排放浓度</w:t>
            </w:r>
            <w:r>
              <w:rPr>
                <w:rFonts w:hint="default" w:ascii="Times New Roman" w:hAnsi="Times New Roman" w:cs="Times New Roman"/>
                <w:color w:val="auto"/>
                <w:u w:val="single" w:color="auto"/>
              </w:rPr>
              <w:t>可以满足</w:t>
            </w:r>
            <w:r>
              <w:rPr>
                <w:rFonts w:hint="default" w:ascii="Times New Roman" w:hAnsi="Times New Roman" w:cs="Times New Roman"/>
                <w:color w:val="auto"/>
                <w:u w:val="single" w:color="auto"/>
                <w:lang w:val="en-US" w:eastAsia="zh-CN"/>
              </w:rPr>
              <w:t>农灌</w:t>
            </w:r>
            <w:r>
              <w:rPr>
                <w:rFonts w:hint="default" w:ascii="Times New Roman" w:hAnsi="Times New Roman" w:cs="Times New Roman"/>
                <w:color w:val="auto"/>
                <w:u w:val="single" w:color="auto"/>
                <w:lang w:eastAsia="zh-CN"/>
              </w:rPr>
              <w:t>标准，</w:t>
            </w:r>
            <w:r>
              <w:rPr>
                <w:rFonts w:ascii="Times New Roman" w:hAnsi="Times New Roman" w:eastAsia="宋体" w:cs="Times New Roman"/>
                <w:kern w:val="0"/>
                <w:sz w:val="24"/>
                <w:szCs w:val="24"/>
                <w:u w:val="single" w:color="auto"/>
              </w:rPr>
              <w:t>湖南省保靖文运食品有限公司年产</w:t>
            </w:r>
            <w:r>
              <w:rPr>
                <w:rFonts w:hint="default" w:ascii="Times New Roman" w:hAnsi="Times New Roman" w:eastAsia="宋体" w:cs="Times New Roman"/>
                <w:kern w:val="0"/>
                <w:sz w:val="24"/>
                <w:szCs w:val="24"/>
                <w:u w:val="single" w:color="auto"/>
                <w:lang w:val="en-US" w:eastAsia="zh-CN"/>
              </w:rPr>
              <w:t>3000</w:t>
            </w:r>
            <w:r>
              <w:rPr>
                <w:rFonts w:ascii="Times New Roman" w:hAnsi="Times New Roman" w:eastAsia="宋体" w:cs="Times New Roman"/>
                <w:kern w:val="0"/>
                <w:sz w:val="24"/>
                <w:szCs w:val="24"/>
                <w:u w:val="single" w:color="auto"/>
              </w:rPr>
              <w:t>吨自熟式鲜米粉生产线项目</w:t>
            </w:r>
            <w:r>
              <w:rPr>
                <w:rFonts w:hint="default" w:ascii="Times New Roman" w:hAnsi="Times New Roman" w:cs="Times New Roman"/>
                <w:kern w:val="0"/>
                <w:sz w:val="24"/>
                <w:szCs w:val="24"/>
                <w:u w:val="single" w:color="auto"/>
                <w:lang w:val="en-US" w:eastAsia="zh-CN"/>
              </w:rPr>
              <w:t>截至目前已正常运行2年，污水处理设施运行正常且处理后的水质均可达到</w:t>
            </w:r>
            <w:r>
              <w:rPr>
                <w:rFonts w:hint="default" w:ascii="Times New Roman" w:hAnsi="Times New Roman" w:cs="Times New Roman"/>
                <w:color w:val="auto"/>
                <w:u w:val="single" w:color="auto"/>
                <w:lang w:val="en-US" w:eastAsia="zh-CN"/>
              </w:rPr>
              <w:t>农灌</w:t>
            </w:r>
            <w:r>
              <w:rPr>
                <w:rFonts w:hint="default" w:ascii="Times New Roman" w:hAnsi="Times New Roman" w:cs="Times New Roman"/>
                <w:color w:val="auto"/>
                <w:u w:val="single" w:color="auto"/>
                <w:lang w:eastAsia="zh-CN"/>
              </w:rPr>
              <w:t>标准，</w:t>
            </w:r>
            <w:r>
              <w:rPr>
                <w:rFonts w:hint="default" w:ascii="Times New Roman" w:hAnsi="Times New Roman" w:cs="Times New Roman"/>
                <w:color w:val="auto"/>
                <w:u w:val="single" w:color="auto"/>
                <w:lang w:val="en-US" w:eastAsia="zh-CN"/>
              </w:rPr>
              <w:t>未发生过污水处理设施故障导致水质不达标等突发环境事件</w:t>
            </w:r>
            <w:r>
              <w:rPr>
                <w:rFonts w:hint="default" w:ascii="Times New Roman" w:hAnsi="Times New Roman" w:cs="Times New Roman"/>
                <w:color w:val="auto"/>
                <w:u w:val="single" w:color="auto"/>
              </w:rPr>
              <w:t>。</w:t>
            </w:r>
          </w:p>
          <w:p>
            <w:pPr>
              <w:pStyle w:val="71"/>
              <w:widowControl w:val="0"/>
              <w:bidi w:val="0"/>
              <w:rPr>
                <w:rFonts w:ascii="Times New Roman" w:hAnsi="Times New Roman" w:cs="Times New Roman"/>
                <w:highlight w:val="none"/>
                <w:u w:val="single" w:color="auto"/>
              </w:rPr>
            </w:pPr>
            <w:r>
              <w:rPr>
                <w:rFonts w:hint="default" w:ascii="Times New Roman" w:hAnsi="Times New Roman" w:cs="Times New Roman"/>
                <w:highlight w:val="none"/>
                <w:u w:val="single" w:color="auto"/>
              </w:rPr>
              <w:t>表</w:t>
            </w:r>
            <w:r>
              <w:rPr>
                <w:rFonts w:hint="default" w:ascii="Times New Roman" w:hAnsi="Times New Roman" w:cs="Times New Roman"/>
                <w:highlight w:val="none"/>
                <w:u w:val="single" w:color="auto"/>
                <w:lang w:val="en-US" w:eastAsia="zh-CN"/>
              </w:rPr>
              <w:t>4.2-</w:t>
            </w:r>
            <w:r>
              <w:rPr>
                <w:rFonts w:hint="eastAsia" w:cs="Times New Roman"/>
                <w:highlight w:val="none"/>
                <w:u w:val="single" w:color="auto"/>
                <w:lang w:val="en-US" w:eastAsia="zh-CN"/>
              </w:rPr>
              <w:t>7</w:t>
            </w:r>
            <w:r>
              <w:rPr>
                <w:rFonts w:hint="default" w:ascii="Times New Roman" w:hAnsi="Times New Roman" w:cs="Times New Roman"/>
                <w:highlight w:val="none"/>
                <w:u w:val="single" w:color="auto"/>
              </w:rPr>
              <w:t>：经处理后本项目</w:t>
            </w:r>
            <w:r>
              <w:rPr>
                <w:rFonts w:hint="eastAsia" w:cs="Times New Roman"/>
                <w:highlight w:val="none"/>
                <w:u w:val="single" w:color="auto"/>
                <w:lang w:val="en-US" w:eastAsia="zh-CN"/>
              </w:rPr>
              <w:t>综合</w:t>
            </w:r>
            <w:r>
              <w:rPr>
                <w:rFonts w:hint="default" w:ascii="Times New Roman" w:hAnsi="Times New Roman" w:cs="Times New Roman"/>
                <w:highlight w:val="none"/>
                <w:u w:val="single" w:color="auto"/>
              </w:rPr>
              <w:t>废水污染物排放情况</w:t>
            </w:r>
          </w:p>
          <w:tbl>
            <w:tblPr>
              <w:tblStyle w:val="28"/>
              <w:tblW w:w="496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20"/>
              <w:gridCol w:w="1226"/>
              <w:gridCol w:w="1431"/>
              <w:gridCol w:w="1296"/>
              <w:gridCol w:w="1320"/>
              <w:gridCol w:w="915"/>
              <w:gridCol w:w="7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1" w:hRule="atLeast"/>
                <w:jc w:val="center"/>
              </w:trPr>
              <w:tc>
                <w:tcPr>
                  <w:tcW w:w="797" w:type="pct"/>
                  <w:tcBorders>
                    <w:tl2br w:val="nil"/>
                    <w:tr2bl w:val="nil"/>
                  </w:tcBorders>
                  <w:vAlign w:val="center"/>
                </w:tcPr>
                <w:p>
                  <w:pPr>
                    <w:pStyle w:val="70"/>
                    <w:bidi w:val="0"/>
                    <w:spacing w:beforeLines="0" w:afterLines="0"/>
                    <w:jc w:val="center"/>
                    <w:rPr>
                      <w:rFonts w:ascii="Times New Roman" w:hAnsi="Times New Roman" w:cs="Times New Roman"/>
                      <w:b/>
                      <w:bCs/>
                      <w:u w:val="single" w:color="auto"/>
                    </w:rPr>
                  </w:pPr>
                  <w:r>
                    <w:rPr>
                      <w:rFonts w:hint="default" w:ascii="Times New Roman" w:hAnsi="Times New Roman" w:cs="Times New Roman"/>
                      <w:b/>
                      <w:bCs/>
                      <w:u w:val="single" w:color="auto"/>
                    </w:rPr>
                    <w:t>污染物</w:t>
                  </w:r>
                </w:p>
              </w:tc>
              <w:tc>
                <w:tcPr>
                  <w:tcW w:w="740" w:type="pct"/>
                  <w:tcBorders>
                    <w:tl2br w:val="nil"/>
                    <w:tr2bl w:val="nil"/>
                  </w:tcBorders>
                  <w:vAlign w:val="center"/>
                </w:tcPr>
                <w:p>
                  <w:pPr>
                    <w:pStyle w:val="70"/>
                    <w:bidi w:val="0"/>
                    <w:spacing w:beforeLines="0" w:afterLines="0"/>
                    <w:jc w:val="center"/>
                    <w:rPr>
                      <w:rFonts w:hint="default" w:ascii="Times New Roman" w:hAnsi="Times New Roman" w:cs="Times New Roman"/>
                      <w:b/>
                      <w:bCs/>
                      <w:u w:val="single" w:color="auto"/>
                    </w:rPr>
                  </w:pPr>
                  <w:r>
                    <w:rPr>
                      <w:rFonts w:hint="eastAsia" w:cs="Times New Roman"/>
                      <w:b/>
                      <w:bCs/>
                      <w:u w:val="single" w:color="auto"/>
                      <w:lang w:val="en-US" w:eastAsia="zh-CN"/>
                    </w:rPr>
                    <w:t>污染物产生浓度</w:t>
                  </w:r>
                  <w:r>
                    <w:rPr>
                      <w:rFonts w:hint="default" w:ascii="Times New Roman" w:hAnsi="Times New Roman" w:cs="Times New Roman"/>
                      <w:b/>
                      <w:bCs/>
                      <w:u w:val="single" w:color="auto"/>
                    </w:rPr>
                    <w:t>（mg/L）</w:t>
                  </w:r>
                </w:p>
              </w:tc>
              <w:tc>
                <w:tcPr>
                  <w:tcW w:w="864" w:type="pct"/>
                  <w:tcBorders>
                    <w:tl2br w:val="nil"/>
                    <w:tr2bl w:val="nil"/>
                  </w:tcBorders>
                  <w:vAlign w:val="center"/>
                </w:tcPr>
                <w:p>
                  <w:pPr>
                    <w:pStyle w:val="70"/>
                    <w:bidi w:val="0"/>
                    <w:spacing w:beforeLines="0" w:afterLines="0"/>
                    <w:jc w:val="center"/>
                    <w:rPr>
                      <w:rFonts w:hint="default" w:ascii="Times New Roman" w:hAnsi="Times New Roman" w:cs="Times New Roman"/>
                      <w:b/>
                      <w:bCs/>
                      <w:u w:val="single" w:color="auto"/>
                    </w:rPr>
                  </w:pPr>
                  <w:r>
                    <w:rPr>
                      <w:rFonts w:hint="default" w:ascii="Times New Roman" w:hAnsi="Times New Roman" w:cs="Times New Roman"/>
                      <w:b/>
                      <w:bCs/>
                      <w:u w:val="single" w:color="auto"/>
                    </w:rPr>
                    <w:t>污染物排放量（t/a）</w:t>
                  </w:r>
                </w:p>
              </w:tc>
              <w:tc>
                <w:tcPr>
                  <w:tcW w:w="782" w:type="pct"/>
                  <w:tcBorders>
                    <w:tl2br w:val="nil"/>
                    <w:tr2bl w:val="nil"/>
                  </w:tcBorders>
                  <w:vAlign w:val="center"/>
                </w:tcPr>
                <w:p>
                  <w:pPr>
                    <w:pStyle w:val="70"/>
                    <w:bidi w:val="0"/>
                    <w:spacing w:beforeLines="0" w:afterLines="0"/>
                    <w:jc w:val="center"/>
                    <w:rPr>
                      <w:rFonts w:ascii="Times New Roman" w:hAnsi="Times New Roman" w:cs="Times New Roman"/>
                      <w:b/>
                      <w:bCs/>
                      <w:u w:val="single" w:color="auto"/>
                    </w:rPr>
                  </w:pPr>
                  <w:r>
                    <w:rPr>
                      <w:rFonts w:hint="eastAsia" w:cs="Times New Roman"/>
                      <w:b/>
                      <w:bCs/>
                      <w:u w:val="single" w:color="auto"/>
                      <w:lang w:val="en-US" w:eastAsia="zh-CN"/>
                    </w:rPr>
                    <w:t>污染物产生浓度</w:t>
                  </w:r>
                  <w:r>
                    <w:rPr>
                      <w:rFonts w:hint="default" w:ascii="Times New Roman" w:hAnsi="Times New Roman" w:cs="Times New Roman"/>
                      <w:b/>
                      <w:bCs/>
                      <w:u w:val="single" w:color="auto"/>
                    </w:rPr>
                    <w:t>（mg/L）</w:t>
                  </w:r>
                </w:p>
              </w:tc>
              <w:tc>
                <w:tcPr>
                  <w:tcW w:w="797" w:type="pct"/>
                  <w:tcBorders>
                    <w:tl2br w:val="nil"/>
                    <w:tr2bl w:val="nil"/>
                  </w:tcBorders>
                  <w:vAlign w:val="center"/>
                </w:tcPr>
                <w:p>
                  <w:pPr>
                    <w:pStyle w:val="70"/>
                    <w:bidi w:val="0"/>
                    <w:spacing w:beforeLines="0" w:afterLines="0"/>
                    <w:jc w:val="center"/>
                    <w:rPr>
                      <w:rFonts w:hint="default" w:ascii="Times New Roman" w:hAnsi="Times New Roman" w:cs="Times New Roman"/>
                      <w:b/>
                      <w:bCs/>
                      <w:u w:val="single" w:color="auto"/>
                    </w:rPr>
                  </w:pPr>
                  <w:r>
                    <w:rPr>
                      <w:rFonts w:hint="default" w:ascii="Times New Roman" w:hAnsi="Times New Roman" w:cs="Times New Roman"/>
                      <w:b/>
                      <w:bCs/>
                      <w:u w:val="single" w:color="auto"/>
                    </w:rPr>
                    <w:t>污染物排放量（t/a）</w:t>
                  </w:r>
                </w:p>
              </w:tc>
              <w:tc>
                <w:tcPr>
                  <w:tcW w:w="552" w:type="pct"/>
                  <w:tcBorders>
                    <w:tl2br w:val="nil"/>
                    <w:tr2bl w:val="nil"/>
                  </w:tcBorders>
                  <w:vAlign w:val="center"/>
                </w:tcPr>
                <w:p>
                  <w:pPr>
                    <w:pStyle w:val="70"/>
                    <w:bidi w:val="0"/>
                    <w:spacing w:beforeLines="0" w:afterLines="0"/>
                    <w:jc w:val="center"/>
                    <w:rPr>
                      <w:rFonts w:hint="eastAsia" w:ascii="Times New Roman" w:hAnsi="Times New Roman" w:eastAsia="宋体" w:cs="Times New Roman"/>
                      <w:b/>
                      <w:bCs/>
                      <w:u w:val="single" w:color="auto"/>
                      <w:lang w:eastAsia="zh-CN"/>
                    </w:rPr>
                  </w:pPr>
                  <w:r>
                    <w:rPr>
                      <w:rFonts w:hint="eastAsia" w:cs="Times New Roman"/>
                      <w:b/>
                      <w:bCs/>
                      <w:u w:val="single" w:color="auto"/>
                      <w:lang w:val="en-US" w:eastAsia="zh-CN"/>
                    </w:rPr>
                    <w:t>标准</w:t>
                  </w:r>
                  <w:r>
                    <w:rPr>
                      <w:rFonts w:hint="default" w:ascii="Times New Roman" w:hAnsi="Times New Roman" w:cs="Times New Roman"/>
                      <w:b/>
                      <w:bCs/>
                      <w:u w:val="single" w:color="auto"/>
                    </w:rPr>
                    <w:t>（mg/L）</w:t>
                  </w:r>
                </w:p>
              </w:tc>
              <w:tc>
                <w:tcPr>
                  <w:tcW w:w="465" w:type="pct"/>
                  <w:tcBorders>
                    <w:tl2br w:val="nil"/>
                    <w:tr2bl w:val="nil"/>
                  </w:tcBorders>
                  <w:vAlign w:val="center"/>
                </w:tcPr>
                <w:p>
                  <w:pPr>
                    <w:pStyle w:val="70"/>
                    <w:bidi w:val="0"/>
                    <w:spacing w:beforeLines="0" w:afterLines="0"/>
                    <w:jc w:val="center"/>
                    <w:rPr>
                      <w:rFonts w:hint="eastAsia" w:ascii="Times New Roman" w:hAnsi="Times New Roman" w:eastAsia="宋体" w:cs="Times New Roman"/>
                      <w:b/>
                      <w:bCs/>
                      <w:u w:val="single" w:color="auto"/>
                      <w:lang w:val="en-US" w:eastAsia="zh-CN"/>
                    </w:rPr>
                  </w:pPr>
                  <w:r>
                    <w:rPr>
                      <w:rFonts w:hint="eastAsia" w:cs="Times New Roman"/>
                      <w:b/>
                      <w:bCs/>
                      <w:u w:val="single" w:color="auto"/>
                      <w:lang w:val="en-US" w:eastAsia="zh-CN"/>
                    </w:rPr>
                    <w:t>是否达标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1" w:hRule="atLeast"/>
                <w:jc w:val="center"/>
              </w:trPr>
              <w:tc>
                <w:tcPr>
                  <w:tcW w:w="5000" w:type="pct"/>
                  <w:gridSpan w:val="7"/>
                  <w:tcBorders>
                    <w:tl2br w:val="nil"/>
                    <w:tr2bl w:val="nil"/>
                  </w:tcBorders>
                  <w:vAlign w:val="center"/>
                </w:tcPr>
                <w:p>
                  <w:pPr>
                    <w:pStyle w:val="70"/>
                    <w:bidi w:val="0"/>
                    <w:spacing w:beforeLines="0" w:afterLines="0"/>
                    <w:jc w:val="center"/>
                    <w:rPr>
                      <w:rFonts w:hint="eastAsia" w:cs="Times New Roman"/>
                      <w:b/>
                      <w:bCs/>
                      <w:u w:val="single" w:color="auto"/>
                      <w:lang w:val="en-US" w:eastAsia="zh-CN"/>
                    </w:rPr>
                  </w:pPr>
                  <w:r>
                    <w:rPr>
                      <w:rFonts w:hint="default" w:cs="Times New Roman"/>
                      <w:b/>
                      <w:bCs/>
                      <w:szCs w:val="21"/>
                      <w:highlight w:val="none"/>
                      <w:u w:val="single" w:color="auto"/>
                      <w:lang w:val="en-US" w:eastAsia="zh-CN"/>
                    </w:rPr>
                    <w:t>废水排放量：</w:t>
                  </w:r>
                  <w:r>
                    <w:rPr>
                      <w:rFonts w:hint="eastAsia" w:ascii="Times New Roman" w:hAnsi="Times New Roman" w:cs="Times New Roman"/>
                      <w:b/>
                      <w:bCs/>
                      <w:caps/>
                      <w:color w:val="auto"/>
                      <w:sz w:val="21"/>
                      <w:szCs w:val="21"/>
                      <w:u w:val="single" w:color="auto"/>
                      <w:lang w:val="en-US" w:eastAsia="zh-CN"/>
                    </w:rPr>
                    <w:t>10978</w:t>
                  </w:r>
                  <w:r>
                    <w:rPr>
                      <w:rFonts w:hint="eastAsia" w:ascii="Times New Roman" w:hAnsi="Times New Roman" w:cs="Times New Roman"/>
                      <w:b/>
                      <w:bCs/>
                      <w:color w:val="auto"/>
                      <w:sz w:val="21"/>
                      <w:szCs w:val="21"/>
                      <w:u w:val="single" w:color="auto"/>
                      <w:lang w:val="en-US" w:eastAsia="zh-CN"/>
                    </w:rPr>
                    <w:t>t</w:t>
                  </w:r>
                  <w:r>
                    <w:rPr>
                      <w:rFonts w:hint="default" w:ascii="Times New Roman" w:hAnsi="Times New Roman" w:cs="Times New Roman"/>
                      <w:b/>
                      <w:bCs/>
                      <w:color w:val="auto"/>
                      <w:sz w:val="21"/>
                      <w:szCs w:val="21"/>
                      <w:u w:val="single" w:color="auto"/>
                      <w:lang w:val="en-US"/>
                    </w:rPr>
                    <w: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797"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ascii="Times New Roman" w:hAnsi="Times New Roman" w:cs="Times New Roman"/>
                      <w:u w:val="single" w:color="auto"/>
                    </w:rPr>
                  </w:pPr>
                  <w:r>
                    <w:rPr>
                      <w:rFonts w:hint="default" w:ascii="Times New Roman" w:hAnsi="Times New Roman" w:cs="Times New Roman"/>
                      <w:color w:val="auto"/>
                      <w:sz w:val="21"/>
                      <w:szCs w:val="21"/>
                      <w:u w:val="single" w:color="auto"/>
                      <w:vertAlign w:val="baseline"/>
                      <w:lang w:val="en-US" w:eastAsia="zh-CN"/>
                    </w:rPr>
                    <w:t>化学需氧量</w:t>
                  </w:r>
                </w:p>
              </w:tc>
              <w:tc>
                <w:tcPr>
                  <w:tcW w:w="1226"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default"/>
                      <w:u w:val="single" w:color="auto"/>
                      <w:lang w:val="en-US" w:eastAsia="zh-CN"/>
                    </w:rPr>
                  </w:pPr>
                  <w:r>
                    <w:rPr>
                      <w:rFonts w:hint="eastAsia"/>
                      <w:u w:val="single" w:color="auto"/>
                      <w:lang w:val="en-US" w:eastAsia="zh-CN"/>
                    </w:rPr>
                    <w:t>1499.7</w:t>
                  </w:r>
                </w:p>
              </w:tc>
              <w:tc>
                <w:tcPr>
                  <w:tcW w:w="1431"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eastAsia"/>
                      <w:u w:val="single" w:color="auto"/>
                      <w:lang w:val="en-US" w:eastAsia="zh-CN"/>
                    </w:rPr>
                  </w:pPr>
                  <w:r>
                    <w:rPr>
                      <w:rFonts w:hint="eastAsia"/>
                      <w:u w:val="single" w:color="auto"/>
                      <w:lang w:val="en-US" w:eastAsia="zh-CN"/>
                    </w:rPr>
                    <w:t>16.464</w:t>
                  </w:r>
                </w:p>
              </w:tc>
              <w:tc>
                <w:tcPr>
                  <w:tcW w:w="1296"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default"/>
                      <w:u w:val="single" w:color="auto"/>
                      <w:lang w:val="en-US" w:eastAsia="zh-CN"/>
                    </w:rPr>
                  </w:pPr>
                  <w:r>
                    <w:rPr>
                      <w:rFonts w:hint="eastAsia"/>
                      <w:u w:val="single" w:color="auto"/>
                      <w:lang w:val="en-US" w:eastAsia="zh-CN"/>
                    </w:rPr>
                    <w:t>120</w:t>
                  </w:r>
                </w:p>
              </w:tc>
              <w:tc>
                <w:tcPr>
                  <w:tcW w:w="1320"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eastAsia"/>
                      <w:u w:val="single" w:color="auto"/>
                      <w:lang w:val="en-US" w:eastAsia="zh-CN"/>
                    </w:rPr>
                  </w:pPr>
                  <w:r>
                    <w:rPr>
                      <w:rFonts w:hint="eastAsia"/>
                      <w:u w:val="single" w:color="auto"/>
                      <w:lang w:val="en-US" w:eastAsia="zh-CN"/>
                    </w:rPr>
                    <w:t>1.319</w:t>
                  </w:r>
                </w:p>
              </w:tc>
              <w:tc>
                <w:tcPr>
                  <w:tcW w:w="915" w:type="dxa"/>
                  <w:tcBorders>
                    <w:tl2br w:val="nil"/>
                    <w:tr2bl w:val="nil"/>
                  </w:tcBorders>
                  <w:vAlign w:val="center"/>
                </w:tcPr>
                <w:p>
                  <w:pPr>
                    <w:pStyle w:val="39"/>
                    <w:keepNext w:val="0"/>
                    <w:keepLines w:val="0"/>
                    <w:widowControl/>
                    <w:suppressLineNumbers w:val="0"/>
                    <w:ind w:firstLine="0" w:firstLineChars="0"/>
                    <w:jc w:val="center"/>
                    <w:textAlignment w:val="auto"/>
                    <w:rPr>
                      <w:rFonts w:hint="default"/>
                      <w:u w:val="single" w:color="auto"/>
                      <w:lang w:val="en-US" w:eastAsia="zh-CN"/>
                    </w:rPr>
                  </w:pPr>
                  <w:r>
                    <w:rPr>
                      <w:rFonts w:hint="eastAsia"/>
                      <w:u w:val="single" w:color="auto"/>
                      <w:lang w:val="en-US" w:eastAsia="zh-CN"/>
                    </w:rPr>
                    <w:t>150</w:t>
                  </w:r>
                </w:p>
              </w:tc>
              <w:tc>
                <w:tcPr>
                  <w:tcW w:w="465" w:type="pct"/>
                  <w:tcBorders>
                    <w:tl2br w:val="nil"/>
                    <w:tr2bl w:val="nil"/>
                  </w:tcBorders>
                  <w:vAlign w:val="center"/>
                </w:tcPr>
                <w:p>
                  <w:pPr>
                    <w:pStyle w:val="39"/>
                    <w:keepNext w:val="0"/>
                    <w:keepLines w:val="0"/>
                    <w:widowControl/>
                    <w:suppressLineNumbers w:val="0"/>
                    <w:ind w:firstLine="0" w:firstLineChars="0"/>
                    <w:jc w:val="center"/>
                    <w:textAlignment w:val="auto"/>
                    <w:rPr>
                      <w:rFonts w:hint="default"/>
                      <w:u w:val="single" w:color="auto"/>
                      <w:lang w:val="en-US" w:eastAsia="zh-CN"/>
                    </w:rPr>
                  </w:pPr>
                  <w:r>
                    <w:rPr>
                      <w:rFonts w:hint="eastAsia"/>
                      <w:u w:val="single" w:color="auto"/>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 w:hRule="atLeast"/>
                <w:jc w:val="center"/>
              </w:trPr>
              <w:tc>
                <w:tcPr>
                  <w:tcW w:w="797"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u w:val="single" w:color="auto"/>
                      <w:lang w:val="en-US" w:eastAsia="zh-CN"/>
                    </w:rPr>
                  </w:pPr>
                  <w:r>
                    <w:rPr>
                      <w:rFonts w:hint="default" w:ascii="Times New Roman" w:hAnsi="Times New Roman" w:cs="Times New Roman"/>
                      <w:color w:val="auto"/>
                      <w:sz w:val="21"/>
                      <w:szCs w:val="21"/>
                      <w:u w:val="single" w:color="auto"/>
                      <w:vertAlign w:val="baseline"/>
                      <w:lang w:val="en-US" w:eastAsia="zh-CN"/>
                    </w:rPr>
                    <w:t>BOD</w:t>
                  </w:r>
                  <w:r>
                    <w:rPr>
                      <w:rFonts w:hint="default" w:ascii="Times New Roman" w:hAnsi="Times New Roman" w:cs="Times New Roman"/>
                      <w:color w:val="auto"/>
                      <w:sz w:val="21"/>
                      <w:szCs w:val="21"/>
                      <w:u w:val="single" w:color="auto"/>
                      <w:vertAlign w:val="subscript"/>
                      <w:lang w:val="en-US" w:eastAsia="zh-CN"/>
                    </w:rPr>
                    <w:t>5</w:t>
                  </w:r>
                </w:p>
              </w:tc>
              <w:tc>
                <w:tcPr>
                  <w:tcW w:w="1226"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default"/>
                      <w:u w:val="single" w:color="auto"/>
                      <w:lang w:val="en-US" w:eastAsia="zh-CN"/>
                    </w:rPr>
                  </w:pPr>
                  <w:r>
                    <w:rPr>
                      <w:rFonts w:hint="eastAsia"/>
                      <w:u w:val="single" w:color="auto"/>
                      <w:lang w:val="en-US" w:eastAsia="zh-CN"/>
                    </w:rPr>
                    <w:t>540.8</w:t>
                  </w:r>
                </w:p>
              </w:tc>
              <w:tc>
                <w:tcPr>
                  <w:tcW w:w="1431"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eastAsia"/>
                      <w:u w:val="single" w:color="auto"/>
                      <w:lang w:val="en-US" w:eastAsia="zh-CN"/>
                    </w:rPr>
                  </w:pPr>
                  <w:r>
                    <w:rPr>
                      <w:rFonts w:hint="eastAsia"/>
                      <w:u w:val="single" w:color="auto"/>
                      <w:lang w:val="en-US" w:eastAsia="zh-CN"/>
                    </w:rPr>
                    <w:t>5.937</w:t>
                  </w:r>
                </w:p>
              </w:tc>
              <w:tc>
                <w:tcPr>
                  <w:tcW w:w="1296"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default"/>
                      <w:u w:val="single" w:color="auto"/>
                      <w:lang w:val="en-US" w:eastAsia="zh-CN"/>
                    </w:rPr>
                  </w:pPr>
                  <w:r>
                    <w:rPr>
                      <w:rFonts w:hint="eastAsia"/>
                      <w:u w:val="single" w:color="auto"/>
                      <w:lang w:val="en-US" w:eastAsia="zh-CN"/>
                    </w:rPr>
                    <w:t>53.8</w:t>
                  </w:r>
                </w:p>
              </w:tc>
              <w:tc>
                <w:tcPr>
                  <w:tcW w:w="1320"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eastAsia"/>
                      <w:u w:val="single" w:color="auto"/>
                      <w:lang w:val="en-US" w:eastAsia="zh-CN"/>
                    </w:rPr>
                  </w:pPr>
                  <w:r>
                    <w:rPr>
                      <w:rFonts w:hint="eastAsia"/>
                      <w:u w:val="single" w:color="auto"/>
                      <w:lang w:val="en-US" w:eastAsia="zh-CN"/>
                    </w:rPr>
                    <w:t>0.591</w:t>
                  </w:r>
                </w:p>
              </w:tc>
              <w:tc>
                <w:tcPr>
                  <w:tcW w:w="915" w:type="dxa"/>
                  <w:tcBorders>
                    <w:tl2br w:val="nil"/>
                    <w:tr2bl w:val="nil"/>
                  </w:tcBorders>
                  <w:vAlign w:val="center"/>
                </w:tcPr>
                <w:p>
                  <w:pPr>
                    <w:pStyle w:val="39"/>
                    <w:keepNext w:val="0"/>
                    <w:keepLines w:val="0"/>
                    <w:widowControl/>
                    <w:suppressLineNumbers w:val="0"/>
                    <w:ind w:firstLine="0" w:firstLineChars="0"/>
                    <w:jc w:val="center"/>
                    <w:textAlignment w:val="auto"/>
                    <w:rPr>
                      <w:rFonts w:hint="default"/>
                      <w:u w:val="single" w:color="auto"/>
                      <w:lang w:val="en-US" w:eastAsia="zh-CN"/>
                    </w:rPr>
                  </w:pPr>
                  <w:r>
                    <w:rPr>
                      <w:rFonts w:hint="eastAsia"/>
                      <w:u w:val="single" w:color="auto"/>
                      <w:lang w:val="en-US" w:eastAsia="zh-CN"/>
                    </w:rPr>
                    <w:t>60</w:t>
                  </w:r>
                </w:p>
              </w:tc>
              <w:tc>
                <w:tcPr>
                  <w:tcW w:w="465" w:type="pct"/>
                  <w:tcBorders>
                    <w:tl2br w:val="nil"/>
                    <w:tr2bl w:val="nil"/>
                  </w:tcBorders>
                  <w:vAlign w:val="center"/>
                </w:tcPr>
                <w:p>
                  <w:pPr>
                    <w:pStyle w:val="39"/>
                    <w:keepNext w:val="0"/>
                    <w:keepLines w:val="0"/>
                    <w:widowControl/>
                    <w:suppressLineNumbers w:val="0"/>
                    <w:ind w:firstLine="0" w:firstLineChars="0"/>
                    <w:jc w:val="center"/>
                    <w:textAlignment w:val="auto"/>
                    <w:rPr>
                      <w:rFonts w:hint="eastAsia"/>
                      <w:u w:val="single" w:color="auto"/>
                      <w:lang w:val="en-US" w:eastAsia="zh-CN"/>
                    </w:rPr>
                  </w:pPr>
                  <w:r>
                    <w:rPr>
                      <w:rFonts w:hint="eastAsia"/>
                      <w:u w:val="single" w:color="auto"/>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 w:hRule="atLeast"/>
                <w:jc w:val="center"/>
              </w:trPr>
              <w:tc>
                <w:tcPr>
                  <w:tcW w:w="797"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u w:val="single" w:color="auto"/>
                      <w:lang w:val="en-US" w:eastAsia="zh-CN"/>
                    </w:rPr>
                  </w:pPr>
                  <w:r>
                    <w:rPr>
                      <w:rFonts w:hint="default" w:ascii="Times New Roman" w:hAnsi="Times New Roman" w:cs="Times New Roman"/>
                      <w:color w:val="auto"/>
                      <w:sz w:val="21"/>
                      <w:szCs w:val="21"/>
                      <w:u w:val="single" w:color="auto"/>
                      <w:vertAlign w:val="baseline"/>
                      <w:lang w:val="en-US" w:eastAsia="zh-CN"/>
                    </w:rPr>
                    <w:t>SS</w:t>
                  </w:r>
                </w:p>
              </w:tc>
              <w:tc>
                <w:tcPr>
                  <w:tcW w:w="1226"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default"/>
                      <w:u w:val="single" w:color="auto"/>
                      <w:lang w:val="en-US" w:eastAsia="zh-CN"/>
                    </w:rPr>
                  </w:pPr>
                  <w:r>
                    <w:rPr>
                      <w:rFonts w:hint="eastAsia"/>
                      <w:u w:val="single" w:color="auto"/>
                      <w:lang w:val="en-US" w:eastAsia="zh-CN"/>
                    </w:rPr>
                    <w:t>139</w:t>
                  </w:r>
                </w:p>
              </w:tc>
              <w:tc>
                <w:tcPr>
                  <w:tcW w:w="1431"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eastAsia"/>
                      <w:u w:val="single" w:color="auto"/>
                      <w:lang w:val="en-US" w:eastAsia="zh-CN"/>
                    </w:rPr>
                  </w:pPr>
                  <w:r>
                    <w:rPr>
                      <w:rFonts w:hint="eastAsia"/>
                      <w:u w:val="single" w:color="auto"/>
                      <w:lang w:val="en-US" w:eastAsia="zh-CN"/>
                    </w:rPr>
                    <w:t>1.528</w:t>
                  </w:r>
                </w:p>
              </w:tc>
              <w:tc>
                <w:tcPr>
                  <w:tcW w:w="1296"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default"/>
                      <w:u w:val="single" w:color="auto"/>
                      <w:lang w:val="en-US" w:eastAsia="zh-CN"/>
                    </w:rPr>
                  </w:pPr>
                  <w:r>
                    <w:rPr>
                      <w:rFonts w:hint="eastAsia"/>
                      <w:u w:val="single" w:color="auto"/>
                      <w:lang w:val="en-US" w:eastAsia="zh-CN"/>
                    </w:rPr>
                    <w:t>48.7</w:t>
                  </w:r>
                </w:p>
              </w:tc>
              <w:tc>
                <w:tcPr>
                  <w:tcW w:w="1320"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eastAsia"/>
                      <w:u w:val="single" w:color="auto"/>
                      <w:lang w:val="en-US" w:eastAsia="zh-CN"/>
                    </w:rPr>
                  </w:pPr>
                  <w:r>
                    <w:rPr>
                      <w:rFonts w:hint="eastAsia"/>
                      <w:u w:val="single" w:color="auto"/>
                      <w:lang w:val="en-US" w:eastAsia="zh-CN"/>
                    </w:rPr>
                    <w:t>0.535</w:t>
                  </w:r>
                </w:p>
              </w:tc>
              <w:tc>
                <w:tcPr>
                  <w:tcW w:w="915" w:type="dxa"/>
                  <w:tcBorders>
                    <w:tl2br w:val="nil"/>
                    <w:tr2bl w:val="nil"/>
                  </w:tcBorders>
                  <w:vAlign w:val="center"/>
                </w:tcPr>
                <w:p>
                  <w:pPr>
                    <w:pStyle w:val="39"/>
                    <w:keepNext w:val="0"/>
                    <w:keepLines w:val="0"/>
                    <w:widowControl/>
                    <w:suppressLineNumbers w:val="0"/>
                    <w:ind w:firstLine="0" w:firstLineChars="0"/>
                    <w:jc w:val="center"/>
                    <w:textAlignment w:val="auto"/>
                    <w:rPr>
                      <w:rFonts w:hint="default"/>
                      <w:u w:val="single" w:color="auto"/>
                      <w:lang w:val="en-US" w:eastAsia="zh-CN"/>
                    </w:rPr>
                  </w:pPr>
                  <w:r>
                    <w:rPr>
                      <w:rFonts w:hint="eastAsia"/>
                      <w:u w:val="single" w:color="auto"/>
                      <w:lang w:val="en-US" w:eastAsia="zh-CN"/>
                    </w:rPr>
                    <w:t>80</w:t>
                  </w:r>
                </w:p>
              </w:tc>
              <w:tc>
                <w:tcPr>
                  <w:tcW w:w="465" w:type="pct"/>
                  <w:tcBorders>
                    <w:tl2br w:val="nil"/>
                    <w:tr2bl w:val="nil"/>
                  </w:tcBorders>
                  <w:vAlign w:val="center"/>
                </w:tcPr>
                <w:p>
                  <w:pPr>
                    <w:pStyle w:val="39"/>
                    <w:keepNext w:val="0"/>
                    <w:keepLines w:val="0"/>
                    <w:widowControl/>
                    <w:suppressLineNumbers w:val="0"/>
                    <w:ind w:firstLine="0" w:firstLineChars="0"/>
                    <w:jc w:val="center"/>
                    <w:textAlignment w:val="auto"/>
                    <w:rPr>
                      <w:rFonts w:hint="eastAsia"/>
                      <w:u w:val="single" w:color="auto"/>
                      <w:lang w:val="en-US" w:eastAsia="zh-CN"/>
                    </w:rPr>
                  </w:pPr>
                  <w:r>
                    <w:rPr>
                      <w:rFonts w:hint="eastAsia"/>
                      <w:u w:val="single" w:color="auto"/>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 w:hRule="atLeast"/>
                <w:jc w:val="center"/>
              </w:trPr>
              <w:tc>
                <w:tcPr>
                  <w:tcW w:w="797" w:type="pct"/>
                  <w:tcBorders>
                    <w:tl2br w:val="nil"/>
                    <w:tr2bl w:val="nil"/>
                  </w:tcBorders>
                  <w:vAlign w:val="center"/>
                </w:tcPr>
                <w:p>
                  <w:pPr>
                    <w:keepNext w:val="0"/>
                    <w:keepLines w:val="0"/>
                    <w:pageBreakBefore w:val="0"/>
                    <w:widowControl w:val="0"/>
                    <w:kinsoku/>
                    <w:wordWrap w:val="0"/>
                    <w:overflowPunct/>
                    <w:topLinePunct/>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u w:val="single" w:color="auto"/>
                      <w:lang w:val="en-US" w:eastAsia="zh-CN"/>
                    </w:rPr>
                  </w:pPr>
                  <w:r>
                    <w:rPr>
                      <w:rFonts w:hint="default" w:ascii="Times New Roman" w:hAnsi="Times New Roman" w:cs="Times New Roman"/>
                      <w:color w:val="auto"/>
                      <w:sz w:val="21"/>
                      <w:szCs w:val="21"/>
                      <w:u w:val="single" w:color="auto"/>
                      <w:vertAlign w:val="baseline"/>
                      <w:lang w:val="en-US" w:eastAsia="zh-CN"/>
                    </w:rPr>
                    <w:t>氨氮</w:t>
                  </w:r>
                </w:p>
              </w:tc>
              <w:tc>
                <w:tcPr>
                  <w:tcW w:w="1226"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default"/>
                      <w:u w:val="single" w:color="auto"/>
                      <w:lang w:val="en-US" w:eastAsia="zh-CN"/>
                    </w:rPr>
                  </w:pPr>
                  <w:r>
                    <w:rPr>
                      <w:rFonts w:hint="eastAsia"/>
                      <w:u w:val="single" w:color="auto"/>
                      <w:lang w:val="en-US" w:eastAsia="zh-CN"/>
                    </w:rPr>
                    <w:t>13</w:t>
                  </w:r>
                </w:p>
              </w:tc>
              <w:tc>
                <w:tcPr>
                  <w:tcW w:w="1431"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eastAsia"/>
                      <w:u w:val="single" w:color="auto"/>
                      <w:lang w:val="en-US" w:eastAsia="zh-CN"/>
                    </w:rPr>
                  </w:pPr>
                  <w:r>
                    <w:rPr>
                      <w:rFonts w:hint="eastAsia"/>
                      <w:u w:val="single" w:color="auto"/>
                      <w:lang w:val="en-US" w:eastAsia="zh-CN"/>
                    </w:rPr>
                    <w:t>0.143</w:t>
                  </w:r>
                </w:p>
              </w:tc>
              <w:tc>
                <w:tcPr>
                  <w:tcW w:w="1296"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default"/>
                      <w:u w:val="single" w:color="auto"/>
                      <w:lang w:val="en-US" w:eastAsia="zh-CN"/>
                    </w:rPr>
                  </w:pPr>
                  <w:r>
                    <w:rPr>
                      <w:rFonts w:hint="eastAsia"/>
                      <w:u w:val="single" w:color="auto"/>
                      <w:lang w:val="en-US" w:eastAsia="zh-CN"/>
                    </w:rPr>
                    <w:t>2.1</w:t>
                  </w:r>
                </w:p>
              </w:tc>
              <w:tc>
                <w:tcPr>
                  <w:tcW w:w="1320" w:type="dxa"/>
                  <w:tcBorders>
                    <w:tl2br w:val="nil"/>
                    <w:tr2bl w:val="nil"/>
                  </w:tcBorders>
                  <w:vAlign w:val="center"/>
                </w:tcPr>
                <w:p>
                  <w:pPr>
                    <w:pStyle w:val="39"/>
                    <w:keepNext w:val="0"/>
                    <w:keepLines w:val="0"/>
                    <w:widowControl/>
                    <w:suppressLineNumbers w:val="0"/>
                    <w:wordWrap/>
                    <w:ind w:firstLine="0" w:firstLineChars="0"/>
                    <w:jc w:val="center"/>
                    <w:textAlignment w:val="center"/>
                    <w:rPr>
                      <w:rFonts w:hint="eastAsia"/>
                      <w:u w:val="single" w:color="auto"/>
                      <w:lang w:val="en-US" w:eastAsia="zh-CN"/>
                    </w:rPr>
                  </w:pPr>
                  <w:r>
                    <w:rPr>
                      <w:rFonts w:hint="eastAsia"/>
                      <w:u w:val="single" w:color="auto"/>
                      <w:lang w:val="en-US" w:eastAsia="zh-CN"/>
                    </w:rPr>
                    <w:t>0.023</w:t>
                  </w:r>
                </w:p>
              </w:tc>
              <w:tc>
                <w:tcPr>
                  <w:tcW w:w="915" w:type="dxa"/>
                  <w:tcBorders>
                    <w:tl2br w:val="nil"/>
                    <w:tr2bl w:val="nil"/>
                  </w:tcBorders>
                  <w:vAlign w:val="center"/>
                </w:tcPr>
                <w:p>
                  <w:pPr>
                    <w:pStyle w:val="39"/>
                    <w:keepNext w:val="0"/>
                    <w:keepLines w:val="0"/>
                    <w:widowControl/>
                    <w:suppressLineNumbers w:val="0"/>
                    <w:ind w:firstLine="0" w:firstLineChars="0"/>
                    <w:jc w:val="center"/>
                    <w:textAlignment w:val="auto"/>
                    <w:rPr>
                      <w:rFonts w:hint="default"/>
                      <w:u w:val="single" w:color="auto"/>
                      <w:lang w:val="en-US" w:eastAsia="zh-CN"/>
                    </w:rPr>
                  </w:pPr>
                  <w:r>
                    <w:rPr>
                      <w:rFonts w:hint="eastAsia"/>
                      <w:u w:val="single" w:color="auto"/>
                      <w:lang w:val="en-US" w:eastAsia="zh-CN"/>
                    </w:rPr>
                    <w:t>10</w:t>
                  </w:r>
                </w:p>
              </w:tc>
              <w:tc>
                <w:tcPr>
                  <w:tcW w:w="465" w:type="pct"/>
                  <w:tcBorders>
                    <w:tl2br w:val="nil"/>
                    <w:tr2bl w:val="nil"/>
                  </w:tcBorders>
                  <w:vAlign w:val="center"/>
                </w:tcPr>
                <w:p>
                  <w:pPr>
                    <w:pStyle w:val="39"/>
                    <w:keepNext w:val="0"/>
                    <w:keepLines w:val="0"/>
                    <w:widowControl/>
                    <w:suppressLineNumbers w:val="0"/>
                    <w:ind w:firstLine="0" w:firstLineChars="0"/>
                    <w:jc w:val="center"/>
                    <w:textAlignment w:val="auto"/>
                    <w:rPr>
                      <w:rFonts w:hint="eastAsia"/>
                      <w:u w:val="single" w:color="auto"/>
                      <w:lang w:val="en-US" w:eastAsia="zh-CN"/>
                    </w:rPr>
                  </w:pPr>
                  <w:r>
                    <w:rPr>
                      <w:rFonts w:hint="eastAsia"/>
                      <w:u w:val="single" w:color="auto"/>
                      <w:lang w:val="en-US" w:eastAsia="zh-CN"/>
                    </w:rPr>
                    <w:t>达标</w:t>
                  </w:r>
                </w:p>
              </w:tc>
            </w:tr>
          </w:tbl>
          <w:p>
            <w:pPr>
              <w:wordWrap/>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C</w:t>
            </w:r>
            <w:r>
              <w:rPr>
                <w:rFonts w:hint="default" w:ascii="Times New Roman" w:hAnsi="Times New Roman" w:cs="Times New Roman"/>
                <w:color w:val="auto"/>
                <w:u w:val="none" w:color="auto"/>
                <w:lang w:val="en-US"/>
              </w:rPr>
              <w:t>.</w:t>
            </w:r>
            <w:r>
              <w:rPr>
                <w:rFonts w:hint="default" w:ascii="Times New Roman" w:hAnsi="Times New Roman" w:cs="Times New Roman"/>
                <w:u w:val="none" w:color="auto"/>
              </w:rPr>
              <w:t>农灌方式和管网布设情况</w:t>
            </w:r>
          </w:p>
          <w:p>
            <w:pPr>
              <w:ind w:firstLine="480"/>
              <w:rPr>
                <w:rFonts w:hint="default" w:ascii="Times New Roman" w:hAnsi="Times New Roman" w:cs="Times New Roman"/>
                <w:u w:val="none" w:color="auto"/>
              </w:rPr>
            </w:pPr>
            <w:r>
              <w:rPr>
                <w:rFonts w:hint="default" w:ascii="Times New Roman" w:hAnsi="Times New Roman" w:cs="Times New Roman"/>
                <w:u w:val="none" w:color="auto"/>
              </w:rPr>
              <w:t>根据实地勘察，</w:t>
            </w:r>
            <w:r>
              <w:rPr>
                <w:rFonts w:hint="default" w:ascii="Times New Roman" w:hAnsi="Times New Roman" w:cs="Times New Roman"/>
                <w:u w:val="none" w:color="auto"/>
                <w:lang w:eastAsia="zh-CN"/>
              </w:rPr>
              <w:t>需要建设</w:t>
            </w:r>
            <w:r>
              <w:rPr>
                <w:rFonts w:hint="default" w:ascii="Times New Roman" w:hAnsi="Times New Roman" w:cs="Times New Roman"/>
                <w:u w:val="none" w:color="auto"/>
              </w:rPr>
              <w:t>灌溉输送管道</w:t>
            </w:r>
            <w:r>
              <w:rPr>
                <w:rFonts w:hint="default" w:ascii="Times New Roman" w:hAnsi="Times New Roman" w:cs="Times New Roman"/>
                <w:u w:val="none" w:color="auto"/>
                <w:lang w:eastAsia="zh-CN"/>
              </w:rPr>
              <w:t>，将在厂区污水处理站处理后生产废水</w:t>
            </w:r>
            <w:r>
              <w:rPr>
                <w:rFonts w:hint="eastAsia" w:cs="Times New Roman"/>
                <w:u w:val="none" w:color="auto"/>
                <w:lang w:val="en-US" w:eastAsia="zh-CN"/>
              </w:rPr>
              <w:t>通过泵</w:t>
            </w:r>
            <w:r>
              <w:rPr>
                <w:rFonts w:hint="default" w:ascii="Times New Roman" w:hAnsi="Times New Roman" w:cs="Times New Roman"/>
                <w:u w:val="none" w:color="auto"/>
                <w:lang w:eastAsia="zh-CN"/>
              </w:rPr>
              <w:t>输送</w:t>
            </w:r>
            <w:r>
              <w:rPr>
                <w:rFonts w:hint="default" w:ascii="Times New Roman" w:hAnsi="Times New Roman" w:cs="Times New Roman"/>
                <w:u w:val="none" w:color="auto"/>
                <w:lang w:val="en-US" w:eastAsia="zh-CN"/>
              </w:rPr>
              <w:t>至项目南侧100m处</w:t>
            </w:r>
            <w:r>
              <w:rPr>
                <w:rFonts w:hint="default" w:ascii="Times New Roman" w:hAnsi="Times New Roman" w:eastAsia="宋体" w:cs="Times New Roman"/>
                <w:kern w:val="0"/>
                <w:sz w:val="24"/>
                <w:szCs w:val="24"/>
                <w:u w:val="none" w:color="auto"/>
                <w:lang w:val="en-US" w:eastAsia="zh-CN"/>
              </w:rPr>
              <w:t>红土溪</w:t>
            </w:r>
            <w:r>
              <w:rPr>
                <w:rFonts w:ascii="Times New Roman" w:hAnsi="Times New Roman" w:eastAsia="宋体" w:cs="Times New Roman"/>
                <w:kern w:val="0"/>
                <w:sz w:val="24"/>
                <w:szCs w:val="24"/>
                <w:u w:val="none" w:color="auto"/>
              </w:rPr>
              <w:t>村</w:t>
            </w:r>
            <w:r>
              <w:rPr>
                <w:rFonts w:hint="default" w:ascii="Times New Roman" w:hAnsi="Times New Roman" w:cs="Times New Roman"/>
                <w:kern w:val="0"/>
                <w:sz w:val="24"/>
                <w:szCs w:val="24"/>
                <w:u w:val="none" w:color="auto"/>
                <w:lang w:val="en-US" w:eastAsia="zh-CN"/>
              </w:rPr>
              <w:t>稻田</w:t>
            </w:r>
            <w:r>
              <w:rPr>
                <w:rFonts w:hint="eastAsia" w:cs="Times New Roman"/>
                <w:kern w:val="0"/>
                <w:sz w:val="24"/>
                <w:szCs w:val="24"/>
                <w:u w:val="none" w:color="auto"/>
                <w:lang w:val="en-US" w:eastAsia="zh-CN"/>
              </w:rPr>
              <w:t>、旱地</w:t>
            </w:r>
            <w:r>
              <w:rPr>
                <w:rFonts w:hint="default" w:ascii="Times New Roman" w:hAnsi="Times New Roman" w:cs="Times New Roman"/>
                <w:kern w:val="0"/>
                <w:sz w:val="24"/>
                <w:szCs w:val="24"/>
                <w:u w:val="none" w:color="auto"/>
                <w:lang w:val="en-US" w:eastAsia="zh-CN"/>
              </w:rPr>
              <w:t>灌溉，</w:t>
            </w:r>
            <w:r>
              <w:rPr>
                <w:rFonts w:hint="eastAsia" w:cs="Times New Roman"/>
                <w:kern w:val="0"/>
                <w:sz w:val="24"/>
                <w:szCs w:val="24"/>
                <w:u w:val="none" w:color="auto"/>
                <w:lang w:val="en-US" w:eastAsia="zh-CN"/>
              </w:rPr>
              <w:t>在厂内</w:t>
            </w:r>
            <w:r>
              <w:rPr>
                <w:rFonts w:hint="default" w:ascii="Times New Roman" w:hAnsi="Times New Roman" w:cs="Times New Roman"/>
                <w:kern w:val="0"/>
                <w:sz w:val="24"/>
                <w:szCs w:val="24"/>
                <w:u w:val="none" w:color="auto"/>
                <w:lang w:val="en-US" w:eastAsia="zh-CN"/>
              </w:rPr>
              <w:t>设置</w:t>
            </w:r>
            <w:r>
              <w:rPr>
                <w:rFonts w:hint="eastAsia" w:cs="Times New Roman"/>
                <w:kern w:val="0"/>
                <w:sz w:val="24"/>
                <w:szCs w:val="24"/>
                <w:u w:val="none" w:color="auto"/>
                <w:lang w:val="en-US" w:eastAsia="zh-CN"/>
              </w:rPr>
              <w:t>有</w:t>
            </w:r>
            <w:r>
              <w:rPr>
                <w:rFonts w:hint="default" w:ascii="Times New Roman" w:hAnsi="Times New Roman" w:cs="Times New Roman"/>
                <w:kern w:val="0"/>
                <w:sz w:val="24"/>
                <w:szCs w:val="24"/>
                <w:u w:val="none" w:color="auto"/>
                <w:lang w:val="en-US" w:eastAsia="zh-CN"/>
              </w:rPr>
              <w:t>一个清水池（</w:t>
            </w:r>
            <w:r>
              <w:rPr>
                <w:rFonts w:hint="eastAsia" w:cs="Times New Roman"/>
                <w:kern w:val="0"/>
                <w:sz w:val="24"/>
                <w:szCs w:val="24"/>
                <w:u w:val="none" w:color="auto"/>
                <w:lang w:val="en-US" w:eastAsia="zh-CN"/>
              </w:rPr>
              <w:t>200m</w:t>
            </w:r>
            <w:r>
              <w:rPr>
                <w:rFonts w:hint="eastAsia" w:cs="Times New Roman"/>
                <w:kern w:val="0"/>
                <w:sz w:val="24"/>
                <w:szCs w:val="24"/>
                <w:u w:val="none" w:color="auto"/>
                <w:vertAlign w:val="superscript"/>
                <w:lang w:val="en-US" w:eastAsia="zh-CN"/>
              </w:rPr>
              <w:t>3</w:t>
            </w:r>
            <w:r>
              <w:rPr>
                <w:rFonts w:hint="eastAsia" w:cs="Times New Roman"/>
                <w:kern w:val="0"/>
                <w:sz w:val="24"/>
                <w:szCs w:val="24"/>
                <w:u w:val="none" w:color="auto"/>
                <w:lang w:val="en-US" w:eastAsia="zh-CN"/>
              </w:rPr>
              <w:t>，</w:t>
            </w:r>
            <w:r>
              <w:rPr>
                <w:rFonts w:hint="default" w:ascii="Times New Roman" w:hAnsi="Times New Roman" w:cs="Times New Roman"/>
                <w:kern w:val="0"/>
                <w:sz w:val="24"/>
                <w:szCs w:val="24"/>
                <w:u w:val="none" w:color="auto"/>
                <w:lang w:val="en-US" w:eastAsia="zh-CN"/>
              </w:rPr>
              <w:t>雨天不灌溉时，可将废水暂存于清水池中），</w:t>
            </w:r>
            <w:r>
              <w:rPr>
                <w:rFonts w:hint="eastAsia" w:ascii="Times New Roman" w:hAnsi="Times New Roman" w:cs="Times New Roman"/>
                <w:highlight w:val="none"/>
                <w:u w:val="none" w:color="auto"/>
                <w:lang w:val="en-US" w:eastAsia="zh-CN"/>
              </w:rPr>
              <w:t>根据业主提供的资料可知，灌溉区域现有1个500立方的灌溉水池，项目废水处理达标后由清水池通过水泵泵至灌溉水池中，雨季时同样可将废水储存于灌溉水池中</w:t>
            </w:r>
            <w:r>
              <w:rPr>
                <w:rFonts w:hint="eastAsia" w:cs="Times New Roman"/>
                <w:highlight w:val="none"/>
                <w:u w:val="none" w:color="auto"/>
                <w:lang w:val="en-US" w:eastAsia="zh-CN"/>
              </w:rPr>
              <w:t>，可满足雨季生产废水储存的需求</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灌</w:t>
            </w:r>
            <w:r>
              <w:rPr>
                <w:rFonts w:hint="default" w:ascii="Times New Roman" w:hAnsi="Times New Roman" w:cs="Times New Roman"/>
                <w:highlight w:val="none"/>
                <w:u w:val="none" w:color="auto"/>
                <w:lang w:val="en-US" w:eastAsia="zh-CN"/>
              </w:rPr>
              <w:t>溉管道长度约为</w:t>
            </w:r>
            <w:r>
              <w:rPr>
                <w:rFonts w:hint="eastAsia" w:ascii="Times New Roman" w:hAnsi="Times New Roman" w:cs="Times New Roman"/>
                <w:highlight w:val="none"/>
                <w:u w:val="none" w:color="auto"/>
                <w:lang w:val="en-US" w:eastAsia="zh-CN"/>
              </w:rPr>
              <w:t>1.5km</w:t>
            </w:r>
            <w:r>
              <w:rPr>
                <w:rFonts w:hint="default" w:ascii="Times New Roman" w:hAnsi="Times New Roman" w:cs="Times New Roman"/>
                <w:u w:val="none" w:color="auto"/>
                <w:lang w:eastAsia="zh-CN"/>
              </w:rPr>
              <w:t>，</w:t>
            </w:r>
            <w:r>
              <w:rPr>
                <w:rFonts w:hint="default" w:ascii="Times New Roman" w:hAnsi="Times New Roman" w:cs="Times New Roman"/>
                <w:highlight w:val="none"/>
                <w:u w:val="none" w:color="auto"/>
              </w:rPr>
              <w:t>具体见附图</w:t>
            </w:r>
            <w:r>
              <w:rPr>
                <w:rFonts w:hint="default" w:ascii="Times New Roman" w:hAnsi="Times New Roman" w:cs="Times New Roman"/>
                <w:highlight w:val="none"/>
                <w:u w:val="none" w:color="auto"/>
                <w:lang w:val="en-US" w:eastAsia="zh-CN"/>
              </w:rPr>
              <w:t>7</w:t>
            </w:r>
            <w:r>
              <w:rPr>
                <w:rFonts w:hint="default" w:ascii="Times New Roman" w:hAnsi="Times New Roman" w:cs="Times New Roman"/>
                <w:highlight w:val="none"/>
                <w:u w:val="none" w:color="auto"/>
              </w:rPr>
              <w:t>：本项目与</w:t>
            </w:r>
            <w:r>
              <w:rPr>
                <w:rFonts w:hint="default" w:ascii="Times New Roman" w:hAnsi="Times New Roman" w:cs="Times New Roman"/>
                <w:highlight w:val="none"/>
                <w:u w:val="none" w:color="auto"/>
                <w:lang w:eastAsia="zh-CN"/>
              </w:rPr>
              <w:t>农灌地</w:t>
            </w:r>
            <w:r>
              <w:rPr>
                <w:rFonts w:hint="default" w:ascii="Times New Roman" w:hAnsi="Times New Roman" w:cs="Times New Roman"/>
                <w:highlight w:val="none"/>
                <w:u w:val="none" w:color="auto"/>
              </w:rPr>
              <w:t>的位置关系图及排水路径示意图</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lang w:val="en-US" w:eastAsia="zh-CN"/>
              </w:rPr>
              <w:t>跨越省道的部分可利用现有涵管铺设</w:t>
            </w:r>
            <w:r>
              <w:rPr>
                <w:rFonts w:hint="default" w:ascii="Times New Roman" w:hAnsi="Times New Roman" w:cs="Times New Roman"/>
                <w:u w:val="none" w:color="auto"/>
              </w:rPr>
              <w:t>。灌溉区取水通过PE管阀门控制。项目场地涉及产生废水区域做好防渗措施</w:t>
            </w:r>
            <w:r>
              <w:rPr>
                <w:rFonts w:hint="default" w:ascii="Times New Roman" w:hAnsi="Times New Roman" w:cs="Times New Roman"/>
                <w:u w:val="none" w:color="auto"/>
                <w:lang w:eastAsia="zh-CN"/>
              </w:rPr>
              <w:t>及定期检漏</w:t>
            </w:r>
            <w:r>
              <w:rPr>
                <w:rFonts w:hint="default" w:ascii="Times New Roman" w:hAnsi="Times New Roman" w:cs="Times New Roman"/>
                <w:u w:val="none" w:color="auto"/>
              </w:rPr>
              <w:t>，同时要求建设单位定期和不定期巡查污水管线，注意避免污水管线堵塞和破裂，做好废水事故排放防护措施，如果出现事故要及时向环保行政主管部门报告，避免污染水体。通过</w:t>
            </w:r>
            <w:r>
              <w:rPr>
                <w:rFonts w:hint="default" w:ascii="Times New Roman" w:hAnsi="Times New Roman" w:cs="Times New Roman"/>
                <w:i w:val="0"/>
                <w:iCs w:val="0"/>
                <w:u w:val="none" w:color="auto"/>
              </w:rPr>
              <w:t>管</w:t>
            </w:r>
            <w:r>
              <w:rPr>
                <w:rFonts w:hint="default" w:ascii="Times New Roman" w:hAnsi="Times New Roman" w:cs="Times New Roman"/>
                <w:u w:val="none" w:color="auto"/>
              </w:rPr>
              <w:t>道阀门控制取水，防止废水过量使用造成环境污染；水自流入</w:t>
            </w:r>
            <w:r>
              <w:rPr>
                <w:rFonts w:hint="eastAsia" w:cs="Times New Roman"/>
                <w:u w:val="none" w:color="auto"/>
                <w:lang w:val="en-US" w:eastAsia="zh-CN"/>
              </w:rPr>
              <w:t>水田、旱地</w:t>
            </w:r>
            <w:r>
              <w:rPr>
                <w:rFonts w:hint="default" w:ascii="Times New Roman" w:hAnsi="Times New Roman" w:cs="Times New Roman"/>
                <w:u w:val="none" w:color="auto"/>
              </w:rPr>
              <w:t>，自建灌溉管网系统，项目灌溉方式合理有效。</w:t>
            </w:r>
          </w:p>
          <w:p>
            <w:pPr>
              <w:ind w:firstLine="480"/>
              <w:rPr>
                <w:rFonts w:hint="default" w:ascii="Times New Roman" w:hAnsi="Times New Roman" w:cs="Times New Roman"/>
                <w:u w:val="none" w:color="auto"/>
              </w:rPr>
            </w:pPr>
            <w:r>
              <w:rPr>
                <w:rFonts w:hint="default" w:ascii="Times New Roman" w:hAnsi="Times New Roman" w:cs="Times New Roman"/>
                <w:u w:val="none" w:color="auto"/>
              </w:rPr>
              <w:t>综上所述，建设单位落实以上措施，做到达标排放，项目区生活废水排放对周边环境影响较小。</w:t>
            </w:r>
          </w:p>
          <w:p>
            <w:pPr>
              <w:ind w:firstLine="480"/>
              <w:rPr>
                <w:rFonts w:hint="default" w:ascii="Times New Roman" w:hAnsi="Times New Roman" w:cs="Times New Roman"/>
                <w:i w:val="0"/>
                <w:iCs w:val="0"/>
                <w:color w:val="000000"/>
                <w:szCs w:val="24"/>
                <w:u w:val="none" w:color="auto"/>
              </w:rPr>
            </w:pPr>
            <w:r>
              <w:rPr>
                <w:rFonts w:hint="default" w:ascii="Times New Roman" w:hAnsi="Times New Roman" w:cs="Times New Roman"/>
                <w:i w:val="0"/>
                <w:iCs w:val="0"/>
                <w:u w:val="none" w:color="auto"/>
                <w:lang w:val="en-US" w:eastAsia="zh-CN"/>
              </w:rPr>
              <w:t>D.</w:t>
            </w:r>
            <w:r>
              <w:rPr>
                <w:rFonts w:hint="default" w:ascii="Times New Roman" w:hAnsi="Times New Roman" w:cs="Times New Roman"/>
                <w:i w:val="0"/>
                <w:iCs w:val="0"/>
                <w:color w:val="000000"/>
                <w:szCs w:val="24"/>
                <w:u w:val="none" w:color="auto"/>
              </w:rPr>
              <w:t>农灌可行性</w:t>
            </w:r>
          </w:p>
          <w:p>
            <w:pPr>
              <w:pStyle w:val="11"/>
              <w:rPr>
                <w:rFonts w:hint="default" w:ascii="Times New Roman" w:hAnsi="Times New Roman" w:cs="Times New Roman"/>
                <w:i w:val="0"/>
                <w:iCs w:val="0"/>
                <w:color w:val="000000"/>
                <w:szCs w:val="24"/>
                <w:highlight w:val="none"/>
                <w:u w:val="single" w:color="auto"/>
              </w:rPr>
            </w:pPr>
            <w:r>
              <w:rPr>
                <w:rFonts w:hint="eastAsia" w:cs="Times New Roman"/>
                <w:color w:val="auto"/>
                <w:u w:val="single" w:color="auto"/>
                <w:lang w:val="en-US" w:eastAsia="zh-CN"/>
              </w:rPr>
              <w:t>根据上表4.2-7可知，</w:t>
            </w:r>
            <w:r>
              <w:rPr>
                <w:rFonts w:hint="default" w:ascii="Times New Roman" w:hAnsi="Times New Roman" w:cs="Times New Roman"/>
                <w:color w:val="auto"/>
                <w:u w:val="single" w:color="auto"/>
                <w:lang w:eastAsia="zh-CN"/>
              </w:rPr>
              <w:t>本项目污水处理站废水污染物排放浓度</w:t>
            </w:r>
            <w:r>
              <w:rPr>
                <w:rFonts w:hint="default" w:ascii="Times New Roman" w:hAnsi="Times New Roman" w:cs="Times New Roman"/>
                <w:color w:val="auto"/>
                <w:u w:val="single" w:color="auto"/>
              </w:rPr>
              <w:t>可以满足</w:t>
            </w:r>
            <w:r>
              <w:rPr>
                <w:rFonts w:hint="default" w:ascii="Times New Roman" w:hAnsi="Times New Roman" w:cs="Times New Roman"/>
                <w:color w:val="auto"/>
                <w:u w:val="single" w:color="auto"/>
                <w:lang w:val="en-US" w:eastAsia="zh-CN"/>
              </w:rPr>
              <w:t>农灌</w:t>
            </w:r>
            <w:r>
              <w:rPr>
                <w:rFonts w:hint="eastAsia" w:cs="Times New Roman"/>
                <w:color w:val="auto"/>
                <w:u w:val="single" w:color="auto"/>
                <w:lang w:val="en-US" w:eastAsia="zh-CN"/>
              </w:rPr>
              <w:t>最严</w:t>
            </w:r>
            <w:r>
              <w:rPr>
                <w:rFonts w:hint="default" w:ascii="Times New Roman" w:hAnsi="Times New Roman" w:cs="Times New Roman"/>
                <w:color w:val="auto"/>
                <w:u w:val="single" w:color="auto"/>
                <w:lang w:eastAsia="zh-CN"/>
              </w:rPr>
              <w:t>标准</w:t>
            </w:r>
            <w:r>
              <w:rPr>
                <w:rFonts w:hint="eastAsia" w:cs="Times New Roman"/>
                <w:color w:val="auto"/>
                <w:u w:val="single" w:color="auto"/>
                <w:lang w:eastAsia="zh-CN"/>
              </w:rPr>
              <w:t>，</w:t>
            </w:r>
            <w:r>
              <w:rPr>
                <w:rFonts w:hint="eastAsia" w:cs="Times New Roman"/>
                <w:color w:val="auto"/>
                <w:u w:val="single" w:color="auto"/>
                <w:lang w:val="en-US" w:eastAsia="zh-CN"/>
              </w:rPr>
              <w:t>同类企业</w:t>
            </w:r>
            <w:r>
              <w:rPr>
                <w:rFonts w:ascii="Times New Roman" w:hAnsi="Times New Roman" w:eastAsia="宋体" w:cs="Times New Roman"/>
                <w:kern w:val="0"/>
                <w:sz w:val="24"/>
                <w:szCs w:val="24"/>
                <w:u w:val="single" w:color="auto"/>
              </w:rPr>
              <w:t>湖南省保靖文运食品有限公司年产</w:t>
            </w:r>
            <w:r>
              <w:rPr>
                <w:rFonts w:hint="default" w:ascii="Times New Roman" w:hAnsi="Times New Roman" w:eastAsia="宋体" w:cs="Times New Roman"/>
                <w:kern w:val="0"/>
                <w:sz w:val="24"/>
                <w:szCs w:val="24"/>
                <w:u w:val="single" w:color="auto"/>
                <w:lang w:val="en-US" w:eastAsia="zh-CN"/>
              </w:rPr>
              <w:t>3000</w:t>
            </w:r>
            <w:r>
              <w:rPr>
                <w:rFonts w:ascii="Times New Roman" w:hAnsi="Times New Roman" w:eastAsia="宋体" w:cs="Times New Roman"/>
                <w:kern w:val="0"/>
                <w:sz w:val="24"/>
                <w:szCs w:val="24"/>
                <w:u w:val="single" w:color="auto"/>
              </w:rPr>
              <w:t>吨自熟式鲜米粉生产线项目</w:t>
            </w:r>
            <w:r>
              <w:rPr>
                <w:rFonts w:hint="eastAsia" w:cs="Times New Roman"/>
                <w:kern w:val="0"/>
                <w:sz w:val="24"/>
                <w:szCs w:val="24"/>
                <w:u w:val="single" w:color="auto"/>
                <w:lang w:val="en-US" w:eastAsia="zh-CN"/>
              </w:rPr>
              <w:t>所采用的污水处理工艺与本项目相通，</w:t>
            </w:r>
            <w:r>
              <w:rPr>
                <w:rFonts w:hint="default" w:ascii="Times New Roman" w:hAnsi="Times New Roman" w:cs="Times New Roman"/>
                <w:kern w:val="0"/>
                <w:sz w:val="24"/>
                <w:szCs w:val="24"/>
                <w:u w:val="single" w:color="auto"/>
                <w:lang w:val="en-US" w:eastAsia="zh-CN"/>
              </w:rPr>
              <w:t>截至目前已正常运行2年，污水处理设施运行正常且处理后的水质均可达到</w:t>
            </w:r>
            <w:r>
              <w:rPr>
                <w:rFonts w:hint="default" w:ascii="Times New Roman" w:hAnsi="Times New Roman" w:cs="Times New Roman"/>
                <w:color w:val="auto"/>
                <w:u w:val="single" w:color="auto"/>
                <w:lang w:val="en-US" w:eastAsia="zh-CN"/>
              </w:rPr>
              <w:t>农灌</w:t>
            </w:r>
            <w:r>
              <w:rPr>
                <w:rFonts w:hint="eastAsia" w:cs="Times New Roman"/>
                <w:color w:val="auto"/>
                <w:u w:val="single" w:color="auto"/>
                <w:lang w:val="en-US" w:eastAsia="zh-CN"/>
              </w:rPr>
              <w:t>最严</w:t>
            </w:r>
            <w:r>
              <w:rPr>
                <w:rFonts w:hint="default" w:ascii="Times New Roman" w:hAnsi="Times New Roman" w:cs="Times New Roman"/>
                <w:color w:val="auto"/>
                <w:u w:val="single" w:color="auto"/>
                <w:lang w:eastAsia="zh-CN"/>
              </w:rPr>
              <w:t>标准，</w:t>
            </w:r>
            <w:r>
              <w:rPr>
                <w:rFonts w:hint="default" w:ascii="Times New Roman" w:hAnsi="Times New Roman" w:cs="Times New Roman"/>
                <w:color w:val="auto"/>
                <w:u w:val="single" w:color="auto"/>
                <w:lang w:val="en-US" w:eastAsia="zh-CN"/>
              </w:rPr>
              <w:t>未发生过污水处理设施故障导致水质不达标等突发环境事件</w:t>
            </w:r>
            <w:r>
              <w:rPr>
                <w:rFonts w:hint="eastAsia" w:cs="Times New Roman"/>
                <w:color w:val="auto"/>
                <w:u w:val="single" w:color="auto"/>
                <w:lang w:val="en-US" w:eastAsia="zh-CN"/>
              </w:rPr>
              <w:t>且运行成本低，处理效率高</w:t>
            </w:r>
            <w:r>
              <w:rPr>
                <w:rFonts w:hint="eastAsia" w:cs="Times New Roman"/>
                <w:color w:val="auto"/>
                <w:u w:val="single" w:color="auto"/>
                <w:lang w:eastAsia="zh-CN"/>
              </w:rPr>
              <w:t>；</w:t>
            </w:r>
            <w:r>
              <w:rPr>
                <w:rFonts w:hint="default" w:ascii="Times New Roman" w:hAnsi="Times New Roman" w:cs="Times New Roman"/>
                <w:i w:val="0"/>
                <w:iCs w:val="0"/>
                <w:color w:val="000000"/>
                <w:szCs w:val="24"/>
                <w:u w:val="single" w:color="auto"/>
              </w:rPr>
              <w:t>根据水平衡可知，</w:t>
            </w:r>
            <w:r>
              <w:rPr>
                <w:rFonts w:hint="eastAsia" w:cs="Times New Roman"/>
                <w:i w:val="0"/>
                <w:iCs w:val="0"/>
                <w:color w:val="000000"/>
                <w:szCs w:val="24"/>
                <w:u w:val="single" w:color="auto"/>
                <w:lang w:val="en-US" w:eastAsia="zh-CN"/>
              </w:rPr>
              <w:t>项目</w:t>
            </w:r>
            <w:r>
              <w:rPr>
                <w:rFonts w:hint="default" w:ascii="Times New Roman" w:hAnsi="Times New Roman" w:cs="Times New Roman"/>
                <w:i w:val="0"/>
                <w:iCs w:val="0"/>
                <w:color w:val="000000"/>
                <w:szCs w:val="24"/>
                <w:u w:val="single" w:color="auto"/>
              </w:rPr>
              <w:t>用于消纳土地浇灌用水量为</w:t>
            </w:r>
            <w:r>
              <w:rPr>
                <w:rFonts w:hint="eastAsia" w:cs="Times New Roman"/>
                <w:color w:val="auto"/>
                <w:sz w:val="24"/>
                <w:szCs w:val="24"/>
                <w:u w:val="single" w:color="auto"/>
                <w:lang w:val="en-US" w:eastAsia="zh-CN"/>
              </w:rPr>
              <w:t>30.5</w:t>
            </w:r>
            <w:r>
              <w:rPr>
                <w:rFonts w:hint="default" w:ascii="Times New Roman" w:hAnsi="Times New Roman" w:cs="Times New Roman"/>
                <w:color w:val="auto"/>
                <w:sz w:val="24"/>
                <w:szCs w:val="24"/>
                <w:u w:val="single" w:color="auto"/>
                <w:lang w:val="en-US" w:eastAsia="zh-CN"/>
              </w:rPr>
              <w:t>t/d</w:t>
            </w:r>
            <w:r>
              <w:rPr>
                <w:rFonts w:hint="default" w:ascii="Times New Roman" w:hAnsi="Times New Roman" w:cs="Times New Roman"/>
                <w:caps/>
                <w:color w:val="auto"/>
                <w:sz w:val="24"/>
                <w:szCs w:val="24"/>
                <w:u w:val="single" w:color="auto"/>
                <w:lang w:eastAsia="zh-CN"/>
              </w:rPr>
              <w:t>（</w:t>
            </w:r>
            <w:r>
              <w:rPr>
                <w:rFonts w:hint="eastAsia" w:cs="Times New Roman"/>
                <w:caps/>
                <w:color w:val="auto"/>
                <w:sz w:val="24"/>
                <w:szCs w:val="24"/>
                <w:u w:val="single" w:color="auto"/>
                <w:lang w:val="en-US" w:eastAsia="zh-CN"/>
              </w:rPr>
              <w:t>10978</w:t>
            </w:r>
            <w:r>
              <w:rPr>
                <w:rFonts w:hint="default" w:ascii="Times New Roman" w:hAnsi="Times New Roman" w:cs="Times New Roman"/>
                <w:color w:val="auto"/>
                <w:sz w:val="24"/>
                <w:szCs w:val="24"/>
                <w:u w:val="single" w:color="auto"/>
                <w:lang w:val="en-US"/>
              </w:rPr>
              <w:t>m</w:t>
            </w:r>
            <w:r>
              <w:rPr>
                <w:rFonts w:hint="default" w:ascii="Times New Roman" w:hAnsi="Times New Roman" w:cs="Times New Roman"/>
                <w:color w:val="auto"/>
                <w:sz w:val="24"/>
                <w:szCs w:val="24"/>
                <w:u w:val="single" w:color="auto"/>
                <w:vertAlign w:val="superscript"/>
                <w:lang w:val="en-US"/>
              </w:rPr>
              <w:t>3</w:t>
            </w:r>
            <w:r>
              <w:rPr>
                <w:rFonts w:hint="default" w:ascii="Times New Roman" w:hAnsi="Times New Roman" w:cs="Times New Roman"/>
                <w:color w:val="auto"/>
                <w:sz w:val="24"/>
                <w:szCs w:val="24"/>
                <w:u w:val="single" w:color="auto"/>
                <w:lang w:val="en-US"/>
              </w:rPr>
              <w:t>/a</w:t>
            </w:r>
            <w:r>
              <w:rPr>
                <w:rFonts w:hint="default" w:ascii="Times New Roman" w:hAnsi="Times New Roman" w:cs="Times New Roman"/>
                <w:caps/>
                <w:color w:val="auto"/>
                <w:sz w:val="24"/>
                <w:szCs w:val="24"/>
                <w:u w:val="single" w:color="auto"/>
                <w:lang w:eastAsia="zh-CN"/>
              </w:rPr>
              <w:t>）</w:t>
            </w:r>
            <w:r>
              <w:rPr>
                <w:rFonts w:hint="default" w:ascii="Times New Roman" w:hAnsi="Times New Roman" w:cs="Times New Roman"/>
                <w:i w:val="0"/>
                <w:iCs w:val="0"/>
                <w:color w:val="000000"/>
                <w:szCs w:val="24"/>
                <w:u w:val="single" w:color="auto"/>
              </w:rPr>
              <w:t>。根据《湖南省用水定额》（DB</w:t>
            </w:r>
            <w:r>
              <w:rPr>
                <w:rFonts w:hint="default" w:ascii="Times New Roman" w:hAnsi="Times New Roman" w:cs="Times New Roman"/>
                <w:i w:val="0"/>
                <w:iCs w:val="0"/>
                <w:color w:val="000000"/>
                <w:szCs w:val="24"/>
                <w:u w:val="single" w:color="auto"/>
                <w:lang w:val="en-US" w:eastAsia="zh-CN"/>
              </w:rPr>
              <w:t>43</w:t>
            </w:r>
            <w:r>
              <w:rPr>
                <w:rFonts w:hint="default" w:ascii="Times New Roman" w:hAnsi="Times New Roman" w:cs="Times New Roman"/>
                <w:i w:val="0"/>
                <w:iCs w:val="0"/>
                <w:color w:val="000000"/>
                <w:szCs w:val="24"/>
                <w:u w:val="single" w:color="auto"/>
              </w:rPr>
              <w:t xml:space="preserve">/T </w:t>
            </w:r>
            <w:r>
              <w:rPr>
                <w:rFonts w:hint="default" w:ascii="Times New Roman" w:hAnsi="Times New Roman" w:cs="Times New Roman"/>
                <w:i w:val="0"/>
                <w:iCs w:val="0"/>
                <w:color w:val="000000"/>
                <w:szCs w:val="24"/>
                <w:u w:val="single" w:color="auto"/>
                <w:lang w:val="en-US" w:eastAsia="zh-CN"/>
              </w:rPr>
              <w:t>388</w:t>
            </w:r>
            <w:r>
              <w:rPr>
                <w:rFonts w:hint="default" w:ascii="Times New Roman" w:hAnsi="Times New Roman" w:cs="Times New Roman"/>
                <w:i w:val="0"/>
                <w:iCs w:val="0"/>
                <w:color w:val="000000"/>
                <w:szCs w:val="24"/>
                <w:u w:val="single" w:color="auto"/>
              </w:rPr>
              <w:t>-</w:t>
            </w:r>
            <w:r>
              <w:rPr>
                <w:rFonts w:hint="default" w:ascii="Times New Roman" w:hAnsi="Times New Roman" w:cs="Times New Roman"/>
                <w:i w:val="0"/>
                <w:iCs w:val="0"/>
                <w:color w:val="000000"/>
                <w:szCs w:val="24"/>
                <w:u w:val="single" w:color="auto"/>
                <w:lang w:val="en-US" w:eastAsia="zh-CN"/>
              </w:rPr>
              <w:t>2020</w:t>
            </w:r>
            <w:r>
              <w:rPr>
                <w:rFonts w:hint="default" w:ascii="Times New Roman" w:hAnsi="Times New Roman" w:cs="Times New Roman"/>
                <w:i w:val="0"/>
                <w:iCs w:val="0"/>
                <w:color w:val="000000"/>
                <w:szCs w:val="24"/>
                <w:u w:val="single" w:color="auto"/>
              </w:rPr>
              <w:t>），本项目所在地属于I类区“湘西北山区”，消纳土地内主要为</w:t>
            </w:r>
            <w:r>
              <w:rPr>
                <w:rFonts w:hint="default" w:ascii="Times New Roman" w:hAnsi="Times New Roman" w:cs="Times New Roman"/>
                <w:i w:val="0"/>
                <w:iCs w:val="0"/>
                <w:color w:val="000000"/>
                <w:u w:val="single" w:color="auto"/>
                <w:lang w:eastAsia="zh-CN"/>
              </w:rPr>
              <w:t>稻田、旱地</w:t>
            </w:r>
            <w:r>
              <w:rPr>
                <w:rFonts w:hint="default" w:ascii="Times New Roman" w:hAnsi="Times New Roman" w:cs="Times New Roman"/>
                <w:i w:val="0"/>
                <w:iCs w:val="0"/>
                <w:color w:val="000000"/>
                <w:szCs w:val="24"/>
                <w:u w:val="single" w:color="auto"/>
              </w:rPr>
              <w:t>，</w:t>
            </w:r>
            <w:r>
              <w:rPr>
                <w:rFonts w:hint="default" w:ascii="Times New Roman" w:hAnsi="Times New Roman" w:cs="Times New Roman"/>
                <w:u w:val="single" w:color="auto"/>
              </w:rPr>
              <w:t>其面积分别为旱地</w:t>
            </w:r>
            <w:r>
              <w:rPr>
                <w:rFonts w:hint="eastAsia" w:cs="Times New Roman"/>
                <w:u w:val="single" w:color="auto"/>
                <w:lang w:val="en-US" w:eastAsia="zh-CN"/>
              </w:rPr>
              <w:t>400</w:t>
            </w:r>
            <w:r>
              <w:rPr>
                <w:rFonts w:hint="default" w:ascii="Times New Roman" w:hAnsi="Times New Roman" w:cs="Times New Roman"/>
                <w:u w:val="single" w:color="auto"/>
              </w:rPr>
              <w:t>亩</w:t>
            </w:r>
            <w:r>
              <w:rPr>
                <w:rFonts w:hint="default" w:ascii="Times New Roman" w:hAnsi="Times New Roman" w:cs="Times New Roman"/>
                <w:u w:val="single" w:color="auto"/>
                <w:lang w:eastAsia="zh-CN"/>
              </w:rPr>
              <w:t>、稻田</w:t>
            </w:r>
            <w:r>
              <w:rPr>
                <w:rFonts w:hint="eastAsia" w:cs="Times New Roman"/>
                <w:u w:val="single" w:color="auto"/>
                <w:lang w:val="en-US" w:eastAsia="zh-CN"/>
              </w:rPr>
              <w:t>300</w:t>
            </w:r>
            <w:r>
              <w:rPr>
                <w:rFonts w:hint="default" w:ascii="Times New Roman" w:hAnsi="Times New Roman" w:cs="Times New Roman"/>
                <w:u w:val="single" w:color="auto"/>
                <w:lang w:val="en-US" w:eastAsia="zh-CN"/>
              </w:rPr>
              <w:t>亩</w:t>
            </w:r>
            <w:r>
              <w:rPr>
                <w:rFonts w:hint="default" w:ascii="Times New Roman" w:hAnsi="Times New Roman" w:cs="Times New Roman"/>
                <w:u w:val="single" w:color="auto"/>
              </w:rPr>
              <w:t>。旱地主要种植玉米、茶叶、柑桔</w:t>
            </w:r>
            <w:r>
              <w:rPr>
                <w:rFonts w:hint="eastAsia" w:cs="Times New Roman"/>
                <w:u w:val="single" w:color="auto"/>
                <w:lang w:eastAsia="zh-CN"/>
              </w:rPr>
              <w:t>、</w:t>
            </w:r>
            <w:r>
              <w:rPr>
                <w:rFonts w:hint="eastAsia" w:cs="Times New Roman"/>
                <w:u w:val="single" w:color="auto"/>
                <w:lang w:val="en-US" w:eastAsia="zh-CN"/>
              </w:rPr>
              <w:t>苗木</w:t>
            </w:r>
            <w:r>
              <w:rPr>
                <w:rFonts w:hint="default" w:ascii="Times New Roman" w:hAnsi="Times New Roman" w:cs="Times New Roman"/>
                <w:u w:val="single" w:color="auto"/>
              </w:rPr>
              <w:t>等。</w:t>
            </w:r>
            <w:r>
              <w:rPr>
                <w:rFonts w:hint="default" w:ascii="Times New Roman" w:hAnsi="Times New Roman" w:cs="Times New Roman"/>
                <w:i w:val="0"/>
                <w:iCs w:val="0"/>
                <w:color w:val="000000"/>
                <w:szCs w:val="24"/>
                <w:u w:val="single" w:color="auto"/>
              </w:rPr>
              <w:t>在灌溉保证率达到90%的情况下，</w:t>
            </w:r>
            <w:r>
              <w:rPr>
                <w:rFonts w:hint="default" w:ascii="Times New Roman" w:hAnsi="Times New Roman" w:cs="Times New Roman"/>
                <w:i w:val="0"/>
                <w:iCs w:val="0"/>
                <w:color w:val="000000"/>
                <w:szCs w:val="24"/>
                <w:u w:val="single" w:color="auto"/>
                <w:lang w:eastAsia="zh-CN"/>
              </w:rPr>
              <w:t>稻田</w:t>
            </w:r>
            <w:r>
              <w:rPr>
                <w:rFonts w:hint="default" w:ascii="Times New Roman" w:hAnsi="Times New Roman" w:cs="Times New Roman"/>
                <w:i w:val="0"/>
                <w:iCs w:val="0"/>
                <w:color w:val="000000"/>
                <w:szCs w:val="24"/>
                <w:u w:val="single" w:color="auto"/>
              </w:rPr>
              <w:t>平均灌溉需水量约为</w:t>
            </w:r>
            <w:r>
              <w:rPr>
                <w:rFonts w:hint="default" w:ascii="Times New Roman" w:hAnsi="Times New Roman" w:cs="Times New Roman"/>
                <w:i w:val="0"/>
                <w:iCs w:val="0"/>
                <w:color w:val="000000"/>
                <w:szCs w:val="24"/>
                <w:u w:val="single" w:color="auto"/>
                <w:lang w:val="en-US" w:eastAsia="zh-CN"/>
              </w:rPr>
              <w:t>154</w:t>
            </w:r>
            <w:r>
              <w:rPr>
                <w:rFonts w:hint="default" w:ascii="Times New Roman" w:hAnsi="Times New Roman" w:cs="Times New Roman"/>
                <w:i w:val="0"/>
                <w:iCs w:val="0"/>
                <w:color w:val="000000"/>
                <w:szCs w:val="24"/>
                <w:u w:val="single" w:color="auto"/>
              </w:rPr>
              <w:t>m</w:t>
            </w:r>
            <w:r>
              <w:rPr>
                <w:rFonts w:hint="default" w:ascii="Times New Roman" w:hAnsi="Times New Roman" w:cs="Times New Roman"/>
                <w:i w:val="0"/>
                <w:iCs w:val="0"/>
                <w:color w:val="000000"/>
                <w:szCs w:val="24"/>
                <w:u w:val="single" w:color="auto"/>
                <w:vertAlign w:val="superscript"/>
              </w:rPr>
              <w:t>3</w:t>
            </w:r>
            <w:r>
              <w:rPr>
                <w:rFonts w:hint="default" w:ascii="Times New Roman" w:hAnsi="Times New Roman" w:cs="Times New Roman"/>
                <w:i w:val="0"/>
                <w:iCs w:val="0"/>
                <w:color w:val="000000"/>
                <w:szCs w:val="24"/>
                <w:u w:val="single" w:color="auto"/>
              </w:rPr>
              <w:t>/亩·a</w:t>
            </w:r>
            <w:r>
              <w:rPr>
                <w:rFonts w:hint="default" w:ascii="Times New Roman" w:hAnsi="Times New Roman" w:cs="Times New Roman"/>
                <w:i w:val="0"/>
                <w:iCs w:val="0"/>
                <w:color w:val="000000"/>
                <w:szCs w:val="24"/>
                <w:u w:val="single" w:color="auto"/>
                <w:lang w:eastAsia="zh-CN"/>
              </w:rPr>
              <w:t>，需</w:t>
            </w:r>
            <w:r>
              <w:rPr>
                <w:rFonts w:hint="eastAsia" w:cs="Times New Roman"/>
                <w:i w:val="0"/>
                <w:iCs w:val="0"/>
                <w:color w:val="000000"/>
                <w:szCs w:val="24"/>
                <w:u w:val="single" w:color="auto"/>
                <w:lang w:val="en-US" w:eastAsia="zh-CN"/>
              </w:rPr>
              <w:t>72</w:t>
            </w:r>
            <w:r>
              <w:rPr>
                <w:rFonts w:hint="default" w:ascii="Times New Roman" w:hAnsi="Times New Roman" w:cs="Times New Roman"/>
                <w:i w:val="0"/>
                <w:iCs w:val="0"/>
                <w:color w:val="000000"/>
                <w:szCs w:val="24"/>
                <w:u w:val="single" w:color="auto"/>
                <w:lang w:val="en-US" w:eastAsia="zh-CN"/>
              </w:rPr>
              <w:t>亩稻田就可消纳</w:t>
            </w:r>
            <w:r>
              <w:rPr>
                <w:rFonts w:hint="eastAsia" w:cs="Times New Roman"/>
                <w:i w:val="0"/>
                <w:iCs w:val="0"/>
                <w:color w:val="000000"/>
                <w:szCs w:val="24"/>
                <w:u w:val="single" w:color="auto"/>
                <w:lang w:val="en-US" w:eastAsia="zh-CN"/>
              </w:rPr>
              <w:t>；</w:t>
            </w:r>
            <w:r>
              <w:rPr>
                <w:rFonts w:hint="default" w:ascii="Times New Roman" w:hAnsi="Times New Roman" w:cs="Times New Roman"/>
                <w:i w:val="0"/>
                <w:iCs w:val="0"/>
                <w:color w:val="000000"/>
                <w:szCs w:val="24"/>
                <w:u w:val="single" w:color="auto"/>
                <w:lang w:eastAsia="zh-CN"/>
              </w:rPr>
              <w:t>旱地按</w:t>
            </w:r>
            <w:r>
              <w:rPr>
                <w:rFonts w:hint="eastAsia" w:cs="Times New Roman"/>
                <w:i w:val="0"/>
                <w:iCs w:val="0"/>
                <w:color w:val="000000"/>
                <w:szCs w:val="24"/>
                <w:u w:val="single" w:color="auto"/>
                <w:lang w:val="en-US" w:eastAsia="zh-CN"/>
              </w:rPr>
              <w:t>最低净灌溉用水的玉米的</w:t>
            </w:r>
            <w:r>
              <w:rPr>
                <w:rFonts w:hint="default" w:ascii="Times New Roman" w:hAnsi="Times New Roman" w:cs="Times New Roman"/>
                <w:i w:val="0"/>
                <w:iCs w:val="0"/>
                <w:color w:val="000000"/>
                <w:szCs w:val="24"/>
                <w:u w:val="single" w:color="auto"/>
              </w:rPr>
              <w:t>平均灌溉需水量</w:t>
            </w:r>
            <w:r>
              <w:rPr>
                <w:rFonts w:hint="default" w:ascii="Times New Roman" w:hAnsi="Times New Roman" w:cs="Times New Roman"/>
                <w:i w:val="0"/>
                <w:iCs w:val="0"/>
                <w:color w:val="000000"/>
                <w:szCs w:val="24"/>
                <w:u w:val="single" w:color="auto"/>
                <w:lang w:eastAsia="zh-CN"/>
              </w:rPr>
              <w:t>计算，约为</w:t>
            </w:r>
            <w:r>
              <w:rPr>
                <w:rFonts w:hint="eastAsia" w:cs="Times New Roman"/>
                <w:i w:val="0"/>
                <w:iCs w:val="0"/>
                <w:color w:val="000000"/>
                <w:szCs w:val="24"/>
                <w:u w:val="single" w:color="auto"/>
                <w:lang w:val="en-US" w:eastAsia="zh-CN"/>
              </w:rPr>
              <w:t>88</w:t>
            </w:r>
            <w:r>
              <w:rPr>
                <w:rFonts w:hint="default" w:ascii="Times New Roman" w:hAnsi="Times New Roman" w:cs="Times New Roman"/>
                <w:i w:val="0"/>
                <w:iCs w:val="0"/>
                <w:color w:val="000000"/>
                <w:szCs w:val="24"/>
                <w:u w:val="single" w:color="auto"/>
              </w:rPr>
              <w:t>m</w:t>
            </w:r>
            <w:r>
              <w:rPr>
                <w:rFonts w:hint="default" w:ascii="Times New Roman" w:hAnsi="Times New Roman" w:cs="Times New Roman"/>
                <w:i w:val="0"/>
                <w:iCs w:val="0"/>
                <w:color w:val="000000"/>
                <w:szCs w:val="24"/>
                <w:u w:val="single" w:color="auto"/>
                <w:vertAlign w:val="superscript"/>
              </w:rPr>
              <w:t>3</w:t>
            </w:r>
            <w:r>
              <w:rPr>
                <w:rFonts w:hint="default" w:ascii="Times New Roman" w:hAnsi="Times New Roman" w:cs="Times New Roman"/>
                <w:i w:val="0"/>
                <w:iCs w:val="0"/>
                <w:color w:val="000000"/>
                <w:szCs w:val="24"/>
                <w:u w:val="single" w:color="auto"/>
              </w:rPr>
              <w:t>/亩·a</w:t>
            </w:r>
            <w:r>
              <w:rPr>
                <w:rFonts w:hint="default" w:ascii="Times New Roman" w:hAnsi="Times New Roman" w:cs="Times New Roman"/>
                <w:i w:val="0"/>
                <w:iCs w:val="0"/>
                <w:color w:val="000000"/>
                <w:szCs w:val="24"/>
                <w:u w:val="single" w:color="auto"/>
                <w:lang w:eastAsia="zh-CN"/>
              </w:rPr>
              <w:t>，</w:t>
            </w:r>
            <w:r>
              <w:rPr>
                <w:rFonts w:hint="default" w:ascii="Times New Roman" w:hAnsi="Times New Roman" w:cs="Times New Roman"/>
                <w:i w:val="0"/>
                <w:iCs w:val="0"/>
                <w:color w:val="000000"/>
                <w:szCs w:val="24"/>
                <w:u w:val="single" w:color="auto"/>
              </w:rPr>
              <w:t>则本项目</w:t>
            </w:r>
            <w:r>
              <w:rPr>
                <w:rFonts w:hint="default" w:ascii="Times New Roman" w:hAnsi="Times New Roman" w:cs="Times New Roman"/>
                <w:i w:val="0"/>
                <w:iCs w:val="0"/>
                <w:color w:val="000000"/>
                <w:szCs w:val="24"/>
                <w:u w:val="single" w:color="auto"/>
                <w:lang w:eastAsia="zh-CN"/>
              </w:rPr>
              <w:t>需</w:t>
            </w:r>
            <w:r>
              <w:rPr>
                <w:rFonts w:hint="eastAsia" w:cs="Times New Roman"/>
                <w:i w:val="0"/>
                <w:iCs w:val="0"/>
                <w:color w:val="000000"/>
                <w:szCs w:val="24"/>
                <w:u w:val="single" w:color="auto"/>
                <w:lang w:val="en-US" w:eastAsia="zh-CN"/>
              </w:rPr>
              <w:t>124</w:t>
            </w:r>
            <w:r>
              <w:rPr>
                <w:rFonts w:hint="default" w:ascii="Times New Roman" w:hAnsi="Times New Roman" w:cs="Times New Roman"/>
                <w:i w:val="0"/>
                <w:iCs w:val="0"/>
                <w:color w:val="000000"/>
                <w:szCs w:val="24"/>
                <w:u w:val="single" w:color="auto"/>
                <w:lang w:val="en-US" w:eastAsia="zh-CN"/>
              </w:rPr>
              <w:t>亩</w:t>
            </w:r>
            <w:r>
              <w:rPr>
                <w:rFonts w:hint="eastAsia" w:cs="Times New Roman"/>
                <w:i w:val="0"/>
                <w:iCs w:val="0"/>
                <w:color w:val="000000"/>
                <w:szCs w:val="24"/>
                <w:u w:val="single" w:color="auto"/>
                <w:lang w:val="en-US" w:eastAsia="zh-CN"/>
              </w:rPr>
              <w:t>旱地</w:t>
            </w:r>
            <w:r>
              <w:rPr>
                <w:rFonts w:hint="default" w:ascii="Times New Roman" w:hAnsi="Times New Roman" w:cs="Times New Roman"/>
                <w:i w:val="0"/>
                <w:iCs w:val="0"/>
                <w:color w:val="000000"/>
                <w:szCs w:val="24"/>
                <w:u w:val="single" w:color="auto"/>
                <w:lang w:val="en-US" w:eastAsia="zh-CN"/>
              </w:rPr>
              <w:t>就可消纳</w:t>
            </w:r>
            <w:r>
              <w:rPr>
                <w:rFonts w:hint="default" w:ascii="Times New Roman" w:hAnsi="Times New Roman" w:cs="Times New Roman"/>
                <w:i w:val="0"/>
                <w:iCs w:val="0"/>
                <w:color w:val="000000"/>
                <w:u w:val="single" w:color="auto"/>
              </w:rPr>
              <w:t>，</w:t>
            </w:r>
            <w:r>
              <w:rPr>
                <w:rFonts w:hint="default" w:ascii="Times New Roman" w:hAnsi="Times New Roman" w:cs="Times New Roman"/>
                <w:i w:val="0"/>
                <w:iCs w:val="0"/>
                <w:color w:val="000000"/>
                <w:u w:val="single" w:color="auto"/>
                <w:lang w:val="en-US" w:eastAsia="zh-CN"/>
              </w:rPr>
              <w:t>湘西地区种植的水稻为</w:t>
            </w:r>
            <w:r>
              <w:rPr>
                <w:rFonts w:hint="eastAsia" w:cs="Times New Roman"/>
                <w:i w:val="0"/>
                <w:iCs w:val="0"/>
                <w:color w:val="000000"/>
                <w:u w:val="single" w:color="auto"/>
                <w:lang w:val="en-US" w:eastAsia="zh-CN"/>
              </w:rPr>
              <w:t>一季</w:t>
            </w:r>
            <w:r>
              <w:rPr>
                <w:rFonts w:hint="default" w:ascii="Times New Roman" w:hAnsi="Times New Roman" w:cs="Times New Roman"/>
                <w:i w:val="0"/>
                <w:iCs w:val="0"/>
                <w:color w:val="000000"/>
                <w:u w:val="single" w:color="auto"/>
                <w:lang w:val="en-US" w:eastAsia="zh-CN"/>
              </w:rPr>
              <w:t>稻，需水时间</w:t>
            </w:r>
            <w:r>
              <w:rPr>
                <w:rFonts w:hint="eastAsia" w:cs="Times New Roman"/>
                <w:i w:val="0"/>
                <w:iCs w:val="0"/>
                <w:color w:val="000000"/>
                <w:u w:val="single" w:color="auto"/>
                <w:lang w:val="en-US" w:eastAsia="zh-CN"/>
              </w:rPr>
              <w:t>大概</w:t>
            </w:r>
            <w:r>
              <w:rPr>
                <w:rFonts w:hint="default" w:ascii="Times New Roman" w:hAnsi="Times New Roman" w:cs="Times New Roman"/>
                <w:i w:val="0"/>
                <w:iCs w:val="0"/>
                <w:color w:val="000000"/>
                <w:u w:val="single" w:color="auto"/>
                <w:lang w:val="en-US" w:eastAsia="zh-CN"/>
              </w:rPr>
              <w:t>为每年的3月-10月份、</w:t>
            </w:r>
            <w:r>
              <w:rPr>
                <w:rFonts w:hint="default" w:ascii="Times New Roman" w:hAnsi="Times New Roman" w:cs="Times New Roman"/>
                <w:i w:val="0"/>
                <w:iCs w:val="0"/>
                <w:color w:val="000000"/>
                <w:highlight w:val="none"/>
                <w:u w:val="single" w:color="auto"/>
                <w:lang w:val="en-US" w:eastAsia="zh-CN"/>
              </w:rPr>
              <w:t>玉米的种植时间为每年的3-11月份，则其余月份本项目处理达标后的废水可用于</w:t>
            </w:r>
            <w:r>
              <w:rPr>
                <w:rFonts w:hint="default" w:ascii="Times New Roman" w:hAnsi="Times New Roman" w:cs="Times New Roman"/>
                <w:i w:val="0"/>
                <w:iCs w:val="0"/>
                <w:color w:val="000000"/>
                <w:szCs w:val="24"/>
                <w:highlight w:val="none"/>
                <w:u w:val="single" w:color="auto"/>
              </w:rPr>
              <w:t>灌溉</w:t>
            </w:r>
            <w:r>
              <w:rPr>
                <w:rFonts w:hint="default" w:ascii="Times New Roman" w:hAnsi="Times New Roman" w:cs="Times New Roman"/>
                <w:highlight w:val="none"/>
                <w:u w:val="single" w:color="auto"/>
              </w:rPr>
              <w:t>茶叶、柑桔</w:t>
            </w:r>
            <w:r>
              <w:rPr>
                <w:rFonts w:hint="eastAsia" w:cs="Times New Roman"/>
                <w:highlight w:val="none"/>
                <w:u w:val="single" w:color="auto"/>
                <w:lang w:eastAsia="zh-CN"/>
              </w:rPr>
              <w:t>、</w:t>
            </w:r>
            <w:r>
              <w:rPr>
                <w:rFonts w:hint="eastAsia" w:cs="Times New Roman"/>
                <w:highlight w:val="none"/>
                <w:u w:val="single" w:color="auto"/>
                <w:lang w:val="en-US" w:eastAsia="zh-CN"/>
              </w:rPr>
              <w:t>苗木</w:t>
            </w:r>
            <w:r>
              <w:rPr>
                <w:rFonts w:hint="default" w:ascii="Times New Roman" w:hAnsi="Times New Roman" w:cs="Times New Roman"/>
                <w:highlight w:val="none"/>
                <w:u w:val="single" w:color="auto"/>
              </w:rPr>
              <w:t>等</w:t>
            </w:r>
            <w:r>
              <w:rPr>
                <w:rFonts w:hint="default" w:ascii="Times New Roman" w:hAnsi="Times New Roman" w:cs="Times New Roman"/>
                <w:highlight w:val="none"/>
                <w:u w:val="single" w:color="auto"/>
                <w:lang w:eastAsia="zh-CN"/>
              </w:rPr>
              <w:t>，</w:t>
            </w:r>
            <w:r>
              <w:rPr>
                <w:rFonts w:hint="default" w:ascii="Times New Roman" w:hAnsi="Times New Roman" w:cs="Times New Roman"/>
                <w:i w:val="0"/>
                <w:iCs w:val="0"/>
                <w:color w:val="000000"/>
                <w:highlight w:val="none"/>
                <w:u w:val="single" w:color="auto"/>
              </w:rPr>
              <w:t>灌溉消纳可行</w:t>
            </w:r>
            <w:r>
              <w:rPr>
                <w:rFonts w:hint="default" w:ascii="Times New Roman" w:hAnsi="Times New Roman" w:cs="Times New Roman"/>
                <w:i w:val="0"/>
                <w:iCs w:val="0"/>
                <w:color w:val="000000"/>
                <w:highlight w:val="none"/>
                <w:u w:val="single" w:color="auto"/>
                <w:lang w:eastAsia="zh-CN"/>
              </w:rPr>
              <w:t>。</w:t>
            </w:r>
            <w:r>
              <w:rPr>
                <w:rFonts w:hint="default" w:ascii="Times New Roman" w:hAnsi="Times New Roman" w:cs="Times New Roman"/>
                <w:i w:val="0"/>
                <w:iCs w:val="0"/>
                <w:color w:val="000000"/>
                <w:szCs w:val="24"/>
                <w:highlight w:val="none"/>
                <w:u w:val="single" w:color="auto"/>
              </w:rPr>
              <w:t>考</w:t>
            </w:r>
            <w:r>
              <w:rPr>
                <w:rFonts w:hint="default" w:ascii="Times New Roman" w:hAnsi="Times New Roman" w:cs="Times New Roman"/>
                <w:i w:val="0"/>
                <w:iCs w:val="0"/>
                <w:color w:val="000000"/>
                <w:szCs w:val="24"/>
                <w:u w:val="single" w:color="auto"/>
              </w:rPr>
              <w:t>虑雨季不需要灌溉，</w:t>
            </w:r>
            <w:r>
              <w:rPr>
                <w:rFonts w:hint="default" w:ascii="Times New Roman" w:hAnsi="Times New Roman" w:cs="Times New Roman"/>
                <w:i w:val="0"/>
                <w:iCs w:val="0"/>
                <w:color w:val="000000"/>
                <w:szCs w:val="24"/>
                <w:highlight w:val="none"/>
                <w:u w:val="single" w:color="auto"/>
              </w:rPr>
              <w:t>项目产生废水将暂存于</w:t>
            </w:r>
            <w:r>
              <w:rPr>
                <w:rFonts w:hint="default" w:ascii="Times New Roman" w:hAnsi="Times New Roman" w:cs="Times New Roman"/>
                <w:highlight w:val="none"/>
                <w:u w:val="single" w:color="auto"/>
                <w:lang w:val="en-US" w:eastAsia="zh-CN"/>
              </w:rPr>
              <w:t>清水</w:t>
            </w:r>
            <w:r>
              <w:rPr>
                <w:rFonts w:hint="default" w:ascii="Times New Roman" w:hAnsi="Times New Roman" w:cs="Times New Roman"/>
                <w:highlight w:val="none"/>
                <w:u w:val="single" w:color="auto"/>
                <w:lang w:eastAsia="zh-CN"/>
              </w:rPr>
              <w:t>池</w:t>
            </w:r>
            <w:r>
              <w:rPr>
                <w:rFonts w:hint="default" w:ascii="Times New Roman" w:hAnsi="Times New Roman" w:cs="Times New Roman"/>
                <w:i w:val="0"/>
                <w:iCs w:val="0"/>
                <w:color w:val="000000"/>
                <w:szCs w:val="24"/>
                <w:highlight w:val="none"/>
                <w:u w:val="single" w:color="auto"/>
              </w:rPr>
              <w:t>不外排，其中雨季按</w:t>
            </w:r>
            <w:r>
              <w:rPr>
                <w:rFonts w:hint="eastAsia" w:cs="Times New Roman"/>
                <w:i w:val="0"/>
                <w:iCs w:val="0"/>
                <w:color w:val="000000"/>
                <w:szCs w:val="24"/>
                <w:highlight w:val="none"/>
                <w:u w:val="single" w:color="auto"/>
                <w:lang w:val="en-US" w:eastAsia="zh-CN"/>
              </w:rPr>
              <w:t>10</w:t>
            </w:r>
            <w:r>
              <w:rPr>
                <w:rFonts w:hint="default" w:ascii="Times New Roman" w:hAnsi="Times New Roman" w:cs="Times New Roman"/>
                <w:i w:val="0"/>
                <w:iCs w:val="0"/>
                <w:color w:val="000000"/>
                <w:szCs w:val="24"/>
                <w:highlight w:val="none"/>
                <w:u w:val="single" w:color="auto"/>
              </w:rPr>
              <w:t>天考虑</w:t>
            </w:r>
            <w:r>
              <w:rPr>
                <w:rFonts w:hint="default" w:ascii="Times New Roman" w:hAnsi="Times New Roman" w:cs="Times New Roman"/>
                <w:i w:val="0"/>
                <w:iCs w:val="0"/>
                <w:color w:val="000000"/>
                <w:szCs w:val="24"/>
                <w:highlight w:val="none"/>
                <w:u w:val="single" w:color="auto"/>
                <w:lang w:eastAsia="zh-CN"/>
              </w:rPr>
              <w:t>，</w:t>
            </w:r>
            <w:r>
              <w:rPr>
                <w:rFonts w:hint="eastAsia" w:cs="Times New Roman"/>
                <w:i w:val="0"/>
                <w:iCs w:val="0"/>
                <w:color w:val="000000"/>
                <w:szCs w:val="24"/>
                <w:highlight w:val="none"/>
                <w:u w:val="single" w:color="auto"/>
                <w:lang w:val="en-US" w:eastAsia="zh-CN"/>
              </w:rPr>
              <w:t>则项目</w:t>
            </w:r>
            <w:r>
              <w:rPr>
                <w:rFonts w:hint="default" w:ascii="Times New Roman" w:hAnsi="Times New Roman" w:cs="Times New Roman"/>
                <w:i w:val="0"/>
                <w:iCs w:val="0"/>
                <w:color w:val="000000"/>
                <w:szCs w:val="24"/>
                <w:highlight w:val="none"/>
                <w:u w:val="single" w:color="auto"/>
                <w:lang w:eastAsia="zh-CN"/>
              </w:rPr>
              <w:t>废水量为</w:t>
            </w:r>
            <w:r>
              <w:rPr>
                <w:rFonts w:hint="eastAsia" w:cs="Times New Roman"/>
                <w:i w:val="0"/>
                <w:iCs w:val="0"/>
                <w:color w:val="000000"/>
                <w:szCs w:val="24"/>
                <w:highlight w:val="none"/>
                <w:u w:val="single" w:color="auto"/>
                <w:lang w:val="en-US" w:eastAsia="zh-CN"/>
              </w:rPr>
              <w:t>305</w:t>
            </w:r>
            <w:r>
              <w:rPr>
                <w:rFonts w:hint="default" w:ascii="Times New Roman" w:hAnsi="Times New Roman" w:cs="Times New Roman"/>
                <w:i w:val="0"/>
                <w:iCs w:val="0"/>
                <w:color w:val="000000"/>
                <w:szCs w:val="24"/>
                <w:highlight w:val="none"/>
                <w:u w:val="single" w:color="auto"/>
                <w:lang w:val="en-US" w:eastAsia="zh-CN"/>
              </w:rPr>
              <w:t>m</w:t>
            </w:r>
            <w:r>
              <w:rPr>
                <w:rFonts w:hint="default" w:ascii="Times New Roman" w:hAnsi="Times New Roman" w:cs="Times New Roman"/>
                <w:i w:val="0"/>
                <w:iCs w:val="0"/>
                <w:color w:val="000000"/>
                <w:szCs w:val="24"/>
                <w:highlight w:val="none"/>
                <w:u w:val="single" w:color="auto"/>
                <w:vertAlign w:val="superscript"/>
                <w:lang w:val="en-US" w:eastAsia="zh-CN"/>
              </w:rPr>
              <w:t>3</w:t>
            </w:r>
            <w:r>
              <w:rPr>
                <w:rFonts w:hint="eastAsia" w:cs="Times New Roman"/>
                <w:i w:val="0"/>
                <w:iCs w:val="0"/>
                <w:color w:val="000000"/>
                <w:szCs w:val="24"/>
                <w:highlight w:val="none"/>
                <w:u w:val="single" w:color="auto"/>
                <w:vertAlign w:val="baseline"/>
                <w:lang w:val="en-US" w:eastAsia="zh-CN"/>
              </w:rPr>
              <w:t>。</w:t>
            </w:r>
            <w:r>
              <w:rPr>
                <w:rFonts w:hint="default" w:ascii="Times New Roman" w:hAnsi="Times New Roman" w:cs="Times New Roman"/>
                <w:i w:val="0"/>
                <w:iCs w:val="0"/>
                <w:color w:val="000000"/>
                <w:szCs w:val="24"/>
                <w:highlight w:val="none"/>
                <w:u w:val="single" w:color="auto"/>
                <w:lang w:val="en-US" w:eastAsia="zh-CN"/>
              </w:rPr>
              <w:t>本次变更</w:t>
            </w:r>
            <w:r>
              <w:rPr>
                <w:rFonts w:hint="eastAsia" w:cs="Times New Roman"/>
                <w:i w:val="0"/>
                <w:iCs w:val="0"/>
                <w:color w:val="000000"/>
                <w:szCs w:val="24"/>
                <w:highlight w:val="none"/>
                <w:u w:val="single" w:color="auto"/>
                <w:lang w:val="en-US" w:eastAsia="zh-CN"/>
              </w:rPr>
              <w:t>设置有</w:t>
            </w:r>
            <w:r>
              <w:rPr>
                <w:rFonts w:hint="default" w:ascii="Times New Roman" w:hAnsi="Times New Roman" w:cs="Times New Roman"/>
                <w:i w:val="0"/>
                <w:iCs w:val="0"/>
                <w:color w:val="000000"/>
                <w:szCs w:val="24"/>
                <w:highlight w:val="none"/>
                <w:u w:val="single" w:color="auto"/>
                <w:lang w:val="en-US" w:eastAsia="zh-CN"/>
              </w:rPr>
              <w:t>清水池容积设为200m</w:t>
            </w:r>
            <w:r>
              <w:rPr>
                <w:rFonts w:hint="default" w:ascii="Times New Roman" w:hAnsi="Times New Roman" w:cs="Times New Roman"/>
                <w:i w:val="0"/>
                <w:iCs w:val="0"/>
                <w:color w:val="000000"/>
                <w:szCs w:val="24"/>
                <w:highlight w:val="none"/>
                <w:u w:val="single" w:color="auto"/>
                <w:vertAlign w:val="superscript"/>
                <w:lang w:val="en-US" w:eastAsia="zh-CN"/>
              </w:rPr>
              <w:t>3</w:t>
            </w:r>
            <w:r>
              <w:rPr>
                <w:rFonts w:hint="default" w:ascii="Times New Roman" w:hAnsi="Times New Roman" w:cs="Times New Roman"/>
                <w:i w:val="0"/>
                <w:iCs w:val="0"/>
                <w:color w:val="000000"/>
                <w:szCs w:val="24"/>
                <w:highlight w:val="none"/>
                <w:u w:val="single" w:color="auto"/>
                <w:lang w:val="en-US" w:eastAsia="zh-CN"/>
              </w:rPr>
              <w:t>，</w:t>
            </w:r>
            <w:r>
              <w:rPr>
                <w:rFonts w:hint="default" w:ascii="Times New Roman" w:hAnsi="Times New Roman" w:cs="Times New Roman"/>
                <w:highlight w:val="none"/>
                <w:u w:val="single" w:color="auto"/>
              </w:rPr>
              <w:t>在无需农灌时</w:t>
            </w:r>
            <w:r>
              <w:rPr>
                <w:rFonts w:hint="default" w:ascii="Times New Roman" w:hAnsi="Times New Roman" w:cs="Times New Roman"/>
                <w:highlight w:val="none"/>
                <w:u w:val="single" w:color="auto"/>
                <w:lang w:eastAsia="zh-CN"/>
              </w:rPr>
              <w:t>，废水可以储存在</w:t>
            </w:r>
            <w:r>
              <w:rPr>
                <w:rFonts w:hint="default" w:ascii="Times New Roman" w:hAnsi="Times New Roman" w:cs="Times New Roman"/>
                <w:highlight w:val="none"/>
                <w:u w:val="single" w:color="auto"/>
                <w:lang w:val="en-US" w:eastAsia="zh-CN"/>
              </w:rPr>
              <w:t>厂内清</w:t>
            </w:r>
            <w:r>
              <w:rPr>
                <w:rFonts w:hint="default" w:ascii="Times New Roman" w:hAnsi="Times New Roman" w:cs="Times New Roman"/>
                <w:highlight w:val="none"/>
                <w:u w:val="single" w:color="auto"/>
                <w:lang w:eastAsia="zh-CN"/>
              </w:rPr>
              <w:t>水池内</w:t>
            </w:r>
            <w:r>
              <w:rPr>
                <w:rFonts w:hint="eastAsia" w:ascii="Times New Roman" w:hAnsi="Times New Roman" w:cs="Times New Roman"/>
                <w:highlight w:val="none"/>
                <w:u w:val="single" w:color="auto"/>
                <w:lang w:eastAsia="zh-CN"/>
              </w:rPr>
              <w:t>，</w:t>
            </w:r>
            <w:r>
              <w:rPr>
                <w:rFonts w:hint="eastAsia" w:ascii="Times New Roman" w:hAnsi="Times New Roman" w:cs="Times New Roman"/>
                <w:highlight w:val="none"/>
                <w:u w:val="single" w:color="auto"/>
                <w:lang w:val="en-US" w:eastAsia="zh-CN"/>
              </w:rPr>
              <w:t>并根据业主提供的资料可知，灌溉区域现有1个500立方的灌溉水池，项目废水处理达标后由清水池通过水泵</w:t>
            </w:r>
            <w:r>
              <w:rPr>
                <w:rFonts w:hint="eastAsia" w:cs="Times New Roman"/>
                <w:highlight w:val="none"/>
                <w:u w:val="single" w:color="auto"/>
                <w:lang w:val="en-US" w:eastAsia="zh-CN"/>
              </w:rPr>
              <w:t>、灌溉管网</w:t>
            </w:r>
            <w:r>
              <w:rPr>
                <w:rFonts w:hint="eastAsia" w:ascii="Times New Roman" w:hAnsi="Times New Roman" w:cs="Times New Roman"/>
                <w:highlight w:val="none"/>
                <w:u w:val="single" w:color="auto"/>
                <w:lang w:val="en-US" w:eastAsia="zh-CN"/>
              </w:rPr>
              <w:t>泵至灌溉水池中，</w:t>
            </w:r>
            <w:r>
              <w:rPr>
                <w:rFonts w:hint="eastAsia" w:cs="Times New Roman"/>
                <w:highlight w:val="none"/>
                <w:u w:val="single" w:color="auto"/>
                <w:lang w:val="en-US" w:eastAsia="zh-CN"/>
              </w:rPr>
              <w:t>再自流进入农田、旱地中，灌溉管网长约1.5km，</w:t>
            </w:r>
            <w:r>
              <w:rPr>
                <w:rFonts w:hint="eastAsia" w:ascii="Times New Roman" w:hAnsi="Times New Roman" w:cs="Times New Roman"/>
                <w:highlight w:val="none"/>
                <w:u w:val="single" w:color="auto"/>
                <w:lang w:val="en-US" w:eastAsia="zh-CN"/>
              </w:rPr>
              <w:t>雨季时将废水储存于灌溉水池中</w:t>
            </w:r>
            <w:r>
              <w:rPr>
                <w:rFonts w:hint="eastAsia" w:cs="Times New Roman"/>
                <w:highlight w:val="none"/>
                <w:u w:val="single" w:color="auto"/>
                <w:lang w:val="en-US" w:eastAsia="zh-CN"/>
              </w:rPr>
              <w:t>，可满足雨季生产废水储存的需求</w:t>
            </w:r>
            <w:r>
              <w:rPr>
                <w:rFonts w:hint="default" w:ascii="Times New Roman" w:hAnsi="Times New Roman" w:cs="Times New Roman"/>
                <w:i w:val="0"/>
                <w:iCs w:val="0"/>
                <w:color w:val="000000"/>
                <w:szCs w:val="24"/>
                <w:highlight w:val="none"/>
                <w:u w:val="single" w:color="auto"/>
              </w:rPr>
              <w:t>。</w:t>
            </w:r>
          </w:p>
          <w:p>
            <w:pPr>
              <w:pStyle w:val="11"/>
              <w:rPr>
                <w:rFonts w:hint="eastAsia"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本项目产生的废水主要灌溉区域为南侧马路对面的农田、旱地等，利用灌溉水管输灌至</w:t>
            </w:r>
            <w:r>
              <w:rPr>
                <w:rFonts w:hint="eastAsia" w:cs="Times New Roman"/>
                <w:color w:val="auto"/>
                <w:u w:val="single" w:color="auto"/>
                <w:lang w:val="en-US" w:eastAsia="zh-CN"/>
              </w:rPr>
              <w:t>灌溉水池中，由于现有的3km农业灌溉水渠与红土溪相通，因此本项目处理达标后的废水不可直接进入农业灌溉水渠中，需先用泵将废水输送至500m</w:t>
            </w:r>
            <w:r>
              <w:rPr>
                <w:rFonts w:hint="eastAsia" w:cs="Times New Roman"/>
                <w:color w:val="auto"/>
                <w:u w:val="single" w:color="auto"/>
                <w:vertAlign w:val="superscript"/>
                <w:lang w:val="en-US" w:eastAsia="zh-CN"/>
              </w:rPr>
              <w:t>3</w:t>
            </w:r>
            <w:r>
              <w:rPr>
                <w:rFonts w:hint="eastAsia" w:cs="Times New Roman"/>
                <w:color w:val="auto"/>
                <w:u w:val="single" w:color="auto"/>
                <w:lang w:val="en-US" w:eastAsia="zh-CN"/>
              </w:rPr>
              <w:t>的灌溉水池内，再自流进入稻田以及</w:t>
            </w:r>
            <w:r>
              <w:rPr>
                <w:rFonts w:hint="default" w:ascii="Times New Roman" w:hAnsi="Times New Roman" w:eastAsia="宋体" w:cs="Times New Roman"/>
                <w:color w:val="auto"/>
                <w:u w:val="single" w:color="auto"/>
                <w:lang w:val="en-US" w:eastAsia="zh-CN"/>
              </w:rPr>
              <w:t>旱地中，对水田、旱地进行灌溉，</w:t>
            </w:r>
            <w:r>
              <w:rPr>
                <w:rFonts w:hint="default" w:ascii="Times New Roman" w:hAnsi="Times New Roman" w:cs="Times New Roman"/>
                <w:u w:val="single" w:color="auto"/>
                <w:lang w:val="en-US" w:eastAsia="zh-CN"/>
              </w:rPr>
              <w:t>且</w:t>
            </w:r>
            <w:r>
              <w:rPr>
                <w:rFonts w:hint="default" w:ascii="Times New Roman" w:hAnsi="Times New Roman" w:eastAsia="宋体" w:cs="Times New Roman"/>
                <w:color w:val="auto"/>
                <w:u w:val="single" w:color="auto"/>
                <w:lang w:val="en-US" w:eastAsia="zh-CN"/>
              </w:rPr>
              <w:t>通过地形地势以及水文资料的调查，本项目灌溉区域</w:t>
            </w:r>
            <w:r>
              <w:rPr>
                <w:rFonts w:hint="eastAsia" w:cs="Times New Roman"/>
                <w:color w:val="auto"/>
                <w:u w:val="single" w:color="auto"/>
                <w:lang w:val="en-US" w:eastAsia="zh-CN"/>
              </w:rPr>
              <w:t>涉及饮用水水源二级陆域保护区</w:t>
            </w:r>
            <w:r>
              <w:rPr>
                <w:rFonts w:hint="default" w:ascii="Times New Roman" w:hAnsi="Times New Roman" w:eastAsia="宋体" w:cs="Times New Roman"/>
                <w:color w:val="auto"/>
                <w:u w:val="single" w:color="auto"/>
                <w:lang w:val="en-US" w:eastAsia="zh-CN"/>
              </w:rPr>
              <w:t>，</w:t>
            </w:r>
            <w:r>
              <w:rPr>
                <w:rFonts w:hint="eastAsia" w:ascii="Times New Roman" w:hAnsi="Times New Roman" w:eastAsia="宋体" w:cs="Times New Roman"/>
                <w:color w:val="auto"/>
                <w:u w:val="single" w:color="auto"/>
                <w:lang w:val="en-US" w:eastAsia="zh-CN"/>
              </w:rPr>
              <w:t>处于水源地保护区汇水区域，</w:t>
            </w:r>
            <w:r>
              <w:rPr>
                <w:rFonts w:hint="default" w:ascii="Times New Roman" w:hAnsi="Times New Roman" w:eastAsia="宋体" w:cs="Times New Roman"/>
                <w:color w:val="auto"/>
                <w:u w:val="single" w:color="auto"/>
                <w:lang w:val="en-US" w:eastAsia="zh-CN"/>
              </w:rPr>
              <w:t>目前泸溪县人民政府对沅江饮用水进行了农业面源整治，严格限值不合规的农药和化肥的使用，其中还包括防洪堤的修建，防治沅江洪期冲刷两岸的农田耕地，同时经现场调查，沅江两岸还设有生态缓冲带，农田退水在经过生态缓冲带的滞留及过滤，其农田退水对沅江的水质影响较小，并结合近几年沅江的水质监测结果，均能实现水质达标</w:t>
            </w:r>
            <w:r>
              <w:rPr>
                <w:rFonts w:hint="eastAsia" w:ascii="Times New Roman" w:hAnsi="Times New Roman" w:eastAsia="宋体" w:cs="Times New Roman"/>
                <w:color w:val="auto"/>
                <w:u w:val="single" w:color="auto"/>
                <w:lang w:val="en-US" w:eastAsia="zh-CN"/>
              </w:rPr>
              <w:t>，</w:t>
            </w:r>
            <w:r>
              <w:rPr>
                <w:rFonts w:hint="default" w:ascii="Times New Roman" w:hAnsi="Times New Roman" w:eastAsia="宋体" w:cs="Times New Roman"/>
                <w:color w:val="auto"/>
                <w:u w:val="single" w:color="auto"/>
                <w:lang w:val="en-US" w:eastAsia="zh-CN"/>
              </w:rPr>
              <w:t>因此项目废水</w:t>
            </w:r>
            <w:r>
              <w:rPr>
                <w:rFonts w:hint="eastAsia" w:ascii="Times New Roman" w:hAnsi="Times New Roman" w:eastAsia="宋体" w:cs="Times New Roman"/>
                <w:color w:val="auto"/>
                <w:u w:val="single" w:color="auto"/>
                <w:lang w:val="en-US" w:eastAsia="zh-CN"/>
              </w:rPr>
              <w:t>的正常</w:t>
            </w:r>
            <w:r>
              <w:rPr>
                <w:rFonts w:hint="default" w:ascii="Times New Roman" w:hAnsi="Times New Roman" w:eastAsia="宋体" w:cs="Times New Roman"/>
                <w:color w:val="auto"/>
                <w:sz w:val="24"/>
                <w:szCs w:val="24"/>
                <w:u w:val="single" w:color="auto"/>
                <w:lang w:val="en-US" w:eastAsia="zh-CN"/>
              </w:rPr>
              <w:t>输灌</w:t>
            </w:r>
            <w:r>
              <w:rPr>
                <w:rFonts w:hint="eastAsia" w:ascii="Times New Roman" w:hAnsi="Times New Roman" w:eastAsia="宋体" w:cs="Times New Roman"/>
                <w:color w:val="auto"/>
                <w:sz w:val="24"/>
                <w:szCs w:val="24"/>
                <w:u w:val="single" w:color="auto"/>
                <w:lang w:val="en-US" w:eastAsia="zh-CN"/>
              </w:rPr>
              <w:t>以及不正常输灌</w:t>
            </w:r>
            <w:r>
              <w:rPr>
                <w:rFonts w:hint="eastAsia" w:ascii="Times New Roman" w:hAnsi="Times New Roman" w:eastAsia="宋体" w:cs="Times New Roman"/>
                <w:color w:val="auto"/>
                <w:u w:val="single" w:color="auto"/>
                <w:lang w:val="en-US" w:eastAsia="zh-CN"/>
              </w:rPr>
              <w:t>对</w:t>
            </w:r>
            <w:r>
              <w:rPr>
                <w:rFonts w:hint="default" w:ascii="Times New Roman" w:hAnsi="Times New Roman" w:eastAsia="宋体" w:cs="Times New Roman"/>
                <w:color w:val="auto"/>
                <w:u w:val="single" w:color="auto"/>
                <w:lang w:val="en-US" w:eastAsia="zh-CN"/>
              </w:rPr>
              <w:t>下游饮用水源保护区</w:t>
            </w:r>
            <w:r>
              <w:rPr>
                <w:rFonts w:hint="eastAsia" w:ascii="Times New Roman" w:hAnsi="Times New Roman" w:eastAsia="宋体" w:cs="Times New Roman"/>
                <w:color w:val="auto"/>
                <w:u w:val="single" w:color="auto"/>
                <w:lang w:val="en-US" w:eastAsia="zh-CN"/>
              </w:rPr>
              <w:t>的</w:t>
            </w:r>
            <w:r>
              <w:rPr>
                <w:rFonts w:hint="default" w:ascii="Times New Roman" w:hAnsi="Times New Roman" w:eastAsia="宋体" w:cs="Times New Roman"/>
                <w:color w:val="auto"/>
                <w:u w:val="single" w:color="auto"/>
                <w:lang w:val="en-US" w:eastAsia="zh-CN"/>
              </w:rPr>
              <w:t>影响可控</w:t>
            </w:r>
            <w:r>
              <w:rPr>
                <w:rFonts w:hint="eastAsia" w:ascii="Times New Roman" w:hAnsi="Times New Roman" w:eastAsia="宋体" w:cs="Times New Roman"/>
                <w:color w:val="auto"/>
                <w:u w:val="single" w:color="auto"/>
                <w:lang w:val="en-US" w:eastAsia="zh-CN"/>
              </w:rPr>
              <w:t>。</w:t>
            </w:r>
          </w:p>
          <w:p>
            <w:pPr>
              <w:ind w:firstLine="480"/>
              <w:rPr>
                <w:rFonts w:hint="default" w:ascii="Times New Roman" w:hAnsi="Times New Roman" w:eastAsia="宋体" w:cs="Times New Roman"/>
                <w:i w:val="0"/>
                <w:iCs w:val="0"/>
                <w:color w:val="000000"/>
                <w:szCs w:val="24"/>
                <w:u w:val="single" w:color="auto"/>
                <w:lang w:val="en-US" w:eastAsia="zh-CN"/>
              </w:rPr>
            </w:pPr>
            <w:r>
              <w:rPr>
                <w:rFonts w:hint="eastAsia" w:cs="Times New Roman"/>
                <w:i w:val="0"/>
                <w:iCs w:val="0"/>
                <w:u w:val="single" w:color="auto"/>
                <w:lang w:val="en-US" w:eastAsia="zh-CN"/>
              </w:rPr>
              <w:t>E</w:t>
            </w:r>
            <w:r>
              <w:rPr>
                <w:rFonts w:hint="default" w:ascii="Times New Roman" w:hAnsi="Times New Roman" w:cs="Times New Roman"/>
                <w:i w:val="0"/>
                <w:iCs w:val="0"/>
                <w:u w:val="single" w:color="auto"/>
                <w:lang w:val="en-US" w:eastAsia="zh-CN"/>
              </w:rPr>
              <w:t>.</w:t>
            </w:r>
            <w:r>
              <w:rPr>
                <w:rFonts w:hint="eastAsia" w:cs="Times New Roman"/>
                <w:i w:val="0"/>
                <w:iCs w:val="0"/>
                <w:color w:val="000000"/>
                <w:szCs w:val="24"/>
                <w:u w:val="single" w:color="auto"/>
                <w:lang w:val="en-US" w:eastAsia="zh-CN"/>
              </w:rPr>
              <w:t>灌溉管道利用现有涵管的可行性</w:t>
            </w:r>
          </w:p>
          <w:p>
            <w:pPr>
              <w:rPr>
                <w:rFonts w:hint="default" w:cs="Times New Roman"/>
                <w:i w:val="0"/>
                <w:iCs w:val="0"/>
                <w:color w:val="000000"/>
                <w:szCs w:val="24"/>
                <w:u w:val="single" w:color="auto"/>
                <w:lang w:val="en-US" w:eastAsia="zh-CN"/>
              </w:rPr>
            </w:pPr>
            <w:r>
              <w:rPr>
                <w:rFonts w:hint="eastAsia"/>
                <w:u w:val="single" w:color="auto"/>
                <w:lang w:val="en-US" w:eastAsia="zh-CN"/>
              </w:rPr>
              <w:t>根据现场实际调查可知，项目地南侧紧邻的S252省道设有1处涵管，长度约为12m，现企业已对涵管进行了清理，保证涵管的畅通，目前灌溉管道已铺设完成，因此</w:t>
            </w:r>
            <w:r>
              <w:rPr>
                <w:rFonts w:hint="eastAsia" w:cs="Times New Roman"/>
                <w:i w:val="0"/>
                <w:iCs w:val="0"/>
                <w:color w:val="000000"/>
                <w:szCs w:val="24"/>
                <w:u w:val="single" w:color="auto"/>
                <w:lang w:val="en-US" w:eastAsia="zh-CN"/>
              </w:rPr>
              <w:t>灌溉管道利用现有涵管铺设可行。</w:t>
            </w:r>
          </w:p>
          <w:p>
            <w:pPr>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w:t>
            </w:r>
            <w:r>
              <w:rPr>
                <w:rFonts w:hint="default"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rPr>
              <w:t>）自行监测计划</w:t>
            </w:r>
          </w:p>
          <w:p>
            <w:pPr>
              <w:bidi w:val="0"/>
              <w:rPr>
                <w:rFonts w:hint="default" w:ascii="Times New Roman" w:hAnsi="Times New Roman" w:cs="Times New Roman"/>
                <w:u w:val="none" w:color="auto"/>
                <w:lang w:val="en-US"/>
              </w:rPr>
            </w:pPr>
            <w:r>
              <w:rPr>
                <w:rFonts w:hint="default" w:ascii="Times New Roman" w:hAnsi="Times New Roman" w:cs="Times New Roman"/>
                <w:u w:val="none" w:color="auto"/>
                <w:lang w:val="en-US"/>
              </w:rPr>
              <w:t>根据《排污许可证申请与核发技术规范—食品制造工业—方便食品、食品及饲料添加剂制造工业》（HJ1030.3-2019）中第7节自行监测管理要求及《排污单位自行监测技术指南</w:t>
            </w:r>
            <w:r>
              <w:rPr>
                <w:rFonts w:hint="default" w:ascii="Times New Roman" w:hAnsi="Times New Roman" w:cs="Times New Roman"/>
                <w:u w:val="none" w:color="auto"/>
                <w:lang w:val="en-US" w:eastAsia="zh-CN"/>
              </w:rPr>
              <w:t xml:space="preserve">   </w:t>
            </w:r>
            <w:r>
              <w:rPr>
                <w:rFonts w:hint="default" w:ascii="Times New Roman" w:hAnsi="Times New Roman" w:cs="Times New Roman"/>
                <w:u w:val="none" w:color="auto"/>
                <w:lang w:val="en-US"/>
              </w:rPr>
              <w:t>食品制造》（HJ1084-2020）第5条监测方案制定，单独排向公共污水处理系统的生活污水无需开展自行监测。根据《固定污染源排污许可分类管理名录》，本项目为简化管理类，排放方式为</w:t>
            </w:r>
            <w:r>
              <w:rPr>
                <w:rFonts w:hint="default" w:ascii="Times New Roman" w:hAnsi="Times New Roman" w:cs="Times New Roman"/>
                <w:u w:val="none" w:color="auto"/>
                <w:lang w:val="en-US" w:eastAsia="zh-CN"/>
              </w:rPr>
              <w:t>不</w:t>
            </w:r>
            <w:r>
              <w:rPr>
                <w:rFonts w:hint="default" w:ascii="Times New Roman" w:hAnsi="Times New Roman" w:cs="Times New Roman"/>
                <w:u w:val="none" w:color="auto"/>
                <w:lang w:val="en-US"/>
              </w:rPr>
              <w:t>排放</w:t>
            </w:r>
            <w:r>
              <w:rPr>
                <w:rFonts w:hint="default" w:ascii="Times New Roman" w:hAnsi="Times New Roman" w:cs="Times New Roman"/>
                <w:u w:val="none" w:color="auto"/>
                <w:lang w:val="en-US" w:eastAsia="zh-CN"/>
              </w:rPr>
              <w:t>，故废水无需进行自行监测</w:t>
            </w:r>
            <w:r>
              <w:rPr>
                <w:rFonts w:hint="default" w:ascii="Times New Roman" w:hAnsi="Times New Roman" w:cs="Times New Roman"/>
                <w:u w:val="none" w:color="auto"/>
                <w:lang w:val="en-US"/>
              </w:rPr>
              <w:t>。</w:t>
            </w:r>
          </w:p>
          <w:p>
            <w:pPr>
              <w:pStyle w:val="6"/>
              <w:bidi w:val="0"/>
              <w:rPr>
                <w:rFonts w:ascii="Times New Roman" w:hAnsi="Times New Roman" w:cs="Times New Roman"/>
                <w:u w:val="none" w:color="auto"/>
              </w:rPr>
            </w:pPr>
            <w:r>
              <w:rPr>
                <w:rFonts w:hint="default" w:ascii="Times New Roman" w:hAnsi="Times New Roman" w:cs="Times New Roman"/>
                <w:u w:val="none" w:color="auto"/>
                <w:lang w:val="en-US"/>
              </w:rPr>
              <w:t>4.2.2</w:t>
            </w:r>
            <w:r>
              <w:rPr>
                <w:rFonts w:hint="default" w:ascii="Times New Roman" w:hAnsi="Times New Roman" w:cs="Times New Roman"/>
                <w:u w:val="none" w:color="auto"/>
              </w:rPr>
              <w:t>大气环境影响分析</w:t>
            </w:r>
          </w:p>
          <w:p>
            <w:pPr>
              <w:wordWrap/>
              <w:overflowPunct w:val="0"/>
              <w:topLinePunct w:val="0"/>
              <w:autoSpaceDE w:val="0"/>
              <w:autoSpaceDN w:val="0"/>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根据工程分析</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rPr>
              <w:t>项目运营期产生的废气主要包括生产线产生的粉尘</w:t>
            </w:r>
            <w:r>
              <w:rPr>
                <w:rFonts w:hint="default" w:ascii="Times New Roman" w:hAnsi="Times New Roman" w:cs="Times New Roman"/>
                <w:color w:val="auto"/>
                <w:u w:val="none" w:color="auto"/>
                <w:lang w:val="en-US" w:eastAsia="zh-CN"/>
              </w:rPr>
              <w:t>、发酵异味、</w:t>
            </w:r>
            <w:r>
              <w:rPr>
                <w:rFonts w:hint="default" w:ascii="Times New Roman" w:hAnsi="Times New Roman" w:cs="Times New Roman"/>
                <w:color w:val="auto"/>
                <w:u w:val="none" w:color="auto"/>
                <w:lang w:val="en-US"/>
              </w:rPr>
              <w:t>自建污水处理站污水处理产生的恶臭气体</w:t>
            </w:r>
            <w:r>
              <w:rPr>
                <w:rFonts w:hint="default" w:ascii="Times New Roman" w:hAnsi="Times New Roman" w:cs="Times New Roman"/>
                <w:color w:val="auto"/>
                <w:u w:val="none" w:color="auto"/>
                <w:lang w:val="en-US" w:eastAsia="zh-CN"/>
              </w:rPr>
              <w:t>、蒸汽发生器废气</w:t>
            </w:r>
            <w:r>
              <w:rPr>
                <w:rFonts w:hint="eastAsia" w:cs="Times New Roman"/>
                <w:color w:val="auto"/>
                <w:u w:val="none" w:color="auto"/>
                <w:lang w:val="en-US" w:eastAsia="zh-CN"/>
              </w:rPr>
              <w:t>、生物质燃料投料废气</w:t>
            </w:r>
            <w:r>
              <w:rPr>
                <w:rFonts w:hint="default" w:ascii="Times New Roman" w:hAnsi="Times New Roman" w:cs="Times New Roman"/>
                <w:color w:val="auto"/>
                <w:u w:val="none" w:color="auto"/>
                <w:lang w:val="en-US" w:eastAsia="zh-CN"/>
              </w:rPr>
              <w:t>以及备用柴油发电机废气</w:t>
            </w:r>
            <w:r>
              <w:rPr>
                <w:rFonts w:hint="default" w:ascii="Times New Roman" w:hAnsi="Times New Roman" w:cs="Times New Roman"/>
                <w:color w:val="auto"/>
                <w:u w:val="none" w:color="auto"/>
                <w:lang w:val="en-US"/>
              </w:rPr>
              <w:t>。</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val="en-US"/>
              </w:rPr>
              <w:t>粉尘</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rPr>
              <w:t>根据《污染源源强核算技术指南 准则》（HJ884-2018），本项目采用产污系数法计算粉尘产生量。</w:t>
            </w:r>
          </w:p>
          <w:p>
            <w:pPr>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本项目米粉在投料、</w:t>
            </w:r>
            <w:r>
              <w:rPr>
                <w:rFonts w:hint="default" w:ascii="Times New Roman" w:hAnsi="Times New Roman" w:cs="Times New Roman"/>
                <w:color w:val="auto"/>
                <w:u w:val="none" w:color="auto"/>
                <w:lang w:val="en-US" w:eastAsia="zh-CN"/>
              </w:rPr>
              <w:t>磨浆、</w:t>
            </w:r>
            <w:r>
              <w:rPr>
                <w:rFonts w:hint="default" w:ascii="Times New Roman" w:hAnsi="Times New Roman" w:cs="Times New Roman"/>
                <w:color w:val="auto"/>
                <w:u w:val="none" w:color="auto"/>
                <w:lang w:val="en-US"/>
              </w:rPr>
              <w:t>搅拌过程中会产生部分粉尘，根据建设单位提供生产工艺，项目</w:t>
            </w:r>
            <w:r>
              <w:rPr>
                <w:rFonts w:hint="default" w:ascii="Times New Roman" w:hAnsi="Times New Roman" w:cs="Times New Roman"/>
                <w:color w:val="auto"/>
                <w:u w:val="none" w:color="auto"/>
                <w:lang w:val="en-US" w:eastAsia="zh-CN"/>
              </w:rPr>
              <w:t>磨浆、</w:t>
            </w:r>
            <w:r>
              <w:rPr>
                <w:rFonts w:hint="default" w:ascii="Times New Roman" w:hAnsi="Times New Roman" w:cs="Times New Roman"/>
                <w:color w:val="auto"/>
                <w:u w:val="none" w:color="auto"/>
                <w:lang w:val="en-US"/>
              </w:rPr>
              <w:t>搅拌在全密闭设备内进行产生粉尘不会外排，无组织排放主要投料工序产生的，投料工程中根据《逸散性工业粉尘控制技术》中关于粉状原料投料工序粉尘产污系数0.5kg/t原料，</w:t>
            </w:r>
            <w:r>
              <w:rPr>
                <w:rFonts w:hint="eastAsia" w:cs="Times New Roman"/>
                <w:color w:val="auto"/>
                <w:u w:val="none" w:color="auto"/>
                <w:lang w:val="en-US" w:eastAsia="zh-CN"/>
              </w:rPr>
              <w:t>项目</w:t>
            </w:r>
            <w:r>
              <w:rPr>
                <w:rFonts w:hint="default" w:ascii="Times New Roman" w:hAnsi="Times New Roman" w:cs="Times New Roman"/>
                <w:color w:val="auto"/>
                <w:u w:val="none" w:color="auto"/>
                <w:lang w:val="en-US"/>
              </w:rPr>
              <w:t>各种粉状性原料年用量为</w:t>
            </w:r>
            <w:r>
              <w:rPr>
                <w:rFonts w:hint="eastAsia" w:cs="Times New Roman"/>
                <w:color w:val="auto"/>
                <w:u w:val="none" w:color="auto"/>
                <w:lang w:val="en-US" w:eastAsia="zh-CN"/>
              </w:rPr>
              <w:t>910</w:t>
            </w:r>
            <w:r>
              <w:rPr>
                <w:rFonts w:hint="default" w:ascii="Times New Roman" w:hAnsi="Times New Roman" w:cs="Times New Roman"/>
                <w:color w:val="auto"/>
                <w:u w:val="none" w:color="auto"/>
                <w:lang w:val="en-US"/>
              </w:rPr>
              <w:t>t，则投料过程中粉尘产生量为</w:t>
            </w:r>
            <w:r>
              <w:rPr>
                <w:rFonts w:hint="default" w:ascii="Times New Roman" w:hAnsi="Times New Roman" w:cs="Times New Roman"/>
                <w:color w:val="auto"/>
                <w:u w:val="none" w:color="auto"/>
                <w:lang w:val="en-US" w:eastAsia="zh-CN"/>
              </w:rPr>
              <w:t>0.</w:t>
            </w:r>
            <w:r>
              <w:rPr>
                <w:rFonts w:hint="eastAsia" w:cs="Times New Roman"/>
                <w:color w:val="auto"/>
                <w:u w:val="none" w:color="auto"/>
                <w:lang w:val="en-US" w:eastAsia="zh-CN"/>
              </w:rPr>
              <w:t>455</w:t>
            </w:r>
            <w:r>
              <w:rPr>
                <w:rFonts w:hint="default" w:ascii="Times New Roman" w:hAnsi="Times New Roman" w:cs="Times New Roman"/>
                <w:color w:val="auto"/>
                <w:u w:val="none" w:color="auto"/>
                <w:lang w:val="en-US"/>
              </w:rPr>
              <w:t>t/a。投料采用的是机械抽取，密闭储料罐，处于密闭情况，产生量较小，产生的粉尘约60%沉降在地面上，则沉降在地面上的粉尘约</w:t>
            </w:r>
            <w:r>
              <w:rPr>
                <w:rFonts w:hint="eastAsia" w:cs="Times New Roman"/>
                <w:color w:val="auto"/>
                <w:u w:val="none" w:color="auto"/>
                <w:lang w:val="en-US" w:eastAsia="zh-CN"/>
              </w:rPr>
              <w:t>0.273</w:t>
            </w:r>
            <w:r>
              <w:rPr>
                <w:rFonts w:hint="default" w:ascii="Times New Roman" w:hAnsi="Times New Roman" w:cs="Times New Roman"/>
                <w:color w:val="auto"/>
                <w:u w:val="none" w:color="auto"/>
                <w:lang w:val="en-US"/>
              </w:rPr>
              <w:t>t/a，剩余的无组织排放，排放量约为</w:t>
            </w:r>
            <w:r>
              <w:rPr>
                <w:rFonts w:hint="default" w:ascii="Times New Roman" w:hAnsi="Times New Roman" w:cs="Times New Roman"/>
                <w:color w:val="auto"/>
                <w:u w:val="none" w:color="auto"/>
                <w:lang w:val="en-US" w:eastAsia="zh-CN"/>
              </w:rPr>
              <w:t>0.</w:t>
            </w:r>
            <w:r>
              <w:rPr>
                <w:rFonts w:hint="eastAsia" w:cs="Times New Roman"/>
                <w:color w:val="auto"/>
                <w:u w:val="none" w:color="auto"/>
                <w:lang w:val="en-US" w:eastAsia="zh-CN"/>
              </w:rPr>
              <w:t>182</w:t>
            </w:r>
            <w:r>
              <w:rPr>
                <w:rFonts w:hint="default" w:ascii="Times New Roman" w:hAnsi="Times New Roman" w:cs="Times New Roman"/>
                <w:color w:val="auto"/>
                <w:u w:val="none" w:color="auto"/>
                <w:lang w:val="en-US"/>
              </w:rPr>
              <w:t>t/a（</w:t>
            </w:r>
            <w:r>
              <w:rPr>
                <w:rFonts w:hint="default" w:ascii="Times New Roman" w:hAnsi="Times New Roman" w:cs="Times New Roman"/>
                <w:color w:val="auto"/>
                <w:u w:val="none" w:color="auto"/>
                <w:lang w:val="en-US" w:eastAsia="zh-CN"/>
              </w:rPr>
              <w:t>0.</w:t>
            </w:r>
            <w:r>
              <w:rPr>
                <w:rFonts w:hint="eastAsia" w:cs="Times New Roman"/>
                <w:color w:val="auto"/>
                <w:u w:val="none" w:color="auto"/>
                <w:lang w:val="en-US" w:eastAsia="zh-CN"/>
              </w:rPr>
              <w:t>063</w:t>
            </w:r>
            <w:r>
              <w:rPr>
                <w:rFonts w:hint="default" w:ascii="Times New Roman" w:hAnsi="Times New Roman" w:cs="Times New Roman"/>
                <w:color w:val="auto"/>
                <w:u w:val="none" w:color="auto"/>
                <w:lang w:val="en-US"/>
              </w:rPr>
              <w:t>kg/h）。本环评要求加强环境管理，投料由熟练工人操作，减少排放时间，减少无组织排放量。同时投料时加强车间通风，对周围环境影响较小。</w:t>
            </w:r>
          </w:p>
          <w:p>
            <w:pPr>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（2）发酵异味</w:t>
            </w:r>
          </w:p>
          <w:p>
            <w:pPr>
              <w:bidi w:val="0"/>
              <w:rPr>
                <w:rFonts w:hint="default" w:ascii="Times New Roman" w:hAnsi="Times New Roman" w:cs="Times New Roman"/>
                <w:u w:val="none" w:color="auto"/>
                <w:lang w:eastAsia="zh-CN"/>
              </w:rPr>
            </w:pPr>
            <w:r>
              <w:rPr>
                <w:rFonts w:hint="default" w:ascii="Times New Roman" w:hAnsi="Times New Roman" w:cs="Times New Roman"/>
                <w:u w:val="none" w:color="auto"/>
              </w:rPr>
              <w:t>本项目洗米、磨粉等过程中产生的废水、废渣容易发酵产生异味，这些异味对环境影响较小，</w:t>
            </w:r>
            <w:r>
              <w:rPr>
                <w:rFonts w:hint="default" w:ascii="Times New Roman" w:hAnsi="Times New Roman" w:cs="Times New Roman"/>
                <w:u w:val="none" w:color="auto"/>
                <w:lang w:eastAsia="zh-CN"/>
              </w:rPr>
              <w:t>此类异味主要通过</w:t>
            </w:r>
            <w:r>
              <w:rPr>
                <w:rFonts w:hint="default" w:ascii="Times New Roman" w:hAnsi="Times New Roman" w:cs="Times New Roman"/>
                <w:u w:val="none" w:color="auto"/>
              </w:rPr>
              <w:t>汽通过</w:t>
            </w:r>
            <w:r>
              <w:rPr>
                <w:rFonts w:hint="default" w:ascii="Times New Roman" w:hAnsi="Times New Roman" w:cs="Times New Roman"/>
                <w:u w:val="none" w:color="auto"/>
                <w:lang w:eastAsia="zh-CN"/>
              </w:rPr>
              <w:t>厂房</w:t>
            </w:r>
            <w:r>
              <w:rPr>
                <w:rFonts w:hint="default" w:ascii="Times New Roman" w:hAnsi="Times New Roman" w:cs="Times New Roman"/>
                <w:u w:val="none" w:color="auto"/>
              </w:rPr>
              <w:t>内的排风扇外排，影响较小</w:t>
            </w:r>
            <w:r>
              <w:rPr>
                <w:rFonts w:hint="default" w:ascii="Times New Roman" w:hAnsi="Times New Roman" w:cs="Times New Roman"/>
                <w:u w:val="none" w:color="auto"/>
                <w:lang w:eastAsia="zh-CN"/>
              </w:rPr>
              <w:t>。</w:t>
            </w:r>
          </w:p>
          <w:p>
            <w:pPr>
              <w:bidi w:val="0"/>
              <w:rPr>
                <w:rFonts w:ascii="Times New Roman" w:hAnsi="Times New Roman" w:cs="Times New Roman"/>
                <w:u w:val="none" w:color="auto"/>
              </w:rPr>
            </w:pPr>
            <w:r>
              <w:rPr>
                <w:rFonts w:ascii="Times New Roman" w:hAnsi="Times New Roman" w:cs="Times New Roman"/>
                <w:u w:val="none" w:color="auto"/>
              </w:rPr>
              <w:t>防治措施：</w:t>
            </w:r>
          </w:p>
          <w:p>
            <w:pPr>
              <w:ind w:firstLine="480"/>
              <w:rPr>
                <w:rFonts w:hint="default" w:ascii="Times New Roman" w:hAnsi="Times New Roman" w:cs="Times New Roman"/>
                <w:color w:val="auto"/>
                <w:u w:val="none" w:color="auto"/>
                <w:lang w:val="en-US"/>
              </w:rPr>
            </w:pPr>
            <w:r>
              <w:rPr>
                <w:rFonts w:ascii="Times New Roman" w:hAnsi="Times New Roman" w:cs="Times New Roman"/>
                <w:u w:val="none" w:color="auto"/>
              </w:rPr>
              <w:t>本项目通过</w:t>
            </w:r>
            <w:r>
              <w:rPr>
                <w:rFonts w:ascii="Times New Roman" w:hAnsi="Times New Roman" w:cs="Times New Roman"/>
                <w:highlight w:val="none"/>
                <w:u w:val="none" w:color="auto"/>
              </w:rPr>
              <w:t>对机器进行封闭式运行</w:t>
            </w:r>
            <w:r>
              <w:rPr>
                <w:rFonts w:ascii="Times New Roman" w:hAnsi="Times New Roman" w:cs="Times New Roman"/>
                <w:u w:val="none" w:color="auto"/>
              </w:rPr>
              <w:t>，每天按时清扫地面，废水应及时排放，以免废水因停留时间过长而发酵产生更大的异味。项目厂区内安装足够量的抽风设备，以保持厂区内空气流畅。</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rPr>
              <w:t>自建污水处理站恶臭气体</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项目生产废水采用自建污水处理站处理后</w:t>
            </w:r>
            <w:r>
              <w:rPr>
                <w:rFonts w:hint="default" w:ascii="Times New Roman" w:hAnsi="Times New Roman" w:cs="Times New Roman"/>
                <w:color w:val="auto"/>
                <w:u w:val="none" w:color="auto"/>
                <w:lang w:val="en-US" w:eastAsia="zh-CN"/>
              </w:rPr>
              <w:t>用于农灌</w:t>
            </w:r>
            <w:r>
              <w:rPr>
                <w:rFonts w:hint="default" w:ascii="Times New Roman" w:hAnsi="Times New Roman" w:cs="Times New Roman"/>
                <w:color w:val="auto"/>
                <w:u w:val="none" w:color="auto"/>
                <w:lang w:val="en-US"/>
              </w:rPr>
              <w:t>，在一体化污水处理设备在处理污水过程中，会产生少量恶臭气体（含H</w:t>
            </w:r>
            <w:r>
              <w:rPr>
                <w:rFonts w:hint="default" w:ascii="Times New Roman" w:hAnsi="Times New Roman" w:cs="Times New Roman"/>
                <w:color w:val="auto"/>
                <w:u w:val="none" w:color="auto"/>
                <w:vertAlign w:val="subscript"/>
                <w:lang w:val="en-US"/>
              </w:rPr>
              <w:t>2</w:t>
            </w:r>
            <w:r>
              <w:rPr>
                <w:rFonts w:hint="default" w:ascii="Times New Roman" w:hAnsi="Times New Roman" w:cs="Times New Roman"/>
                <w:color w:val="auto"/>
                <w:u w:val="none" w:color="auto"/>
                <w:lang w:val="en-US"/>
              </w:rPr>
              <w:t>S、NH</w:t>
            </w:r>
            <w:r>
              <w:rPr>
                <w:rFonts w:hint="default" w:ascii="Times New Roman" w:hAnsi="Times New Roman" w:cs="Times New Roman"/>
                <w:color w:val="auto"/>
                <w:u w:val="none" w:color="auto"/>
                <w:vertAlign w:val="subscript"/>
                <w:lang w:val="en-US"/>
              </w:rPr>
              <w:t>3</w:t>
            </w:r>
            <w:r>
              <w:rPr>
                <w:rFonts w:hint="default" w:ascii="Times New Roman" w:hAnsi="Times New Roman" w:cs="Times New Roman"/>
                <w:color w:val="auto"/>
                <w:u w:val="none" w:color="auto"/>
                <w:lang w:val="en-US"/>
              </w:rPr>
              <w:t>等臭气），恶臭气体主要成分为H</w:t>
            </w:r>
            <w:r>
              <w:rPr>
                <w:rFonts w:hint="default" w:ascii="Times New Roman" w:hAnsi="Times New Roman" w:cs="Times New Roman"/>
                <w:color w:val="auto"/>
                <w:u w:val="none" w:color="auto"/>
                <w:vertAlign w:val="subscript"/>
                <w:lang w:val="en-US"/>
              </w:rPr>
              <w:t>2</w:t>
            </w:r>
            <w:r>
              <w:rPr>
                <w:rFonts w:hint="default" w:ascii="Times New Roman" w:hAnsi="Times New Roman" w:cs="Times New Roman"/>
                <w:color w:val="auto"/>
                <w:u w:val="none" w:color="auto"/>
                <w:lang w:val="en-US"/>
              </w:rPr>
              <w:t>S、NH</w:t>
            </w:r>
            <w:r>
              <w:rPr>
                <w:rFonts w:hint="default" w:ascii="Times New Roman" w:hAnsi="Times New Roman" w:cs="Times New Roman"/>
                <w:color w:val="auto"/>
                <w:u w:val="none" w:color="auto"/>
                <w:vertAlign w:val="subscript"/>
                <w:lang w:val="en-US"/>
              </w:rPr>
              <w:t>3</w:t>
            </w:r>
            <w:r>
              <w:rPr>
                <w:rFonts w:hint="default" w:ascii="Times New Roman" w:hAnsi="Times New Roman" w:cs="Times New Roman"/>
                <w:color w:val="auto"/>
                <w:u w:val="none" w:color="auto"/>
                <w:lang w:val="en-US"/>
              </w:rPr>
              <w:t>等物质。参考美国EPA对污水处理厂恶臭污染物产生情况的研究，</w:t>
            </w:r>
            <w:r>
              <w:rPr>
                <w:rFonts w:hint="default" w:ascii="Times New Roman" w:hAnsi="Times New Roman" w:cs="Times New Roman"/>
                <w:color w:val="auto"/>
                <w:highlight w:val="none"/>
                <w:u w:val="none" w:color="auto"/>
                <w:lang w:val="en-US"/>
              </w:rPr>
              <w:t>每去除1gBOD</w:t>
            </w:r>
            <w:r>
              <w:rPr>
                <w:rFonts w:hint="default" w:ascii="Times New Roman" w:hAnsi="Times New Roman" w:cs="Times New Roman"/>
                <w:color w:val="auto"/>
                <w:highlight w:val="none"/>
                <w:u w:val="none" w:color="auto"/>
                <w:vertAlign w:val="subscript"/>
                <w:lang w:val="en-US"/>
              </w:rPr>
              <w:t>5</w:t>
            </w:r>
            <w:r>
              <w:rPr>
                <w:rFonts w:hint="default" w:ascii="Times New Roman" w:hAnsi="Times New Roman" w:cs="Times New Roman"/>
                <w:color w:val="auto"/>
                <w:highlight w:val="none"/>
                <w:u w:val="none" w:color="auto"/>
                <w:lang w:val="en-US"/>
              </w:rPr>
              <w:t>可产生0.00012gH</w:t>
            </w:r>
            <w:r>
              <w:rPr>
                <w:rFonts w:hint="default" w:ascii="Times New Roman" w:hAnsi="Times New Roman" w:cs="Times New Roman"/>
                <w:color w:val="auto"/>
                <w:highlight w:val="none"/>
                <w:u w:val="none" w:color="auto"/>
                <w:vertAlign w:val="subscript"/>
                <w:lang w:val="en-US"/>
              </w:rPr>
              <w:t>2</w:t>
            </w:r>
            <w:r>
              <w:rPr>
                <w:rFonts w:hint="default" w:ascii="Times New Roman" w:hAnsi="Times New Roman" w:cs="Times New Roman"/>
                <w:color w:val="auto"/>
                <w:highlight w:val="none"/>
                <w:u w:val="none" w:color="auto"/>
                <w:lang w:val="en-US"/>
              </w:rPr>
              <w:t>S和0.0031g NH</w:t>
            </w:r>
            <w:r>
              <w:rPr>
                <w:rFonts w:hint="default" w:ascii="Times New Roman" w:hAnsi="Times New Roman" w:cs="Times New Roman"/>
                <w:color w:val="auto"/>
                <w:highlight w:val="none"/>
                <w:u w:val="none" w:color="auto"/>
                <w:vertAlign w:val="subscript"/>
                <w:lang w:val="en-US"/>
              </w:rPr>
              <w:t>3</w:t>
            </w:r>
            <w:r>
              <w:rPr>
                <w:rFonts w:hint="default" w:ascii="Times New Roman" w:hAnsi="Times New Roman" w:cs="Times New Roman"/>
                <w:color w:val="auto"/>
                <w:highlight w:val="none"/>
                <w:u w:val="none" w:color="auto"/>
                <w:lang w:val="en-US"/>
              </w:rPr>
              <w:t>，</w:t>
            </w:r>
            <w:r>
              <w:rPr>
                <w:rFonts w:hint="default" w:ascii="Times New Roman" w:hAnsi="Times New Roman" w:cs="Times New Roman"/>
                <w:color w:val="auto"/>
                <w:highlight w:val="none"/>
                <w:u w:val="none" w:color="auto"/>
                <w:lang w:val="en-US" w:eastAsia="zh-CN"/>
              </w:rPr>
              <w:t>根据废水分析章节可知，</w:t>
            </w:r>
            <w:r>
              <w:rPr>
                <w:rFonts w:hint="default" w:ascii="Times New Roman" w:hAnsi="Times New Roman" w:cs="Times New Roman"/>
                <w:color w:val="auto"/>
                <w:highlight w:val="none"/>
                <w:u w:val="none" w:color="auto"/>
                <w:lang w:val="en-US"/>
              </w:rPr>
              <w:t>本项目BOD</w:t>
            </w:r>
            <w:r>
              <w:rPr>
                <w:rFonts w:hint="default" w:ascii="Times New Roman" w:hAnsi="Times New Roman" w:cs="Times New Roman"/>
                <w:color w:val="auto"/>
                <w:highlight w:val="none"/>
                <w:u w:val="none" w:color="auto"/>
                <w:vertAlign w:val="subscript"/>
                <w:lang w:val="en-US"/>
              </w:rPr>
              <w:t>5</w:t>
            </w:r>
            <w:r>
              <w:rPr>
                <w:rFonts w:hint="default" w:ascii="Times New Roman" w:hAnsi="Times New Roman" w:cs="Times New Roman"/>
                <w:color w:val="auto"/>
                <w:highlight w:val="none"/>
                <w:u w:val="none" w:color="auto"/>
                <w:lang w:val="en-US"/>
              </w:rPr>
              <w:t>去除量</w:t>
            </w:r>
            <w:r>
              <w:rPr>
                <w:rFonts w:hint="eastAsia" w:cs="Times New Roman"/>
                <w:color w:val="auto"/>
                <w:highlight w:val="none"/>
                <w:u w:val="none" w:color="auto"/>
                <w:lang w:val="en-US" w:eastAsia="zh-CN"/>
              </w:rPr>
              <w:t>共计</w:t>
            </w:r>
            <w:r>
              <w:rPr>
                <w:rFonts w:hint="eastAsia" w:cs="Times New Roman"/>
                <w:highlight w:val="none"/>
                <w:u w:val="none" w:color="auto"/>
                <w:lang w:val="en-US" w:eastAsia="zh-CN"/>
              </w:rPr>
              <w:t>5.346</w:t>
            </w:r>
            <w:r>
              <w:rPr>
                <w:rFonts w:hint="default" w:ascii="Times New Roman" w:hAnsi="Times New Roman" w:cs="Times New Roman"/>
                <w:color w:val="auto"/>
                <w:highlight w:val="none"/>
                <w:u w:val="none" w:color="auto"/>
                <w:lang w:val="en-US"/>
              </w:rPr>
              <w:t>t/a，则污染物H</w:t>
            </w:r>
            <w:r>
              <w:rPr>
                <w:rFonts w:hint="default" w:ascii="Times New Roman" w:hAnsi="Times New Roman" w:cs="Times New Roman"/>
                <w:color w:val="auto"/>
                <w:highlight w:val="none"/>
                <w:u w:val="none" w:color="auto"/>
                <w:vertAlign w:val="subscript"/>
                <w:lang w:val="en-US"/>
              </w:rPr>
              <w:t>2</w:t>
            </w:r>
            <w:r>
              <w:rPr>
                <w:rFonts w:hint="default" w:ascii="Times New Roman" w:hAnsi="Times New Roman" w:cs="Times New Roman"/>
                <w:color w:val="auto"/>
                <w:highlight w:val="none"/>
                <w:u w:val="none" w:color="auto"/>
                <w:lang w:val="en-US"/>
              </w:rPr>
              <w:t>S和NH</w:t>
            </w:r>
            <w:r>
              <w:rPr>
                <w:rFonts w:hint="default" w:ascii="Times New Roman" w:hAnsi="Times New Roman" w:cs="Times New Roman"/>
                <w:color w:val="auto"/>
                <w:highlight w:val="none"/>
                <w:u w:val="none" w:color="auto"/>
                <w:vertAlign w:val="subscript"/>
                <w:lang w:val="en-US"/>
              </w:rPr>
              <w:t>3</w:t>
            </w:r>
            <w:r>
              <w:rPr>
                <w:rFonts w:hint="default" w:ascii="Times New Roman" w:hAnsi="Times New Roman" w:cs="Times New Roman"/>
                <w:color w:val="auto"/>
                <w:highlight w:val="none"/>
                <w:u w:val="none" w:color="auto"/>
                <w:lang w:val="en-US"/>
              </w:rPr>
              <w:t>的产生量分别为：</w:t>
            </w:r>
            <w:r>
              <w:rPr>
                <w:rFonts w:hint="eastAsia" w:cs="Times New Roman"/>
                <w:color w:val="auto"/>
                <w:highlight w:val="none"/>
                <w:u w:val="none" w:color="auto"/>
                <w:lang w:val="en-US" w:eastAsia="zh-CN"/>
              </w:rPr>
              <w:t>0.642</w:t>
            </w:r>
            <w:r>
              <w:rPr>
                <w:rFonts w:hint="default" w:ascii="Times New Roman" w:hAnsi="Times New Roman" w:cs="Times New Roman"/>
                <w:color w:val="auto"/>
                <w:highlight w:val="none"/>
                <w:u w:val="none" w:color="auto"/>
                <w:lang w:val="en-US"/>
              </w:rPr>
              <w:t>kg/a、</w:t>
            </w:r>
            <w:r>
              <w:rPr>
                <w:rFonts w:hint="eastAsia" w:cs="Times New Roman"/>
                <w:color w:val="auto"/>
                <w:highlight w:val="none"/>
                <w:u w:val="none" w:color="auto"/>
                <w:lang w:val="en-US" w:eastAsia="zh-CN"/>
              </w:rPr>
              <w:t>16.57</w:t>
            </w:r>
            <w:r>
              <w:rPr>
                <w:rFonts w:hint="default" w:ascii="Times New Roman" w:hAnsi="Times New Roman" w:cs="Times New Roman"/>
                <w:color w:val="auto"/>
                <w:highlight w:val="none"/>
                <w:u w:val="none" w:color="auto"/>
                <w:lang w:val="en-US"/>
              </w:rPr>
              <w:t>kg/</w:t>
            </w:r>
            <w:r>
              <w:rPr>
                <w:rFonts w:hint="default" w:ascii="Times New Roman" w:hAnsi="Times New Roman" w:cs="Times New Roman"/>
                <w:color w:val="auto"/>
                <w:u w:val="none" w:color="auto"/>
                <w:lang w:val="en-US"/>
              </w:rPr>
              <w:t>a。</w:t>
            </w:r>
          </w:p>
          <w:p>
            <w:pPr>
              <w:pStyle w:val="43"/>
              <w:bidi w:val="0"/>
              <w:rPr>
                <w:rFonts w:ascii="Times New Roman" w:hAnsi="Times New Roman" w:cs="Times New Roman"/>
                <w:u w:val="none" w:color="auto"/>
              </w:rPr>
            </w:pPr>
            <w:r>
              <w:rPr>
                <w:rFonts w:ascii="Times New Roman" w:hAnsi="Times New Roman" w:cs="Times New Roman"/>
                <w:u w:val="none" w:color="auto"/>
              </w:rPr>
              <w:t>表</w:t>
            </w:r>
            <w:r>
              <w:rPr>
                <w:rFonts w:hint="default" w:ascii="Times New Roman" w:hAnsi="Times New Roman" w:cs="Times New Roman"/>
                <w:u w:val="none" w:color="auto"/>
                <w:lang w:val="en-US"/>
              </w:rPr>
              <w:t>4</w:t>
            </w:r>
            <w:r>
              <w:rPr>
                <w:rFonts w:hint="default" w:ascii="Times New Roman" w:hAnsi="Times New Roman" w:cs="Times New Roman"/>
                <w:u w:val="none" w:color="auto"/>
                <w:lang w:val="en-US" w:eastAsia="zh-CN"/>
              </w:rPr>
              <w:t>.2</w:t>
            </w:r>
            <w:r>
              <w:rPr>
                <w:rFonts w:hint="eastAsia" w:cs="Times New Roman"/>
                <w:u w:val="none" w:color="auto"/>
                <w:lang w:val="en-US" w:eastAsia="zh-CN"/>
              </w:rPr>
              <w:t>8</w:t>
            </w:r>
            <w:r>
              <w:rPr>
                <w:rFonts w:hint="default" w:ascii="Times New Roman" w:hAnsi="Times New Roman" w:cs="Times New Roman"/>
                <w:u w:val="none" w:color="auto"/>
              </w:rPr>
              <w:t>：</w:t>
            </w:r>
            <w:r>
              <w:rPr>
                <w:rFonts w:hint="default" w:ascii="Times New Roman" w:hAnsi="Times New Roman" w:cs="Times New Roman"/>
                <w:u w:val="none" w:color="auto"/>
                <w:lang w:val="en-US"/>
              </w:rPr>
              <w:t>项目</w:t>
            </w:r>
            <w:r>
              <w:rPr>
                <w:rFonts w:hint="default" w:ascii="Times New Roman" w:hAnsi="Times New Roman" w:cs="Times New Roman"/>
                <w:u w:val="none" w:color="auto"/>
                <w:lang w:val="en-US" w:eastAsia="zh-CN"/>
              </w:rPr>
              <w:t>无组织</w:t>
            </w:r>
            <w:r>
              <w:rPr>
                <w:rFonts w:hint="default" w:ascii="Times New Roman" w:hAnsi="Times New Roman" w:cs="Times New Roman"/>
                <w:u w:val="none" w:color="auto"/>
                <w:lang w:val="en-US"/>
              </w:rPr>
              <w:t>废气</w:t>
            </w:r>
            <w:r>
              <w:rPr>
                <w:rFonts w:hint="default" w:ascii="Times New Roman" w:hAnsi="Times New Roman" w:cs="Times New Roman"/>
                <w:u w:val="none" w:color="auto"/>
              </w:rPr>
              <w:t>产排情况</w:t>
            </w:r>
            <w:r>
              <w:rPr>
                <w:rFonts w:ascii="Times New Roman" w:hAnsi="Times New Roman" w:cs="Times New Roman"/>
                <w:u w:val="none" w:color="auto"/>
              </w:rPr>
              <w:t xml:space="preserve"> </w:t>
            </w:r>
            <w:r>
              <w:rPr>
                <w:rFonts w:hint="default" w:ascii="Times New Roman" w:hAnsi="Times New Roman" w:cs="Times New Roman"/>
                <w:u w:val="none" w:color="auto"/>
              </w:rPr>
              <w:t>一览表</w:t>
            </w:r>
          </w:p>
          <w:tbl>
            <w:tblPr>
              <w:tblStyle w:val="29"/>
              <w:tblW w:w="484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77"/>
              <w:gridCol w:w="669"/>
              <w:gridCol w:w="1341"/>
              <w:gridCol w:w="1255"/>
              <w:gridCol w:w="1424"/>
              <w:gridCol w:w="1134"/>
              <w:gridCol w:w="15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66" w:type="dxa"/>
                  <w:vMerge w:val="restart"/>
                  <w:tcBorders>
                    <w:tl2br w:val="nil"/>
                    <w:tr2bl w:val="nil"/>
                  </w:tcBorders>
                  <w:vAlign w:val="center"/>
                </w:tcPr>
                <w:p>
                  <w:pPr>
                    <w:pStyle w:val="39"/>
                    <w:bidi w:val="0"/>
                    <w:rPr>
                      <w:lang w:val="en-US"/>
                    </w:rPr>
                  </w:pPr>
                  <w:r>
                    <w:rPr>
                      <w:rFonts w:hint="default"/>
                      <w:lang w:val="en-US"/>
                    </w:rPr>
                    <w:t>产污环节</w:t>
                  </w:r>
                </w:p>
              </w:tc>
              <w:tc>
                <w:tcPr>
                  <w:tcW w:w="658" w:type="dxa"/>
                  <w:vMerge w:val="restart"/>
                  <w:tcBorders>
                    <w:tl2br w:val="nil"/>
                    <w:tr2bl w:val="nil"/>
                  </w:tcBorders>
                  <w:vAlign w:val="center"/>
                </w:tcPr>
                <w:p>
                  <w:pPr>
                    <w:pStyle w:val="39"/>
                    <w:bidi w:val="0"/>
                    <w:rPr>
                      <w:lang w:val="en-US"/>
                    </w:rPr>
                  </w:pPr>
                  <w:r>
                    <w:rPr>
                      <w:rFonts w:hint="default"/>
                      <w:lang w:val="en-US"/>
                    </w:rPr>
                    <w:t>污染物种类</w:t>
                  </w:r>
                </w:p>
              </w:tc>
              <w:tc>
                <w:tcPr>
                  <w:tcW w:w="1318" w:type="dxa"/>
                  <w:vMerge w:val="restart"/>
                  <w:tcBorders>
                    <w:tl2br w:val="nil"/>
                    <w:tr2bl w:val="nil"/>
                  </w:tcBorders>
                  <w:vAlign w:val="center"/>
                </w:tcPr>
                <w:p>
                  <w:pPr>
                    <w:pStyle w:val="39"/>
                    <w:bidi w:val="0"/>
                    <w:rPr>
                      <w:lang w:val="en-US"/>
                    </w:rPr>
                  </w:pPr>
                  <w:r>
                    <w:rPr>
                      <w:rFonts w:hint="default"/>
                      <w:lang w:val="en-US"/>
                    </w:rPr>
                    <w:t>污染物产生量t/a</w:t>
                  </w:r>
                </w:p>
              </w:tc>
              <w:tc>
                <w:tcPr>
                  <w:tcW w:w="1234" w:type="dxa"/>
                  <w:tcBorders>
                    <w:tl2br w:val="nil"/>
                    <w:tr2bl w:val="nil"/>
                  </w:tcBorders>
                  <w:vAlign w:val="center"/>
                </w:tcPr>
                <w:p>
                  <w:pPr>
                    <w:pStyle w:val="39"/>
                    <w:bidi w:val="0"/>
                    <w:rPr>
                      <w:lang w:val="en-US"/>
                    </w:rPr>
                  </w:pPr>
                  <w:r>
                    <w:rPr>
                      <w:rFonts w:hint="default"/>
                      <w:lang w:val="en-US"/>
                    </w:rPr>
                    <w:t>治理措施</w:t>
                  </w:r>
                </w:p>
              </w:tc>
              <w:tc>
                <w:tcPr>
                  <w:tcW w:w="1400" w:type="dxa"/>
                  <w:vMerge w:val="restart"/>
                  <w:tcBorders>
                    <w:tl2br w:val="nil"/>
                    <w:tr2bl w:val="nil"/>
                  </w:tcBorders>
                  <w:vAlign w:val="center"/>
                </w:tcPr>
                <w:p>
                  <w:pPr>
                    <w:pStyle w:val="39"/>
                    <w:bidi w:val="0"/>
                    <w:rPr>
                      <w:lang w:val="en-US"/>
                    </w:rPr>
                  </w:pPr>
                  <w:r>
                    <w:rPr>
                      <w:rFonts w:hint="default"/>
                      <w:lang w:val="en-US"/>
                    </w:rPr>
                    <w:t>污染物排放量（t/a）</w:t>
                  </w:r>
                </w:p>
              </w:tc>
              <w:tc>
                <w:tcPr>
                  <w:tcW w:w="1115" w:type="dxa"/>
                  <w:vMerge w:val="restart"/>
                  <w:tcBorders>
                    <w:tl2br w:val="nil"/>
                    <w:tr2bl w:val="nil"/>
                  </w:tcBorders>
                  <w:vAlign w:val="center"/>
                </w:tcPr>
                <w:p>
                  <w:pPr>
                    <w:pStyle w:val="39"/>
                    <w:bidi w:val="0"/>
                    <w:rPr>
                      <w:lang w:val="en-US"/>
                    </w:rPr>
                  </w:pPr>
                  <w:r>
                    <w:rPr>
                      <w:rFonts w:hint="default"/>
                      <w:lang w:val="en-US"/>
                    </w:rPr>
                    <w:t>排放方式</w:t>
                  </w:r>
                </w:p>
              </w:tc>
              <w:tc>
                <w:tcPr>
                  <w:tcW w:w="1557" w:type="dxa"/>
                  <w:vMerge w:val="restart"/>
                  <w:tcBorders>
                    <w:tl2br w:val="nil"/>
                    <w:tr2bl w:val="nil"/>
                  </w:tcBorders>
                  <w:vAlign w:val="center"/>
                </w:tcPr>
                <w:p>
                  <w:pPr>
                    <w:pStyle w:val="39"/>
                    <w:bidi w:val="0"/>
                    <w:rPr>
                      <w:lang w:val="en-US"/>
                    </w:rPr>
                  </w:pPr>
                  <w:r>
                    <w:rPr>
                      <w:rFonts w:hint="default"/>
                      <w:lang w:val="en-US"/>
                    </w:rPr>
                    <w:t>排放标准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66" w:type="dxa"/>
                  <w:vMerge w:val="continue"/>
                  <w:tcBorders>
                    <w:tl2br w:val="nil"/>
                    <w:tr2bl w:val="nil"/>
                  </w:tcBorders>
                  <w:vAlign w:val="center"/>
                </w:tcPr>
                <w:p>
                  <w:pPr>
                    <w:pStyle w:val="39"/>
                    <w:bidi w:val="0"/>
                    <w:rPr>
                      <w:lang w:val="en-US"/>
                    </w:rPr>
                  </w:pPr>
                </w:p>
              </w:tc>
              <w:tc>
                <w:tcPr>
                  <w:tcW w:w="658" w:type="dxa"/>
                  <w:vMerge w:val="continue"/>
                  <w:tcBorders>
                    <w:tl2br w:val="nil"/>
                    <w:tr2bl w:val="nil"/>
                  </w:tcBorders>
                  <w:vAlign w:val="center"/>
                </w:tcPr>
                <w:p>
                  <w:pPr>
                    <w:pStyle w:val="39"/>
                    <w:bidi w:val="0"/>
                    <w:rPr>
                      <w:lang w:val="en-US"/>
                    </w:rPr>
                  </w:pPr>
                </w:p>
              </w:tc>
              <w:tc>
                <w:tcPr>
                  <w:tcW w:w="1318" w:type="dxa"/>
                  <w:vMerge w:val="continue"/>
                  <w:tcBorders>
                    <w:tl2br w:val="nil"/>
                    <w:tr2bl w:val="nil"/>
                  </w:tcBorders>
                  <w:vAlign w:val="center"/>
                </w:tcPr>
                <w:p>
                  <w:pPr>
                    <w:pStyle w:val="39"/>
                    <w:bidi w:val="0"/>
                    <w:rPr>
                      <w:lang w:val="en-US"/>
                    </w:rPr>
                  </w:pPr>
                </w:p>
              </w:tc>
              <w:tc>
                <w:tcPr>
                  <w:tcW w:w="1234" w:type="dxa"/>
                  <w:tcBorders>
                    <w:tl2br w:val="nil"/>
                    <w:tr2bl w:val="nil"/>
                  </w:tcBorders>
                  <w:vAlign w:val="center"/>
                </w:tcPr>
                <w:p>
                  <w:pPr>
                    <w:pStyle w:val="39"/>
                    <w:bidi w:val="0"/>
                    <w:rPr>
                      <w:lang w:val="en-US"/>
                    </w:rPr>
                  </w:pPr>
                  <w:r>
                    <w:rPr>
                      <w:rFonts w:hint="default"/>
                      <w:lang w:val="en-US"/>
                    </w:rPr>
                    <w:t>处理方式</w:t>
                  </w:r>
                </w:p>
              </w:tc>
              <w:tc>
                <w:tcPr>
                  <w:tcW w:w="1400" w:type="dxa"/>
                  <w:vMerge w:val="continue"/>
                  <w:tcBorders>
                    <w:tl2br w:val="nil"/>
                    <w:tr2bl w:val="nil"/>
                  </w:tcBorders>
                  <w:vAlign w:val="center"/>
                </w:tcPr>
                <w:p>
                  <w:pPr>
                    <w:pStyle w:val="39"/>
                    <w:bidi w:val="0"/>
                    <w:rPr>
                      <w:lang w:val="en-US"/>
                    </w:rPr>
                  </w:pPr>
                </w:p>
              </w:tc>
              <w:tc>
                <w:tcPr>
                  <w:tcW w:w="1115" w:type="dxa"/>
                  <w:vMerge w:val="continue"/>
                  <w:tcBorders>
                    <w:tl2br w:val="nil"/>
                    <w:tr2bl w:val="nil"/>
                  </w:tcBorders>
                  <w:vAlign w:val="center"/>
                </w:tcPr>
                <w:p>
                  <w:pPr>
                    <w:pStyle w:val="39"/>
                    <w:bidi w:val="0"/>
                    <w:rPr>
                      <w:lang w:val="en-US"/>
                    </w:rPr>
                  </w:pPr>
                </w:p>
              </w:tc>
              <w:tc>
                <w:tcPr>
                  <w:tcW w:w="1557" w:type="dxa"/>
                  <w:vMerge w:val="continue"/>
                  <w:tcBorders>
                    <w:tl2br w:val="nil"/>
                    <w:tr2bl w:val="nil"/>
                  </w:tcBorders>
                  <w:vAlign w:val="center"/>
                </w:tcPr>
                <w:p>
                  <w:pPr>
                    <w:pStyle w:val="39"/>
                    <w:bidi w:val="0"/>
                    <w:rPr>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0" w:hRule="atLeast"/>
                <w:jc w:val="center"/>
              </w:trPr>
              <w:tc>
                <w:tcPr>
                  <w:tcW w:w="666" w:type="dxa"/>
                  <w:tcBorders>
                    <w:tl2br w:val="nil"/>
                    <w:tr2bl w:val="nil"/>
                  </w:tcBorders>
                  <w:vAlign w:val="center"/>
                </w:tcPr>
                <w:p>
                  <w:pPr>
                    <w:pStyle w:val="39"/>
                    <w:bidi w:val="0"/>
                    <w:rPr>
                      <w:lang w:val="en-US"/>
                    </w:rPr>
                  </w:pPr>
                  <w:r>
                    <w:rPr>
                      <w:rFonts w:hint="default"/>
                      <w:lang w:val="en-US"/>
                    </w:rPr>
                    <w:t>投料过程</w:t>
                  </w:r>
                </w:p>
              </w:tc>
              <w:tc>
                <w:tcPr>
                  <w:tcW w:w="658" w:type="dxa"/>
                  <w:tcBorders>
                    <w:tl2br w:val="nil"/>
                    <w:tr2bl w:val="nil"/>
                  </w:tcBorders>
                  <w:vAlign w:val="center"/>
                </w:tcPr>
                <w:p>
                  <w:pPr>
                    <w:pStyle w:val="39"/>
                    <w:bidi w:val="0"/>
                    <w:rPr>
                      <w:lang w:val="en-US"/>
                    </w:rPr>
                  </w:pPr>
                  <w:r>
                    <w:rPr>
                      <w:rFonts w:hint="default"/>
                      <w:lang w:val="en-US"/>
                    </w:rPr>
                    <w:t>颗粒物</w:t>
                  </w:r>
                </w:p>
              </w:tc>
              <w:tc>
                <w:tcPr>
                  <w:tcW w:w="1318" w:type="dxa"/>
                  <w:tcBorders>
                    <w:tl2br w:val="nil"/>
                    <w:tr2bl w:val="nil"/>
                  </w:tcBorders>
                  <w:vAlign w:val="center"/>
                </w:tcPr>
                <w:p>
                  <w:pPr>
                    <w:pStyle w:val="39"/>
                    <w:bidi w:val="0"/>
                    <w:rPr>
                      <w:rFonts w:hint="default"/>
                      <w:lang w:val="en-US"/>
                    </w:rPr>
                  </w:pPr>
                  <w:r>
                    <w:rPr>
                      <w:rFonts w:hint="eastAsia"/>
                      <w:lang w:val="en-US" w:eastAsia="zh-CN"/>
                    </w:rPr>
                    <w:t>0.455</w:t>
                  </w:r>
                </w:p>
              </w:tc>
              <w:tc>
                <w:tcPr>
                  <w:tcW w:w="1234" w:type="dxa"/>
                  <w:tcBorders>
                    <w:tl2br w:val="nil"/>
                    <w:tr2bl w:val="nil"/>
                  </w:tcBorders>
                  <w:vAlign w:val="center"/>
                </w:tcPr>
                <w:p>
                  <w:pPr>
                    <w:pStyle w:val="39"/>
                    <w:bidi w:val="0"/>
                    <w:rPr>
                      <w:lang w:val="en-US"/>
                    </w:rPr>
                  </w:pPr>
                  <w:r>
                    <w:rPr>
                      <w:rFonts w:hint="default"/>
                      <w:lang w:val="en-US"/>
                    </w:rPr>
                    <w:t>加强密闭</w:t>
                  </w:r>
                </w:p>
              </w:tc>
              <w:tc>
                <w:tcPr>
                  <w:tcW w:w="1400" w:type="dxa"/>
                  <w:tcBorders>
                    <w:tl2br w:val="nil"/>
                    <w:tr2bl w:val="nil"/>
                  </w:tcBorders>
                  <w:vAlign w:val="center"/>
                </w:tcPr>
                <w:p>
                  <w:pPr>
                    <w:pStyle w:val="39"/>
                    <w:bidi w:val="0"/>
                    <w:rPr>
                      <w:rFonts w:hint="default"/>
                      <w:lang w:val="en-US"/>
                    </w:rPr>
                  </w:pPr>
                  <w:r>
                    <w:rPr>
                      <w:rFonts w:hint="eastAsia"/>
                      <w:lang w:val="en-US" w:eastAsia="zh-CN"/>
                    </w:rPr>
                    <w:t>0.182</w:t>
                  </w:r>
                </w:p>
              </w:tc>
              <w:tc>
                <w:tcPr>
                  <w:tcW w:w="1115" w:type="dxa"/>
                  <w:tcBorders>
                    <w:tl2br w:val="nil"/>
                    <w:tr2bl w:val="nil"/>
                  </w:tcBorders>
                  <w:vAlign w:val="center"/>
                </w:tcPr>
                <w:p>
                  <w:pPr>
                    <w:pStyle w:val="39"/>
                    <w:bidi w:val="0"/>
                    <w:rPr>
                      <w:lang w:val="en-US"/>
                    </w:rPr>
                  </w:pPr>
                  <w:r>
                    <w:rPr>
                      <w:rFonts w:hint="default"/>
                      <w:lang w:val="en-US"/>
                    </w:rPr>
                    <w:t>无组织排放</w:t>
                  </w:r>
                </w:p>
              </w:tc>
              <w:tc>
                <w:tcPr>
                  <w:tcW w:w="1557" w:type="dxa"/>
                  <w:tcBorders>
                    <w:tl2br w:val="nil"/>
                    <w:tr2bl w:val="nil"/>
                  </w:tcBorders>
                  <w:vAlign w:val="center"/>
                </w:tcPr>
                <w:p>
                  <w:pPr>
                    <w:pStyle w:val="39"/>
                    <w:bidi w:val="0"/>
                    <w:rPr>
                      <w:lang w:val="en-US"/>
                    </w:rPr>
                  </w:pPr>
                  <w:r>
                    <w:rPr>
                      <w:lang w:val="en-US"/>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1" w:hRule="atLeast"/>
                <w:jc w:val="center"/>
              </w:trPr>
              <w:tc>
                <w:tcPr>
                  <w:tcW w:w="666" w:type="dxa"/>
                  <w:tcBorders>
                    <w:tl2br w:val="nil"/>
                    <w:tr2bl w:val="nil"/>
                  </w:tcBorders>
                  <w:vAlign w:val="center"/>
                </w:tcPr>
                <w:p>
                  <w:pPr>
                    <w:pStyle w:val="39"/>
                    <w:bidi w:val="0"/>
                    <w:rPr>
                      <w:rFonts w:hint="default"/>
                      <w:lang w:val="en-US" w:eastAsia="zh-CN"/>
                    </w:rPr>
                  </w:pPr>
                  <w:r>
                    <w:rPr>
                      <w:rFonts w:hint="default"/>
                      <w:lang w:val="en-US"/>
                    </w:rPr>
                    <w:t>自建污水处理</w:t>
                  </w:r>
                  <w:r>
                    <w:rPr>
                      <w:rFonts w:hint="default"/>
                      <w:lang w:val="en-US" w:eastAsia="zh-CN"/>
                    </w:rPr>
                    <w:t>设施</w:t>
                  </w:r>
                </w:p>
              </w:tc>
              <w:tc>
                <w:tcPr>
                  <w:tcW w:w="658" w:type="dxa"/>
                  <w:tcBorders>
                    <w:tl2br w:val="nil"/>
                    <w:tr2bl w:val="nil"/>
                  </w:tcBorders>
                  <w:vAlign w:val="center"/>
                </w:tcPr>
                <w:p>
                  <w:pPr>
                    <w:pStyle w:val="39"/>
                    <w:bidi w:val="0"/>
                    <w:rPr>
                      <w:lang w:val="en-US"/>
                    </w:rPr>
                  </w:pPr>
                  <w:r>
                    <w:rPr>
                      <w:rFonts w:hint="default"/>
                      <w:lang w:val="en-US"/>
                    </w:rPr>
                    <w:t>NH3、H2S</w:t>
                  </w:r>
                </w:p>
              </w:tc>
              <w:tc>
                <w:tcPr>
                  <w:tcW w:w="1318" w:type="dxa"/>
                  <w:tcBorders>
                    <w:tl2br w:val="nil"/>
                    <w:tr2bl w:val="nil"/>
                  </w:tcBorders>
                  <w:vAlign w:val="center"/>
                </w:tcPr>
                <w:p>
                  <w:pPr>
                    <w:pStyle w:val="39"/>
                    <w:bidi w:val="0"/>
                    <w:rPr>
                      <w:rFonts w:hint="default"/>
                      <w:lang w:val="en-US" w:eastAsia="zh-CN"/>
                    </w:rPr>
                  </w:pPr>
                  <w:r>
                    <w:rPr>
                      <w:rFonts w:hint="default"/>
                      <w:lang w:val="en-US"/>
                    </w:rPr>
                    <w:t>NH3</w:t>
                  </w:r>
                  <w:r>
                    <w:rPr>
                      <w:rFonts w:hint="default"/>
                      <w:lang w:val="en-US" w:eastAsia="zh-CN"/>
                    </w:rPr>
                    <w:t>：</w:t>
                  </w:r>
                  <w:r>
                    <w:rPr>
                      <w:rFonts w:hint="eastAsia"/>
                      <w:lang w:val="en-US" w:eastAsia="zh-CN"/>
                    </w:rPr>
                    <w:t>16.57</w:t>
                  </w:r>
                  <w:r>
                    <w:rPr>
                      <w:rFonts w:hint="default"/>
                      <w:lang w:val="en-US"/>
                    </w:rPr>
                    <w:t>kg/a</w:t>
                  </w:r>
                  <w:r>
                    <w:rPr>
                      <w:rFonts w:hint="default"/>
                      <w:lang w:val="en-US" w:eastAsia="zh-CN"/>
                    </w:rPr>
                    <w:t>；</w:t>
                  </w:r>
                  <w:r>
                    <w:rPr>
                      <w:rFonts w:hint="default"/>
                      <w:lang w:val="en-US"/>
                    </w:rPr>
                    <w:t>H2S</w:t>
                  </w:r>
                  <w:r>
                    <w:rPr>
                      <w:rFonts w:hint="default"/>
                      <w:lang w:val="en-US" w:eastAsia="zh-CN"/>
                    </w:rPr>
                    <w:t>：</w:t>
                  </w:r>
                  <w:r>
                    <w:rPr>
                      <w:rFonts w:hint="eastAsia"/>
                      <w:lang w:val="en-US" w:eastAsia="zh-CN"/>
                    </w:rPr>
                    <w:t>0.642</w:t>
                  </w:r>
                  <w:r>
                    <w:rPr>
                      <w:rFonts w:hint="default"/>
                      <w:lang w:val="en-US"/>
                    </w:rPr>
                    <w:t>kg/a</w:t>
                  </w:r>
                </w:p>
              </w:tc>
              <w:tc>
                <w:tcPr>
                  <w:tcW w:w="1234" w:type="dxa"/>
                  <w:tcBorders>
                    <w:tl2br w:val="nil"/>
                    <w:tr2bl w:val="nil"/>
                  </w:tcBorders>
                  <w:vAlign w:val="center"/>
                </w:tcPr>
                <w:p>
                  <w:pPr>
                    <w:pStyle w:val="39"/>
                    <w:bidi w:val="0"/>
                    <w:rPr>
                      <w:lang w:val="en-US"/>
                    </w:rPr>
                  </w:pPr>
                  <w:r>
                    <w:rPr>
                      <w:rFonts w:hint="default"/>
                      <w:lang w:val="en-US"/>
                    </w:rPr>
                    <w:t>喷洒除臭剂</w:t>
                  </w:r>
                </w:p>
              </w:tc>
              <w:tc>
                <w:tcPr>
                  <w:tcW w:w="1400" w:type="dxa"/>
                  <w:tcBorders>
                    <w:tl2br w:val="nil"/>
                    <w:tr2bl w:val="nil"/>
                  </w:tcBorders>
                  <w:vAlign w:val="center"/>
                </w:tcPr>
                <w:p>
                  <w:pPr>
                    <w:pStyle w:val="39"/>
                    <w:bidi w:val="0"/>
                    <w:rPr>
                      <w:lang w:val="en-US"/>
                    </w:rPr>
                  </w:pPr>
                  <w:r>
                    <w:rPr>
                      <w:rFonts w:hint="default"/>
                      <w:lang w:val="en-US"/>
                    </w:rPr>
                    <w:t>/</w:t>
                  </w:r>
                </w:p>
              </w:tc>
              <w:tc>
                <w:tcPr>
                  <w:tcW w:w="1115" w:type="dxa"/>
                  <w:tcBorders>
                    <w:tl2br w:val="nil"/>
                    <w:tr2bl w:val="nil"/>
                  </w:tcBorders>
                  <w:vAlign w:val="center"/>
                </w:tcPr>
                <w:p>
                  <w:pPr>
                    <w:pStyle w:val="39"/>
                    <w:bidi w:val="0"/>
                    <w:rPr>
                      <w:lang w:val="en-US"/>
                    </w:rPr>
                  </w:pPr>
                  <w:r>
                    <w:rPr>
                      <w:rFonts w:hint="default"/>
                      <w:lang w:val="en-US"/>
                    </w:rPr>
                    <w:t>无组织排放</w:t>
                  </w:r>
                </w:p>
              </w:tc>
              <w:tc>
                <w:tcPr>
                  <w:tcW w:w="1557" w:type="dxa"/>
                  <w:tcBorders>
                    <w:tl2br w:val="nil"/>
                    <w:tr2bl w:val="nil"/>
                  </w:tcBorders>
                  <w:vAlign w:val="center"/>
                </w:tcPr>
                <w:p>
                  <w:pPr>
                    <w:pStyle w:val="39"/>
                    <w:bidi w:val="0"/>
                    <w:rPr>
                      <w:lang w:val="en-US"/>
                    </w:rPr>
                  </w:pPr>
                  <w:r>
                    <w:rPr>
                      <w:lang w:val="en-US"/>
                    </w:rPr>
                    <w:t>《恶臭污染物排放标准》（GB14554-93）</w:t>
                  </w:r>
                </w:p>
              </w:tc>
            </w:tr>
          </w:tbl>
          <w:p>
            <w:pPr>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u w:val="none" w:color="auto"/>
                <w:lang w:val="en-US"/>
              </w:rPr>
              <w:t>恶臭气体无组织排放。污水处理站臭气</w:t>
            </w:r>
            <w:r>
              <w:rPr>
                <w:rFonts w:hint="default" w:ascii="Times New Roman" w:hAnsi="Times New Roman" w:cs="Times New Roman"/>
                <w:u w:val="none" w:color="auto"/>
                <w:lang w:val="en-US" w:eastAsia="zh-CN"/>
              </w:rPr>
              <w:t>采取</w:t>
            </w:r>
            <w:r>
              <w:rPr>
                <w:rFonts w:hint="default" w:ascii="Times New Roman" w:hAnsi="Times New Roman" w:cs="Times New Roman"/>
                <w:u w:val="none" w:color="auto"/>
                <w:lang w:val="en-US"/>
              </w:rPr>
              <w:t>喷洒除臭剂处理</w:t>
            </w:r>
            <w:r>
              <w:rPr>
                <w:rFonts w:hint="default" w:ascii="Times New Roman" w:hAnsi="Times New Roman" w:cs="Times New Roman"/>
                <w:u w:val="none" w:color="auto"/>
                <w:lang w:val="en-US" w:eastAsia="zh-CN"/>
              </w:rPr>
              <w:t>，加强通风绿化，位于项目地下风向周边最近敏感点为西南侧</w:t>
            </w:r>
            <w:r>
              <w:rPr>
                <w:rFonts w:hint="eastAsia" w:cs="Times New Roman"/>
                <w:u w:val="none" w:color="auto"/>
                <w:lang w:val="en-US" w:eastAsia="zh-CN"/>
              </w:rPr>
              <w:t>1</w:t>
            </w:r>
            <w:r>
              <w:rPr>
                <w:rFonts w:hint="default" w:ascii="Times New Roman" w:hAnsi="Times New Roman" w:cs="Times New Roman"/>
                <w:u w:val="none" w:color="auto"/>
                <w:lang w:val="en-US" w:eastAsia="zh-CN"/>
              </w:rPr>
              <w:t>0m处的红土溪村散户，</w:t>
            </w:r>
            <w:r>
              <w:rPr>
                <w:rFonts w:hint="default" w:ascii="Times New Roman" w:hAnsi="Times New Roman" w:cs="Times New Roman"/>
                <w:u w:val="none" w:color="auto"/>
              </w:rPr>
              <w:t>该户居民仅在春节期间有人</w:t>
            </w:r>
            <w:r>
              <w:rPr>
                <w:rFonts w:hint="eastAsia" w:cs="Times New Roman"/>
                <w:u w:val="none" w:color="auto"/>
                <w:lang w:val="en-US" w:eastAsia="zh-CN"/>
              </w:rPr>
              <w:t>短暂</w:t>
            </w:r>
            <w:r>
              <w:rPr>
                <w:rFonts w:hint="default" w:ascii="Times New Roman" w:hAnsi="Times New Roman" w:cs="Times New Roman"/>
                <w:u w:val="none" w:color="auto"/>
              </w:rPr>
              <w:t>居住，其余时间闲置</w:t>
            </w:r>
            <w:r>
              <w:rPr>
                <w:rFonts w:hint="default" w:ascii="Times New Roman" w:hAnsi="Times New Roman" w:cs="Times New Roman"/>
                <w:u w:val="none" w:color="auto"/>
                <w:lang w:val="en-US" w:eastAsia="zh-CN"/>
              </w:rPr>
              <w:t>，</w:t>
            </w:r>
            <w:r>
              <w:rPr>
                <w:rFonts w:hint="eastAsia" w:cs="Times New Roman"/>
                <w:u w:val="none" w:color="auto"/>
                <w:lang w:val="en-US" w:eastAsia="zh-CN"/>
              </w:rPr>
              <w:t>其余</w:t>
            </w:r>
            <w:r>
              <w:rPr>
                <w:rFonts w:hint="default" w:ascii="Times New Roman" w:hAnsi="Times New Roman" w:cs="Times New Roman"/>
                <w:u w:val="none" w:color="auto"/>
                <w:lang w:val="en-US" w:eastAsia="zh-CN"/>
              </w:rPr>
              <w:t>均为空房</w:t>
            </w:r>
            <w:r>
              <w:rPr>
                <w:rFonts w:hint="eastAsia" w:cs="Times New Roman"/>
                <w:u w:val="none" w:color="auto"/>
                <w:lang w:val="en-US" w:eastAsia="zh-CN"/>
              </w:rPr>
              <w:t>，因此</w:t>
            </w:r>
            <w:r>
              <w:rPr>
                <w:rFonts w:hint="default" w:ascii="Times New Roman" w:hAnsi="Times New Roman" w:cs="Times New Roman"/>
                <w:u w:val="none" w:color="auto"/>
                <w:lang w:val="en-US"/>
              </w:rPr>
              <w:t>恶臭气体</w:t>
            </w:r>
            <w:r>
              <w:rPr>
                <w:rFonts w:hint="default" w:ascii="Times New Roman" w:hAnsi="Times New Roman" w:cs="Times New Roman"/>
                <w:u w:val="none" w:color="auto"/>
                <w:lang w:val="en-US" w:eastAsia="zh-CN"/>
              </w:rPr>
              <w:t>通过大气扩散后对周边环境影响较小</w:t>
            </w:r>
            <w:r>
              <w:rPr>
                <w:rFonts w:hint="default" w:ascii="Times New Roman" w:hAnsi="Times New Roman" w:cs="Times New Roman"/>
                <w:u w:val="none" w:color="auto"/>
                <w:lang w:val="en-US"/>
              </w:rPr>
              <w:t>。</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（4）备用柴油发电机废气</w:t>
            </w:r>
          </w:p>
          <w:p>
            <w:pPr>
              <w:spacing w:line="360" w:lineRule="auto"/>
              <w:ind w:firstLine="480"/>
              <w:rPr>
                <w:rFonts w:hint="default" w:ascii="Times New Roman" w:hAnsi="Times New Roman" w:cs="Times New Roman"/>
                <w:u w:val="none" w:color="auto"/>
              </w:rPr>
            </w:pPr>
            <w:r>
              <w:rPr>
                <w:rFonts w:hint="default" w:ascii="Times New Roman" w:hAnsi="Times New Roman" w:cs="Times New Roman"/>
                <w:u w:val="none" w:color="auto"/>
              </w:rPr>
              <w:t>本项目配备1台柴油发电机。柴油发电机</w:t>
            </w:r>
            <w:r>
              <w:rPr>
                <w:rFonts w:ascii="Times New Roman" w:hAnsi="Times New Roman" w:cs="Times New Roman"/>
                <w:u w:val="none" w:color="auto"/>
              </w:rPr>
              <w:t>所排废气中的污染物主要是烟尘、SO</w:t>
            </w:r>
            <w:r>
              <w:rPr>
                <w:rFonts w:ascii="Times New Roman" w:hAnsi="Times New Roman" w:cs="Times New Roman"/>
                <w:u w:val="none" w:color="auto"/>
                <w:vertAlign w:val="subscript"/>
              </w:rPr>
              <w:t>2</w:t>
            </w:r>
            <w:r>
              <w:rPr>
                <w:rFonts w:ascii="Times New Roman" w:hAnsi="Times New Roman" w:cs="Times New Roman"/>
                <w:u w:val="none" w:color="auto"/>
              </w:rPr>
              <w:t>、NO</w:t>
            </w:r>
            <w:r>
              <w:rPr>
                <w:rFonts w:ascii="Times New Roman" w:hAnsi="Times New Roman" w:cs="Times New Roman"/>
                <w:u w:val="none" w:color="auto"/>
                <w:vertAlign w:val="subscript"/>
              </w:rPr>
              <w:t>X</w:t>
            </w:r>
            <w:r>
              <w:rPr>
                <w:rFonts w:ascii="Times New Roman" w:hAnsi="Times New Roman" w:cs="Times New Roman"/>
                <w:u w:val="none" w:color="auto"/>
              </w:rPr>
              <w:t>、CO、烃类等。</w:t>
            </w:r>
            <w:r>
              <w:rPr>
                <w:rFonts w:hint="default" w:ascii="Times New Roman" w:hAnsi="Times New Roman" w:cs="Times New Roman"/>
                <w:u w:val="none" w:color="auto"/>
              </w:rPr>
              <w:t>根据《排放源统计调查产排污核算方法和系数手册》</w:t>
            </w:r>
            <w:r>
              <w:rPr>
                <w:rFonts w:hint="default" w:ascii="Times New Roman" w:hAnsi="Times New Roman" w:cs="Times New Roman"/>
                <w:u w:val="none" w:color="auto"/>
                <w:lang w:val="en-US" w:eastAsia="zh-CN"/>
              </w:rPr>
              <w:t>2021版</w:t>
            </w:r>
            <w:r>
              <w:rPr>
                <w:rFonts w:hint="default" w:ascii="Times New Roman" w:hAnsi="Times New Roman" w:cs="Times New Roman"/>
                <w:u w:val="none" w:color="auto"/>
              </w:rPr>
              <w:t>中火力发电行业产排污系数表（燃油燃机发电的内容），其各种污染物产生情况见表</w:t>
            </w:r>
            <w:r>
              <w:rPr>
                <w:rFonts w:hint="default" w:ascii="Times New Roman" w:hAnsi="Times New Roman" w:cs="Times New Roman"/>
                <w:u w:val="none" w:color="auto"/>
                <w:lang w:val="en-US" w:eastAsia="zh-CN"/>
              </w:rPr>
              <w:t>4.2-</w:t>
            </w:r>
            <w:r>
              <w:rPr>
                <w:rFonts w:hint="eastAsia" w:cs="Times New Roman"/>
                <w:u w:val="none" w:color="auto"/>
                <w:lang w:val="en-US" w:eastAsia="zh-CN"/>
              </w:rPr>
              <w:t>9</w:t>
            </w:r>
            <w:r>
              <w:rPr>
                <w:rFonts w:hint="default" w:ascii="Times New Roman" w:hAnsi="Times New Roman" w:cs="Times New Roman"/>
                <w:u w:val="none" w:color="auto"/>
              </w:rPr>
              <w:t>：</w:t>
            </w:r>
          </w:p>
          <w:p>
            <w:pPr>
              <w:spacing w:line="440" w:lineRule="exact"/>
              <w:ind w:firstLine="0" w:firstLineChars="0"/>
              <w:jc w:val="center"/>
              <w:rPr>
                <w:rFonts w:ascii="Times New Roman" w:hAnsi="Times New Roman" w:cs="Times New Roman"/>
                <w:b/>
                <w:sz w:val="21"/>
                <w:szCs w:val="21"/>
                <w:u w:val="none" w:color="auto"/>
              </w:rPr>
            </w:pPr>
            <w:r>
              <w:rPr>
                <w:rFonts w:hint="default" w:ascii="Times New Roman" w:hAnsi="Times New Roman" w:cs="Times New Roman"/>
                <w:b/>
                <w:sz w:val="21"/>
                <w:szCs w:val="21"/>
                <w:u w:val="none" w:color="auto"/>
              </w:rPr>
              <w:t>表</w:t>
            </w:r>
            <w:r>
              <w:rPr>
                <w:rFonts w:hint="default" w:ascii="Times New Roman" w:hAnsi="Times New Roman" w:cs="Times New Roman"/>
                <w:b/>
                <w:sz w:val="21"/>
                <w:szCs w:val="21"/>
                <w:u w:val="none" w:color="auto"/>
                <w:lang w:val="en-US" w:eastAsia="zh-CN"/>
              </w:rPr>
              <w:t>4.2-</w:t>
            </w:r>
            <w:r>
              <w:rPr>
                <w:rFonts w:hint="eastAsia" w:cs="Times New Roman"/>
                <w:b/>
                <w:sz w:val="21"/>
                <w:szCs w:val="21"/>
                <w:u w:val="none" w:color="auto"/>
                <w:lang w:val="en-US" w:eastAsia="zh-CN"/>
              </w:rPr>
              <w:t>9</w:t>
            </w:r>
            <w:r>
              <w:rPr>
                <w:rFonts w:ascii="Times New Roman" w:hAnsi="Times New Roman" w:cs="Times New Roman"/>
                <w:b/>
                <w:sz w:val="21"/>
                <w:szCs w:val="21"/>
                <w:u w:val="none" w:color="auto"/>
              </w:rPr>
              <w:t xml:space="preserve"> </w:t>
            </w:r>
            <w:r>
              <w:rPr>
                <w:rFonts w:hint="default" w:ascii="Times New Roman" w:hAnsi="Times New Roman" w:cs="Times New Roman"/>
                <w:b/>
                <w:sz w:val="21"/>
                <w:szCs w:val="21"/>
                <w:u w:val="none" w:color="auto"/>
              </w:rPr>
              <w:t>燃油发电机废气产排污系数表</w:t>
            </w:r>
          </w:p>
          <w:tbl>
            <w:tblPr>
              <w:tblStyle w:val="28"/>
              <w:tblW w:w="495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058"/>
              <w:gridCol w:w="1147"/>
              <w:gridCol w:w="1147"/>
              <w:gridCol w:w="1279"/>
              <w:gridCol w:w="1398"/>
              <w:gridCol w:w="1105"/>
              <w:gridCol w:w="112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640" w:type="pc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产品名称</w:t>
                  </w:r>
                </w:p>
              </w:tc>
              <w:tc>
                <w:tcPr>
                  <w:tcW w:w="694" w:type="pc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原料名称</w:t>
                  </w:r>
                </w:p>
              </w:tc>
              <w:tc>
                <w:tcPr>
                  <w:tcW w:w="694" w:type="pc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工艺名称</w:t>
                  </w:r>
                </w:p>
              </w:tc>
              <w:tc>
                <w:tcPr>
                  <w:tcW w:w="774" w:type="pc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规模等级</w:t>
                  </w:r>
                </w:p>
              </w:tc>
              <w:tc>
                <w:tcPr>
                  <w:tcW w:w="846" w:type="pc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污染物指标</w:t>
                  </w:r>
                </w:p>
              </w:tc>
              <w:tc>
                <w:tcPr>
                  <w:tcW w:w="668" w:type="pc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单位</w:t>
                  </w:r>
                </w:p>
              </w:tc>
              <w:tc>
                <w:tcPr>
                  <w:tcW w:w="679" w:type="pct"/>
                  <w:tcBorders>
                    <w:tl2br w:val="nil"/>
                    <w:tr2bl w:val="nil"/>
                  </w:tcBorders>
                  <w:noWrap w:val="0"/>
                  <w:vAlign w:val="center"/>
                </w:tcPr>
                <w:p>
                  <w:pPr>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产污系数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640"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电能/电能+热能</w:t>
                  </w:r>
                </w:p>
              </w:tc>
              <w:tc>
                <w:tcPr>
                  <w:tcW w:w="694"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燃油</w:t>
                  </w:r>
                </w:p>
              </w:tc>
              <w:tc>
                <w:tcPr>
                  <w:tcW w:w="694"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锅炉/燃机</w:t>
                  </w:r>
                </w:p>
              </w:tc>
              <w:tc>
                <w:tcPr>
                  <w:tcW w:w="774" w:type="pct"/>
                  <w:vMerge w:val="restar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所有规模</w:t>
                  </w:r>
                </w:p>
              </w:tc>
              <w:tc>
                <w:tcPr>
                  <w:tcW w:w="846"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工业废气量</w:t>
                  </w:r>
                </w:p>
              </w:tc>
              <w:tc>
                <w:tcPr>
                  <w:tcW w:w="668"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标立方米/吨-原料</w:t>
                  </w:r>
                </w:p>
              </w:tc>
              <w:tc>
                <w:tcPr>
                  <w:tcW w:w="679"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11152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640"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p>
              </w:tc>
              <w:tc>
                <w:tcPr>
                  <w:tcW w:w="694"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p>
              </w:tc>
              <w:tc>
                <w:tcPr>
                  <w:tcW w:w="694"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p>
              </w:tc>
              <w:tc>
                <w:tcPr>
                  <w:tcW w:w="774" w:type="pct"/>
                  <w:vMerge w:val="continue"/>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p>
              </w:tc>
              <w:tc>
                <w:tcPr>
                  <w:tcW w:w="846"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烟尘</w:t>
                  </w:r>
                </w:p>
              </w:tc>
              <w:tc>
                <w:tcPr>
                  <w:tcW w:w="668"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千克/吨-原料</w:t>
                  </w:r>
                </w:p>
              </w:tc>
              <w:tc>
                <w:tcPr>
                  <w:tcW w:w="679"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640"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cs="Times New Roman"/>
                      <w:sz w:val="21"/>
                      <w:szCs w:val="21"/>
                      <w:u w:val="none" w:color="auto"/>
                    </w:rPr>
                  </w:pPr>
                </w:p>
              </w:tc>
              <w:tc>
                <w:tcPr>
                  <w:tcW w:w="69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cs="Times New Roman"/>
                      <w:sz w:val="21"/>
                      <w:szCs w:val="21"/>
                      <w:u w:val="none" w:color="auto"/>
                    </w:rPr>
                  </w:pPr>
                </w:p>
              </w:tc>
              <w:tc>
                <w:tcPr>
                  <w:tcW w:w="69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cs="Times New Roman"/>
                      <w:sz w:val="21"/>
                      <w:szCs w:val="21"/>
                      <w:u w:val="none" w:color="auto"/>
                    </w:rPr>
                  </w:pPr>
                </w:p>
              </w:tc>
              <w:tc>
                <w:tcPr>
                  <w:tcW w:w="77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cs="Times New Roman"/>
                      <w:sz w:val="21"/>
                      <w:szCs w:val="21"/>
                      <w:u w:val="none" w:color="auto"/>
                    </w:rPr>
                  </w:pPr>
                </w:p>
              </w:tc>
              <w:tc>
                <w:tcPr>
                  <w:tcW w:w="846"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二氧化硫</w:t>
                  </w:r>
                </w:p>
              </w:tc>
              <w:tc>
                <w:tcPr>
                  <w:tcW w:w="668"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千克/吨-原料</w:t>
                  </w:r>
                </w:p>
              </w:tc>
              <w:tc>
                <w:tcPr>
                  <w:tcW w:w="679"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4.21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571" w:hRule="atLeast"/>
                <w:jc w:val="center"/>
              </w:trPr>
              <w:tc>
                <w:tcPr>
                  <w:tcW w:w="640"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cs="Times New Roman"/>
                      <w:sz w:val="21"/>
                      <w:szCs w:val="21"/>
                      <w:u w:val="none" w:color="auto"/>
                    </w:rPr>
                  </w:pPr>
                </w:p>
              </w:tc>
              <w:tc>
                <w:tcPr>
                  <w:tcW w:w="69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cs="Times New Roman"/>
                      <w:sz w:val="21"/>
                      <w:szCs w:val="21"/>
                      <w:u w:val="none" w:color="auto"/>
                    </w:rPr>
                  </w:pPr>
                </w:p>
              </w:tc>
              <w:tc>
                <w:tcPr>
                  <w:tcW w:w="69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cs="Times New Roman"/>
                      <w:sz w:val="21"/>
                      <w:szCs w:val="21"/>
                      <w:u w:val="none" w:color="auto"/>
                    </w:rPr>
                  </w:pPr>
                </w:p>
              </w:tc>
              <w:tc>
                <w:tcPr>
                  <w:tcW w:w="774" w:type="pct"/>
                  <w:vMerge w:val="continue"/>
                  <w:tcBorders>
                    <w:tl2br w:val="nil"/>
                    <w:tr2bl w:val="nil"/>
                  </w:tcBorders>
                  <w:noWrap w:val="0"/>
                  <w:vAlign w:val="center"/>
                </w:tcPr>
                <w:p>
                  <w:pPr>
                    <w:widowControl/>
                    <w:spacing w:line="240" w:lineRule="auto"/>
                    <w:ind w:firstLine="0" w:firstLineChars="0"/>
                    <w:jc w:val="center"/>
                    <w:rPr>
                      <w:rFonts w:ascii="Times New Roman" w:hAnsi="Times New Roman" w:cs="Times New Roman"/>
                      <w:sz w:val="21"/>
                      <w:szCs w:val="21"/>
                      <w:u w:val="none" w:color="auto"/>
                    </w:rPr>
                  </w:pPr>
                </w:p>
              </w:tc>
              <w:tc>
                <w:tcPr>
                  <w:tcW w:w="846"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氮氧化物</w:t>
                  </w:r>
                </w:p>
              </w:tc>
              <w:tc>
                <w:tcPr>
                  <w:tcW w:w="668"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千克/吨-原料</w:t>
                  </w:r>
                </w:p>
              </w:tc>
              <w:tc>
                <w:tcPr>
                  <w:tcW w:w="679" w:type="pct"/>
                  <w:tcBorders>
                    <w:tl2br w:val="nil"/>
                    <w:tr2bl w:val="nil"/>
                  </w:tcBorders>
                  <w:noWrap w:val="0"/>
                  <w:vAlign w:val="center"/>
                </w:tcPr>
                <w:p>
                  <w:pPr>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6</w:t>
                  </w:r>
                  <w:r>
                    <w:rPr>
                      <w:rFonts w:hint="default" w:ascii="Times New Roman" w:hAnsi="Times New Roman" w:cs="Times New Roman"/>
                      <w:sz w:val="21"/>
                      <w:szCs w:val="21"/>
                      <w:u w:val="none" w:color="auto"/>
                      <w:lang w:eastAsia="zh-CN"/>
                    </w:rPr>
                    <w:t>.</w:t>
                  </w:r>
                  <w:r>
                    <w:rPr>
                      <w:rFonts w:ascii="Times New Roman" w:hAnsi="Times New Roman" w:cs="Times New Roman"/>
                      <w:sz w:val="21"/>
                      <w:szCs w:val="21"/>
                      <w:u w:val="none" w:color="auto"/>
                    </w:rPr>
                    <w:t>56</w:t>
                  </w:r>
                </w:p>
              </w:tc>
            </w:tr>
          </w:tbl>
          <w:p>
            <w:pPr>
              <w:bidi w:val="0"/>
              <w:rPr>
                <w:rFonts w:hint="default" w:ascii="Times New Roman" w:hAnsi="Times New Roman" w:cs="Times New Roman"/>
                <w:u w:val="none" w:color="auto"/>
              </w:rPr>
            </w:pPr>
            <w:r>
              <w:rPr>
                <w:rFonts w:hint="default" w:ascii="Times New Roman" w:hAnsi="Times New Roman" w:cs="Times New Roman"/>
                <w:u w:val="none" w:color="auto"/>
              </w:rPr>
              <w:t>柴油发电机为备用电源，功率为</w:t>
            </w:r>
            <w:r>
              <w:rPr>
                <w:rFonts w:hint="default" w:ascii="Times New Roman" w:hAnsi="Times New Roman" w:cs="Times New Roman"/>
                <w:u w:val="none" w:color="auto"/>
                <w:lang w:val="en-US" w:eastAsia="zh-CN"/>
              </w:rPr>
              <w:t>20</w:t>
            </w:r>
            <w:r>
              <w:rPr>
                <w:rFonts w:hint="default" w:ascii="Times New Roman" w:hAnsi="Times New Roman" w:cs="Times New Roman"/>
                <w:u w:val="none" w:color="auto"/>
              </w:rPr>
              <w:t>kW，</w:t>
            </w:r>
            <w:r>
              <w:rPr>
                <w:rFonts w:ascii="Times New Roman" w:hAnsi="Times New Roman" w:cs="Times New Roman"/>
                <w:u w:val="none" w:color="auto"/>
              </w:rPr>
              <w:t>平时不使用，仅作为应急发电用，年使用按</w:t>
            </w:r>
            <w:r>
              <w:rPr>
                <w:rFonts w:hint="default" w:ascii="Times New Roman" w:hAnsi="Times New Roman" w:cs="Times New Roman"/>
                <w:u w:val="none" w:color="auto"/>
              </w:rPr>
              <w:t>20</w:t>
            </w:r>
            <w:r>
              <w:rPr>
                <w:rFonts w:ascii="Times New Roman" w:hAnsi="Times New Roman" w:cs="Times New Roman"/>
                <w:u w:val="none" w:color="auto"/>
              </w:rPr>
              <w:t>小时计</w:t>
            </w:r>
            <w:r>
              <w:rPr>
                <w:rFonts w:hint="default" w:ascii="Times New Roman" w:hAnsi="Times New Roman" w:cs="Times New Roman"/>
                <w:u w:val="none" w:color="auto"/>
              </w:rPr>
              <w:t>。</w:t>
            </w:r>
            <w:r>
              <w:rPr>
                <w:rFonts w:ascii="Times New Roman" w:hAnsi="Times New Roman" w:cs="Times New Roman"/>
                <w:u w:val="none" w:color="auto"/>
              </w:rPr>
              <w:t>根据环评工程师注册培训教材《社会区域》给出的计算参数：单位电量耗油量</w:t>
            </w:r>
            <w:r>
              <w:rPr>
                <w:rFonts w:hint="default" w:ascii="Times New Roman" w:hAnsi="Times New Roman" w:cs="Times New Roman"/>
                <w:u w:val="none" w:color="auto"/>
              </w:rPr>
              <w:t>以</w:t>
            </w:r>
            <w:r>
              <w:rPr>
                <w:rFonts w:ascii="Times New Roman" w:hAnsi="Times New Roman" w:cs="Times New Roman"/>
                <w:u w:val="none" w:color="auto"/>
              </w:rPr>
              <w:t>212.5g/kWh计</w:t>
            </w:r>
            <w:r>
              <w:rPr>
                <w:rFonts w:hint="default" w:ascii="Times New Roman" w:hAnsi="Times New Roman" w:cs="Times New Roman"/>
                <w:u w:val="none" w:color="auto"/>
              </w:rPr>
              <w:t>，</w:t>
            </w:r>
            <w:r>
              <w:rPr>
                <w:rFonts w:ascii="Times New Roman" w:hAnsi="Times New Roman" w:cs="Times New Roman"/>
                <w:u w:val="none" w:color="auto"/>
              </w:rPr>
              <w:t>则本项目</w:t>
            </w:r>
            <w:r>
              <w:rPr>
                <w:rFonts w:hint="default" w:ascii="Times New Roman" w:hAnsi="Times New Roman" w:cs="Times New Roman"/>
                <w:u w:val="none" w:color="auto"/>
              </w:rPr>
              <w:t>备用柴油发电机</w:t>
            </w:r>
            <w:r>
              <w:rPr>
                <w:rFonts w:ascii="Times New Roman" w:hAnsi="Times New Roman" w:cs="Times New Roman"/>
                <w:u w:val="none" w:color="auto"/>
              </w:rPr>
              <w:t>每小时耗油量为</w:t>
            </w:r>
            <w:r>
              <w:rPr>
                <w:rFonts w:hint="default" w:ascii="Times New Roman" w:hAnsi="Times New Roman" w:cs="Times New Roman"/>
                <w:u w:val="none" w:color="auto"/>
                <w:lang w:val="en-US" w:eastAsia="zh-CN"/>
              </w:rPr>
              <w:t>4.25</w:t>
            </w:r>
            <w:r>
              <w:rPr>
                <w:rFonts w:ascii="Times New Roman" w:hAnsi="Times New Roman" w:cs="Times New Roman"/>
                <w:u w:val="none" w:color="auto"/>
              </w:rPr>
              <w:t>kg，年耗油量为</w:t>
            </w:r>
            <w:r>
              <w:rPr>
                <w:rFonts w:hint="default" w:ascii="Times New Roman" w:hAnsi="Times New Roman" w:cs="Times New Roman"/>
                <w:u w:val="none" w:color="auto"/>
                <w:lang w:val="en-US" w:eastAsia="zh-CN"/>
              </w:rPr>
              <w:t>85kg</w:t>
            </w:r>
            <w:r>
              <w:rPr>
                <w:rFonts w:ascii="Times New Roman" w:hAnsi="Times New Roman" w:cs="Times New Roman"/>
                <w:u w:val="none" w:color="auto"/>
              </w:rPr>
              <w:t>。根据表</w:t>
            </w:r>
            <w:r>
              <w:rPr>
                <w:rFonts w:hint="default" w:ascii="Times New Roman" w:hAnsi="Times New Roman" w:cs="Times New Roman"/>
                <w:u w:val="none" w:color="auto"/>
                <w:lang w:val="en-US" w:eastAsia="zh-CN"/>
              </w:rPr>
              <w:t>4.2-7</w:t>
            </w:r>
            <w:r>
              <w:rPr>
                <w:rFonts w:ascii="Times New Roman" w:hAnsi="Times New Roman" w:cs="Times New Roman"/>
                <w:u w:val="none" w:color="auto"/>
              </w:rPr>
              <w:t>可知，本项目产生废气量为</w:t>
            </w:r>
            <w:r>
              <w:rPr>
                <w:rFonts w:hint="default" w:ascii="Times New Roman" w:hAnsi="Times New Roman" w:cs="Times New Roman"/>
                <w:u w:val="none" w:color="auto"/>
                <w:lang w:val="en-US" w:eastAsia="zh-CN"/>
              </w:rPr>
              <w:t>947.92</w:t>
            </w:r>
            <w:r>
              <w:rPr>
                <w:rFonts w:hint="default" w:ascii="Times New Roman" w:hAnsi="Times New Roman" w:cs="Times New Roman"/>
                <w:u w:val="none" w:color="auto"/>
              </w:rPr>
              <w:t>m</w:t>
            </w:r>
            <w:r>
              <w:rPr>
                <w:rFonts w:hint="default" w:ascii="Times New Roman" w:hAnsi="Times New Roman" w:cs="Times New Roman"/>
                <w:u w:val="none" w:color="auto"/>
                <w:vertAlign w:val="superscript"/>
              </w:rPr>
              <w:t>3</w:t>
            </w:r>
            <w:r>
              <w:rPr>
                <w:rFonts w:hint="default" w:ascii="Times New Roman" w:hAnsi="Times New Roman" w:cs="Times New Roman"/>
                <w:u w:val="none" w:color="auto"/>
              </w:rPr>
              <w:t>/a，烟尘产生量为</w:t>
            </w:r>
            <w:r>
              <w:rPr>
                <w:rFonts w:hint="default" w:ascii="Times New Roman" w:hAnsi="Times New Roman" w:cs="Times New Roman"/>
                <w:u w:val="none" w:color="auto"/>
                <w:lang w:val="en-US" w:eastAsia="zh-CN"/>
              </w:rPr>
              <w:t>0.02125</w:t>
            </w:r>
            <w:r>
              <w:rPr>
                <w:rFonts w:hint="default" w:ascii="Times New Roman" w:hAnsi="Times New Roman" w:cs="Times New Roman"/>
                <w:u w:val="none" w:color="auto"/>
              </w:rPr>
              <w:t>kg/a，二氧化硫产生量为</w:t>
            </w:r>
            <w:r>
              <w:rPr>
                <w:rFonts w:hint="default" w:ascii="Times New Roman" w:hAnsi="Times New Roman" w:cs="Times New Roman"/>
                <w:u w:val="none" w:color="auto"/>
                <w:lang w:val="en-US" w:eastAsia="zh-CN"/>
              </w:rPr>
              <w:t>0.35785</w:t>
            </w:r>
            <w:r>
              <w:rPr>
                <w:rFonts w:hint="default" w:ascii="Times New Roman" w:hAnsi="Times New Roman" w:cs="Times New Roman"/>
                <w:u w:val="none" w:color="auto"/>
              </w:rPr>
              <w:t>kg/a，氮氧化物产生量为</w:t>
            </w:r>
            <w:r>
              <w:rPr>
                <w:rFonts w:hint="default" w:ascii="Times New Roman" w:hAnsi="Times New Roman" w:cs="Times New Roman"/>
                <w:u w:val="none" w:color="auto"/>
                <w:lang w:val="en-US" w:eastAsia="zh-CN"/>
              </w:rPr>
              <w:t>0.5576</w:t>
            </w:r>
            <w:r>
              <w:rPr>
                <w:rFonts w:hint="default" w:ascii="Times New Roman" w:hAnsi="Times New Roman" w:cs="Times New Roman"/>
                <w:u w:val="none" w:color="auto"/>
              </w:rPr>
              <w:t>kg/a</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备用柴油发电机</w:t>
            </w:r>
            <w:r>
              <w:rPr>
                <w:rFonts w:ascii="Times New Roman" w:hAnsi="Times New Roman" w:cs="Times New Roman"/>
                <w:u w:val="none" w:color="auto"/>
              </w:rPr>
              <w:t>废气</w:t>
            </w:r>
            <w:r>
              <w:rPr>
                <w:rFonts w:hint="default" w:ascii="Times New Roman" w:hAnsi="Times New Roman" w:cs="Times New Roman"/>
                <w:u w:val="none" w:color="auto"/>
                <w:lang w:val="en-US" w:eastAsia="zh-CN"/>
              </w:rPr>
              <w:t>经专用排气管道引至屋顶排放</w:t>
            </w:r>
            <w:r>
              <w:rPr>
                <w:rFonts w:hint="default" w:ascii="Times New Roman" w:hAnsi="Times New Roman" w:cs="Times New Roman"/>
                <w:u w:val="none" w:color="auto"/>
              </w:rPr>
              <w:t>。</w:t>
            </w:r>
          </w:p>
          <w:p>
            <w:pPr>
              <w:rPr>
                <w:rFonts w:hint="eastAsia" w:eastAsia="宋体"/>
                <w:u w:val="single" w:color="auto"/>
                <w:lang w:eastAsia="zh-CN"/>
              </w:rPr>
            </w:pPr>
            <w:r>
              <w:rPr>
                <w:rFonts w:hint="eastAsia"/>
                <w:u w:val="single" w:color="auto"/>
                <w:lang w:eastAsia="zh-CN"/>
              </w:rPr>
              <w:t>（</w:t>
            </w:r>
            <w:r>
              <w:rPr>
                <w:rFonts w:hint="eastAsia"/>
                <w:u w:val="single" w:color="auto"/>
                <w:lang w:val="en-US" w:eastAsia="zh-CN"/>
              </w:rPr>
              <w:t>5</w:t>
            </w:r>
            <w:r>
              <w:rPr>
                <w:rFonts w:hint="eastAsia"/>
                <w:u w:val="single" w:color="auto"/>
                <w:lang w:eastAsia="zh-CN"/>
              </w:rPr>
              <w:t>）</w:t>
            </w:r>
            <w:r>
              <w:rPr>
                <w:rFonts w:hint="eastAsia" w:cs="Times New Roman"/>
                <w:color w:val="auto"/>
                <w:u w:val="single" w:color="auto"/>
                <w:lang w:val="en-US" w:eastAsia="zh-CN"/>
              </w:rPr>
              <w:t>生物质燃料投料废气</w:t>
            </w:r>
          </w:p>
          <w:p>
            <w:pPr>
              <w:rPr>
                <w:rFonts w:hint="default"/>
                <w:u w:val="single" w:color="auto"/>
                <w:lang w:val="en-US"/>
              </w:rPr>
            </w:pPr>
            <w:r>
              <w:rPr>
                <w:rFonts w:hint="eastAsia"/>
                <w:u w:val="single" w:color="auto"/>
                <w:lang w:eastAsia="zh-CN"/>
              </w:rPr>
              <w:t>“</w:t>
            </w:r>
            <w:r>
              <w:rPr>
                <w:rFonts w:hint="default"/>
                <w:u w:val="single" w:color="auto"/>
              </w:rPr>
              <w:t>生物质成型燃料</w:t>
            </w:r>
            <w:r>
              <w:rPr>
                <w:rFonts w:hint="eastAsia"/>
                <w:u w:val="single" w:color="auto"/>
                <w:lang w:eastAsia="zh-CN"/>
              </w:rPr>
              <w:t>”</w:t>
            </w:r>
            <w:r>
              <w:rPr>
                <w:rFonts w:hint="default"/>
                <w:u w:val="single" w:color="auto"/>
              </w:rPr>
              <w:t>是以农林剩余物为主原料，经切片</w:t>
            </w:r>
            <w:r>
              <w:rPr>
                <w:rFonts w:hint="eastAsia"/>
                <w:u w:val="single" w:color="auto"/>
                <w:lang w:val="en-US" w:eastAsia="zh-CN"/>
              </w:rPr>
              <w:t>-</w:t>
            </w:r>
            <w:r>
              <w:rPr>
                <w:rFonts w:hint="default"/>
                <w:u w:val="single" w:color="auto"/>
              </w:rPr>
              <w:t>粉碎-除杂-精粉-筛选-混合-软化-调质-挤压-烘干-冷却-质检-包装等工艺，最后制成成型环保燃料，成型后的成型燃料体积小，比重大，密度大</w:t>
            </w:r>
            <w:r>
              <w:rPr>
                <w:rFonts w:hint="eastAsia"/>
                <w:u w:val="single" w:color="auto"/>
                <w:lang w:eastAsia="zh-CN"/>
              </w:rPr>
              <w:t>，</w:t>
            </w:r>
            <w:r>
              <w:rPr>
                <w:rFonts w:hint="eastAsia"/>
                <w:u w:val="single" w:color="auto"/>
                <w:lang w:val="en-US" w:eastAsia="zh-CN"/>
              </w:rPr>
              <w:t>因此投料产生的粉尘极小，可忽略不计，且绝大部分为无组织排放。</w:t>
            </w:r>
          </w:p>
          <w:p>
            <w:pPr>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）蒸汽发生器废气</w:t>
            </w:r>
          </w:p>
          <w:p>
            <w:pPr>
              <w:ind w:firstLine="480"/>
              <w:rPr>
                <w:rFonts w:ascii="Times New Roman" w:hAnsi="Times New Roman" w:cs="Times New Roman"/>
                <w:u w:val="none" w:color="auto"/>
                <w:lang w:val="en-US" w:bidi="ar"/>
              </w:rPr>
            </w:pPr>
            <w:r>
              <w:rPr>
                <w:rFonts w:hint="default" w:ascii="Times New Roman" w:hAnsi="Times New Roman" w:cs="Times New Roman"/>
                <w:u w:val="none" w:color="auto"/>
              </w:rPr>
              <w:t>本项目生产所需热蒸汽由</w:t>
            </w:r>
            <w:r>
              <w:rPr>
                <w:rFonts w:ascii="Times New Roman" w:hAnsi="Times New Roman" w:cs="Times New Roman"/>
                <w:u w:val="none" w:color="auto"/>
              </w:rPr>
              <w:t>1</w:t>
            </w:r>
            <w:r>
              <w:rPr>
                <w:rFonts w:hint="default" w:ascii="Times New Roman" w:hAnsi="Times New Roman" w:cs="Times New Roman"/>
                <w:u w:val="none" w:color="auto"/>
              </w:rPr>
              <w:t>台</w:t>
            </w:r>
            <w:r>
              <w:rPr>
                <w:rFonts w:hint="default" w:ascii="Times New Roman" w:hAnsi="Times New Roman" w:cs="Times New Roman"/>
                <w:u w:val="none" w:color="auto"/>
                <w:lang w:val="en-US" w:eastAsia="zh-CN"/>
              </w:rPr>
              <w:t>0.7</w:t>
            </w:r>
            <w:r>
              <w:rPr>
                <w:rFonts w:ascii="Times New Roman" w:hAnsi="Times New Roman" w:cs="Times New Roman"/>
                <w:u w:val="none" w:color="auto"/>
              </w:rPr>
              <w:t>t/h</w:t>
            </w:r>
            <w:r>
              <w:rPr>
                <w:rFonts w:hint="default" w:ascii="Times New Roman" w:hAnsi="Times New Roman" w:cs="Times New Roman"/>
                <w:u w:val="none" w:color="auto"/>
              </w:rPr>
              <w:t>的生物质蒸汽</w:t>
            </w:r>
            <w:r>
              <w:rPr>
                <w:rFonts w:hint="default" w:ascii="Times New Roman" w:hAnsi="Times New Roman" w:cs="Times New Roman"/>
                <w:color w:val="auto"/>
                <w:u w:val="none" w:color="auto"/>
                <w:lang w:val="en-US" w:eastAsia="zh-CN"/>
              </w:rPr>
              <w:t>发生器</w:t>
            </w:r>
            <w:r>
              <w:rPr>
                <w:rFonts w:hint="default" w:ascii="Times New Roman" w:hAnsi="Times New Roman" w:cs="Times New Roman"/>
                <w:u w:val="none" w:color="auto"/>
              </w:rPr>
              <w:t>供热。根据企业提供的</w:t>
            </w:r>
            <w:r>
              <w:rPr>
                <w:rFonts w:hint="default" w:ascii="Times New Roman" w:hAnsi="Times New Roman" w:cs="Times New Roman"/>
                <w:u w:val="none" w:color="auto"/>
                <w:lang w:val="en-US" w:eastAsia="zh-CN"/>
              </w:rPr>
              <w:t>设备参数</w:t>
            </w:r>
            <w:r>
              <w:rPr>
                <w:rFonts w:hint="default" w:ascii="Times New Roman" w:hAnsi="Times New Roman" w:cs="Times New Roman"/>
                <w:u w:val="none" w:color="auto"/>
              </w:rPr>
              <w:t>资料，本项目年耗压缩成型生物质燃料</w:t>
            </w:r>
            <w:r>
              <w:rPr>
                <w:rFonts w:hint="eastAsia" w:cs="Times New Roman"/>
                <w:u w:val="none" w:color="auto"/>
                <w:lang w:val="en-US" w:eastAsia="zh-CN"/>
              </w:rPr>
              <w:t>为300</w:t>
            </w:r>
            <w:r>
              <w:rPr>
                <w:rFonts w:ascii="Times New Roman" w:hAnsi="Times New Roman" w:cs="Times New Roman"/>
                <w:u w:val="none" w:color="auto"/>
              </w:rPr>
              <w:t>t</w:t>
            </w:r>
            <w:r>
              <w:rPr>
                <w:rFonts w:hint="eastAsia" w:cs="Times New Roman"/>
                <w:u w:val="none" w:color="auto"/>
                <w:lang w:val="en-US" w:eastAsia="zh-CN"/>
              </w:rPr>
              <w:t>/a</w:t>
            </w:r>
            <w:r>
              <w:rPr>
                <w:rFonts w:hint="default" w:ascii="Times New Roman" w:hAnsi="Times New Roman" w:cs="Times New Roman"/>
                <w:u w:val="none" w:color="auto"/>
              </w:rPr>
              <w:t>。</w:t>
            </w:r>
            <w:r>
              <w:rPr>
                <w:rFonts w:hint="default" w:ascii="Times New Roman" w:hAnsi="Times New Roman" w:cs="Times New Roman"/>
                <w:highlight w:val="none"/>
                <w:u w:val="none" w:color="auto"/>
              </w:rPr>
              <w:t>其中成型生物质颗粒中硫分</w:t>
            </w:r>
            <w:r>
              <w:rPr>
                <w:rFonts w:ascii="Times New Roman" w:hAnsi="Times New Roman" w:cs="Times New Roman"/>
                <w:highlight w:val="none"/>
                <w:u w:val="none" w:color="auto"/>
              </w:rPr>
              <w:t>0.03%</w:t>
            </w:r>
            <w:r>
              <w:rPr>
                <w:rFonts w:hint="default" w:ascii="Times New Roman" w:hAnsi="Times New Roman" w:cs="Times New Roman"/>
                <w:highlight w:val="none"/>
                <w:u w:val="none" w:color="auto"/>
              </w:rPr>
              <w:t>，灰分所占比例平均为</w:t>
            </w:r>
            <w:r>
              <w:rPr>
                <w:rFonts w:ascii="Times New Roman" w:hAnsi="Times New Roman" w:cs="Times New Roman"/>
                <w:highlight w:val="none"/>
                <w:u w:val="none" w:color="auto"/>
              </w:rPr>
              <w:t>5.0%</w:t>
            </w:r>
            <w:r>
              <w:rPr>
                <w:rFonts w:hint="default" w:ascii="Times New Roman" w:hAnsi="Times New Roman" w:cs="Times New Roman"/>
                <w:highlight w:val="none"/>
                <w:u w:val="none" w:color="auto"/>
              </w:rPr>
              <w:t>。锅炉烟气中主要污染物为烟尘、</w:t>
            </w:r>
            <w:r>
              <w:rPr>
                <w:rFonts w:ascii="Times New Roman" w:hAnsi="Times New Roman" w:cs="Times New Roman"/>
                <w:highlight w:val="none"/>
                <w:u w:val="none" w:color="auto"/>
              </w:rPr>
              <w:t>SO</w:t>
            </w:r>
            <w:r>
              <w:rPr>
                <w:rFonts w:ascii="Times New Roman" w:hAnsi="Times New Roman" w:cs="Times New Roman"/>
                <w:highlight w:val="none"/>
                <w:u w:val="none" w:color="auto"/>
                <w:vertAlign w:val="subscript"/>
              </w:rPr>
              <w:t>2</w:t>
            </w:r>
            <w:r>
              <w:rPr>
                <w:rFonts w:hint="default" w:ascii="Times New Roman" w:hAnsi="Times New Roman" w:cs="Times New Roman"/>
                <w:highlight w:val="none"/>
                <w:u w:val="none" w:color="auto"/>
              </w:rPr>
              <w:t>、</w:t>
            </w:r>
            <w:r>
              <w:rPr>
                <w:rFonts w:ascii="Times New Roman" w:hAnsi="Times New Roman" w:cs="Times New Roman"/>
                <w:highlight w:val="none"/>
                <w:u w:val="none" w:color="auto"/>
              </w:rPr>
              <w:t>NOx</w:t>
            </w:r>
            <w:r>
              <w:rPr>
                <w:rFonts w:hint="default" w:ascii="Times New Roman" w:hAnsi="Times New Roman" w:cs="Times New Roman"/>
                <w:highlight w:val="none"/>
                <w:u w:val="none" w:color="auto"/>
              </w:rPr>
              <w:t>。</w:t>
            </w:r>
            <w:r>
              <w:rPr>
                <w:rFonts w:hint="default" w:ascii="Times New Roman" w:hAnsi="Times New Roman" w:cs="Times New Roman"/>
                <w:highlight w:val="none"/>
                <w:u w:val="none" w:color="auto"/>
                <w:lang w:bidi="ar"/>
              </w:rPr>
              <w:t>锅炉全年运行</w:t>
            </w:r>
            <w:r>
              <w:rPr>
                <w:rFonts w:ascii="Times New Roman" w:hAnsi="Times New Roman" w:cs="Times New Roman"/>
                <w:highlight w:val="none"/>
                <w:u w:val="none" w:color="auto"/>
                <w:lang w:bidi="ar"/>
              </w:rPr>
              <w:t>36</w:t>
            </w:r>
            <w:r>
              <w:rPr>
                <w:rFonts w:hint="default" w:ascii="Times New Roman" w:hAnsi="Times New Roman" w:cs="Times New Roman"/>
                <w:highlight w:val="none"/>
                <w:u w:val="none" w:color="auto"/>
                <w:lang w:val="en-US" w:eastAsia="zh-CN" w:bidi="ar"/>
              </w:rPr>
              <w:t>0</w:t>
            </w:r>
            <w:r>
              <w:rPr>
                <w:rFonts w:hint="default" w:ascii="Times New Roman" w:hAnsi="Times New Roman" w:cs="Times New Roman"/>
                <w:highlight w:val="none"/>
                <w:u w:val="none" w:color="auto"/>
                <w:lang w:bidi="ar"/>
              </w:rPr>
              <w:t>天</w:t>
            </w:r>
            <w:r>
              <w:rPr>
                <w:rFonts w:hint="default" w:ascii="Times New Roman" w:hAnsi="Times New Roman" w:cs="Times New Roman"/>
                <w:highlight w:val="none"/>
                <w:u w:val="none" w:color="auto"/>
                <w:lang w:eastAsia="zh-CN" w:bidi="ar"/>
              </w:rPr>
              <w:t>，</w:t>
            </w:r>
            <w:r>
              <w:rPr>
                <w:rFonts w:hint="default" w:ascii="Times New Roman" w:hAnsi="Times New Roman" w:cs="Times New Roman"/>
                <w:highlight w:val="none"/>
                <w:u w:val="none" w:color="auto"/>
                <w:lang w:bidi="ar"/>
              </w:rPr>
              <w:t>锅炉工作时间按</w:t>
            </w:r>
            <w:r>
              <w:rPr>
                <w:rFonts w:hint="default" w:ascii="Times New Roman" w:hAnsi="Times New Roman" w:cs="Times New Roman"/>
                <w:highlight w:val="none"/>
                <w:u w:val="none" w:color="auto"/>
                <w:lang w:val="en-US" w:eastAsia="zh-CN" w:bidi="ar"/>
              </w:rPr>
              <w:t>5</w:t>
            </w:r>
            <w:r>
              <w:rPr>
                <w:rFonts w:ascii="Times New Roman" w:hAnsi="Times New Roman" w:cs="Times New Roman"/>
                <w:highlight w:val="none"/>
                <w:u w:val="none" w:color="auto"/>
                <w:lang w:bidi="ar"/>
              </w:rPr>
              <w:t>h/d</w:t>
            </w:r>
            <w:r>
              <w:rPr>
                <w:rFonts w:hint="default" w:ascii="Times New Roman" w:hAnsi="Times New Roman" w:cs="Times New Roman"/>
                <w:highlight w:val="none"/>
                <w:u w:val="none" w:color="auto"/>
                <w:lang w:bidi="ar"/>
              </w:rPr>
              <w:t>（</w:t>
            </w:r>
            <w:r>
              <w:rPr>
                <w:rFonts w:hint="default" w:ascii="Times New Roman" w:hAnsi="Times New Roman" w:cs="Times New Roman"/>
                <w:highlight w:val="none"/>
                <w:u w:val="none" w:color="auto"/>
                <w:lang w:val="en-US" w:eastAsia="zh-CN" w:bidi="ar"/>
              </w:rPr>
              <w:t>1800</w:t>
            </w:r>
            <w:r>
              <w:rPr>
                <w:rFonts w:ascii="Times New Roman" w:hAnsi="Times New Roman" w:cs="Times New Roman"/>
                <w:highlight w:val="none"/>
                <w:u w:val="none" w:color="auto"/>
                <w:lang w:bidi="ar"/>
              </w:rPr>
              <w:t>h/a</w:t>
            </w:r>
            <w:r>
              <w:rPr>
                <w:rFonts w:hint="default" w:ascii="Times New Roman" w:hAnsi="Times New Roman" w:cs="Times New Roman"/>
                <w:highlight w:val="none"/>
                <w:u w:val="none" w:color="auto"/>
                <w:lang w:bidi="ar"/>
              </w:rPr>
              <w:t>）</w:t>
            </w:r>
            <w:r>
              <w:rPr>
                <w:rFonts w:hint="default" w:ascii="Times New Roman" w:hAnsi="Times New Roman" w:cs="Times New Roman"/>
                <w:highlight w:val="none"/>
                <w:u w:val="none" w:color="auto"/>
              </w:rPr>
              <w:t>。</w:t>
            </w:r>
          </w:p>
          <w:p>
            <w:pPr>
              <w:ind w:firstLine="480"/>
              <w:rPr>
                <w:rFonts w:hint="default" w:ascii="Times New Roman" w:hAnsi="Times New Roman" w:cs="Times New Roman"/>
                <w:color w:val="auto"/>
                <w:u w:val="none" w:color="auto"/>
                <w:lang w:val="en-US"/>
              </w:rPr>
            </w:pPr>
            <w:r>
              <w:rPr>
                <w:rFonts w:hint="default" w:ascii="Times New Roman" w:hAnsi="Times New Roman" w:cs="Times New Roman"/>
                <w:u w:val="none" w:color="auto"/>
              </w:rPr>
              <w:t>锅炉</w:t>
            </w:r>
            <w:r>
              <w:rPr>
                <w:rFonts w:hint="default" w:ascii="Times New Roman" w:hAnsi="Times New Roman" w:cs="Times New Roman"/>
                <w:u w:val="none" w:color="auto"/>
                <w:lang w:val="sq-AL"/>
              </w:rPr>
              <w:t>废气采用</w:t>
            </w:r>
            <w:r>
              <w:rPr>
                <w:rFonts w:hint="default" w:ascii="Times New Roman" w:hAnsi="Times New Roman" w:cs="Times New Roman"/>
                <w:u w:val="none" w:color="auto"/>
                <w:lang w:val="en-US" w:eastAsia="zh-CN"/>
              </w:rPr>
              <w:t>低氮燃烧、湿式除尘</w:t>
            </w:r>
            <w:r>
              <w:rPr>
                <w:rFonts w:ascii="Times New Roman" w:hAnsi="Times New Roman" w:cs="Times New Roman"/>
                <w:u w:val="none" w:color="auto"/>
              </w:rPr>
              <w:t>技术</w:t>
            </w:r>
            <w:r>
              <w:rPr>
                <w:rFonts w:hint="default" w:ascii="Times New Roman" w:hAnsi="Times New Roman" w:cs="Times New Roman"/>
                <w:u w:val="none" w:color="auto"/>
                <w:lang w:val="sq-AL"/>
              </w:rPr>
              <w:t>处理后通过</w:t>
            </w:r>
            <w:r>
              <w:rPr>
                <w:rFonts w:ascii="Times New Roman" w:hAnsi="Times New Roman" w:cs="Times New Roman"/>
                <w:u w:val="none" w:color="auto"/>
                <w:lang w:val="sq-AL"/>
              </w:rPr>
              <w:t>20m</w:t>
            </w:r>
            <w:r>
              <w:rPr>
                <w:rFonts w:hint="default" w:ascii="Times New Roman" w:hAnsi="Times New Roman" w:cs="Times New Roman"/>
                <w:u w:val="none" w:color="auto"/>
                <w:lang w:val="en-US"/>
              </w:rPr>
              <w:t>排气筒</w:t>
            </w:r>
            <w:r>
              <w:rPr>
                <w:rFonts w:hint="default" w:ascii="Times New Roman" w:hAnsi="Times New Roman" w:cs="Times New Roman"/>
                <w:u w:val="none" w:color="auto"/>
                <w:lang w:val="sq-AL"/>
              </w:rPr>
              <w:t>排放。根据</w:t>
            </w:r>
            <w:r>
              <w:rPr>
                <w:rFonts w:hint="default" w:ascii="Times New Roman" w:hAnsi="Times New Roman" w:cs="Times New Roman"/>
                <w:u w:val="none" w:color="auto"/>
                <w:lang w:val="en-US"/>
              </w:rPr>
              <w:t>《排放源统计调查产排污核算方法和系数手册》</w:t>
            </w:r>
            <w:r>
              <w:rPr>
                <w:rFonts w:ascii="Times New Roman" w:hAnsi="Times New Roman" w:cs="Times New Roman"/>
                <w:u w:val="none" w:color="auto"/>
              </w:rPr>
              <w:t>4430</w:t>
            </w:r>
            <w:r>
              <w:rPr>
                <w:rFonts w:hint="default" w:ascii="Times New Roman" w:hAnsi="Times New Roman" w:cs="Times New Roman"/>
                <w:u w:val="none" w:color="auto"/>
              </w:rPr>
              <w:t>工业锅炉（热力供应）行业系数手册4</w:t>
            </w:r>
            <w:r>
              <w:rPr>
                <w:rFonts w:ascii="Times New Roman" w:hAnsi="Times New Roman" w:cs="Times New Roman"/>
                <w:u w:val="none" w:color="auto"/>
              </w:rPr>
              <w:t xml:space="preserve">430 </w:t>
            </w:r>
            <w:r>
              <w:rPr>
                <w:rFonts w:hint="default" w:ascii="Times New Roman" w:hAnsi="Times New Roman" w:cs="Times New Roman"/>
                <w:u w:val="none" w:color="auto"/>
              </w:rPr>
              <w:t>工业锅炉（热力生产和供应行业）产污系数表</w:t>
            </w:r>
            <w:r>
              <w:rPr>
                <w:rFonts w:ascii="Times New Roman" w:hAnsi="Times New Roman" w:cs="Times New Roman"/>
                <w:u w:val="none" w:color="auto"/>
              </w:rPr>
              <w:t>-</w:t>
            </w:r>
            <w:r>
              <w:rPr>
                <w:rFonts w:hint="default" w:ascii="Times New Roman" w:hAnsi="Times New Roman" w:cs="Times New Roman"/>
                <w:u w:val="none" w:color="auto"/>
              </w:rPr>
              <w:t>生物质工业锅炉，本项目生物质燃烧废气产生情况见下表，</w:t>
            </w:r>
            <w:r>
              <w:rPr>
                <w:rFonts w:hint="default" w:ascii="Times New Roman" w:hAnsi="Times New Roman" w:cs="Times New Roman"/>
                <w:u w:val="none" w:color="auto"/>
                <w:lang w:val="en-US" w:eastAsia="zh-CN"/>
              </w:rPr>
              <w:t>二氧化硫、</w:t>
            </w:r>
            <w:r>
              <w:rPr>
                <w:rFonts w:hint="default" w:ascii="Times New Roman" w:hAnsi="Times New Roman" w:cs="Times New Roman"/>
                <w:u w:val="none" w:color="auto"/>
              </w:rPr>
              <w:t>颗粒物采用</w:t>
            </w:r>
            <w:r>
              <w:rPr>
                <w:rFonts w:hint="default" w:ascii="Times New Roman" w:hAnsi="Times New Roman" w:cs="Times New Roman"/>
                <w:u w:val="none" w:color="auto"/>
                <w:lang w:val="en-US" w:eastAsia="zh-CN"/>
              </w:rPr>
              <w:t>湿式除尘</w:t>
            </w:r>
            <w:r>
              <w:rPr>
                <w:rFonts w:hint="default" w:ascii="Times New Roman" w:hAnsi="Times New Roman" w:cs="Times New Roman"/>
                <w:u w:val="none" w:color="auto"/>
                <w:lang w:val="en-US"/>
              </w:rPr>
              <w:t>技术，去除效率</w:t>
            </w:r>
            <w:r>
              <w:rPr>
                <w:rFonts w:hint="default" w:ascii="Times New Roman" w:hAnsi="Times New Roman" w:cs="Times New Roman"/>
                <w:u w:val="none" w:color="auto"/>
                <w:lang w:val="en-US" w:eastAsia="zh-CN"/>
              </w:rPr>
              <w:t>分别</w:t>
            </w:r>
            <w:r>
              <w:rPr>
                <w:rFonts w:hint="default" w:ascii="Times New Roman" w:hAnsi="Times New Roman" w:cs="Times New Roman"/>
                <w:u w:val="none" w:color="auto"/>
                <w:lang w:val="en-US"/>
              </w:rPr>
              <w:t>取</w:t>
            </w:r>
            <w:r>
              <w:rPr>
                <w:rFonts w:hint="default" w:ascii="Times New Roman" w:hAnsi="Times New Roman" w:cs="Times New Roman"/>
                <w:u w:val="none" w:color="auto"/>
                <w:lang w:val="en-US" w:eastAsia="zh-CN"/>
              </w:rPr>
              <w:t>15%、87</w:t>
            </w:r>
            <w:r>
              <w:rPr>
                <w:rFonts w:ascii="Times New Roman" w:hAnsi="Times New Roman" w:cs="Times New Roman"/>
                <w:u w:val="none" w:color="auto"/>
                <w:lang w:val="en-US"/>
              </w:rPr>
              <w:t>%</w:t>
            </w:r>
            <w:r>
              <w:rPr>
                <w:rFonts w:hint="default" w:ascii="Times New Roman" w:hAnsi="Times New Roman" w:cs="Times New Roman"/>
                <w:u w:val="none" w:color="auto"/>
                <w:lang w:val="en-US"/>
              </w:rPr>
              <w:t>。</w:t>
            </w:r>
          </w:p>
          <w:p>
            <w:pPr>
              <w:ind w:firstLine="48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表</w:t>
            </w:r>
            <w:r>
              <w:rPr>
                <w:rFonts w:hint="eastAsia" w:ascii="Times New Roman" w:hAnsi="Times New Roman" w:cs="Times New Roman"/>
                <w:b/>
                <w:bCs/>
                <w:sz w:val="21"/>
                <w:szCs w:val="21"/>
                <w:u w:val="none" w:color="auto"/>
                <w:lang w:val="en-US" w:eastAsia="zh-CN"/>
              </w:rPr>
              <w:t>4.2-1</w:t>
            </w:r>
            <w:r>
              <w:rPr>
                <w:rFonts w:hint="eastAsia" w:cs="Times New Roman"/>
                <w:b/>
                <w:bCs/>
                <w:sz w:val="21"/>
                <w:szCs w:val="21"/>
                <w:u w:val="none" w:color="auto"/>
                <w:lang w:val="en-US" w:eastAsia="zh-CN"/>
              </w:rPr>
              <w:t>0</w:t>
            </w:r>
            <w:r>
              <w:rPr>
                <w:rFonts w:hint="eastAsia" w:ascii="Times New Roman" w:hAnsi="Times New Roman" w:cs="Times New Roman"/>
                <w:b/>
                <w:bCs/>
                <w:sz w:val="21"/>
                <w:szCs w:val="21"/>
                <w:u w:val="none" w:color="auto"/>
                <w:lang w:val="en-US" w:eastAsia="zh-CN"/>
              </w:rPr>
              <w:t xml:space="preserve"> </w:t>
            </w:r>
            <w:r>
              <w:rPr>
                <w:rFonts w:hint="default" w:ascii="Times New Roman" w:hAnsi="Times New Roman" w:cs="Times New Roman"/>
                <w:b/>
                <w:bCs/>
                <w:sz w:val="21"/>
                <w:szCs w:val="21"/>
                <w:u w:val="none" w:color="auto"/>
                <w:lang w:val="en-US" w:eastAsia="zh-CN"/>
              </w:rPr>
              <w:t>燃生物质</w:t>
            </w:r>
            <w:r>
              <w:rPr>
                <w:rFonts w:ascii="Times New Roman" w:hAnsi="Times New Roman" w:cs="Times New Roman"/>
                <w:b/>
                <w:bCs/>
                <w:sz w:val="21"/>
                <w:szCs w:val="21"/>
                <w:u w:val="none" w:color="auto"/>
              </w:rPr>
              <w:t>锅炉</w:t>
            </w:r>
            <w:r>
              <w:rPr>
                <w:rFonts w:hint="default" w:ascii="Times New Roman" w:hAnsi="Times New Roman" w:cs="Times New Roman"/>
                <w:b/>
                <w:bCs/>
                <w:sz w:val="21"/>
                <w:szCs w:val="21"/>
                <w:u w:val="none" w:color="auto"/>
                <w:lang w:val="en-US" w:eastAsia="zh-CN"/>
              </w:rPr>
              <w:t>的</w:t>
            </w:r>
            <w:r>
              <w:rPr>
                <w:rFonts w:ascii="Times New Roman" w:hAnsi="Times New Roman" w:cs="Times New Roman"/>
                <w:b/>
                <w:bCs/>
                <w:sz w:val="21"/>
                <w:szCs w:val="21"/>
                <w:u w:val="none" w:color="auto"/>
              </w:rPr>
              <w:t>产排污系数表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796"/>
              <w:gridCol w:w="822"/>
              <w:gridCol w:w="745"/>
              <w:gridCol w:w="1354"/>
              <w:gridCol w:w="1118"/>
              <w:gridCol w:w="1334"/>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06" w:type="dxa"/>
                  <w:tcBorders>
                    <w:tl2br w:val="nil"/>
                    <w:tr2bl w:val="nil"/>
                  </w:tcBorders>
                  <w:noWrap w:val="0"/>
                  <w:vAlign w:val="center"/>
                </w:tcPr>
                <w:p>
                  <w:pPr>
                    <w:pStyle w:val="39"/>
                    <w:bidi w:val="0"/>
                    <w:rPr>
                      <w:rFonts w:ascii="Times New Roman" w:hAnsi="Times New Roman" w:cs="Times New Roman"/>
                      <w:b/>
                      <w:bCs/>
                      <w:u w:val="none" w:color="auto"/>
                    </w:rPr>
                  </w:pPr>
                  <w:r>
                    <w:rPr>
                      <w:rFonts w:ascii="Times New Roman" w:hAnsi="Times New Roman" w:cs="Times New Roman"/>
                      <w:b/>
                      <w:bCs/>
                      <w:u w:val="none" w:color="auto"/>
                    </w:rPr>
                    <w:t>产品</w:t>
                  </w:r>
                </w:p>
                <w:p>
                  <w:pPr>
                    <w:pStyle w:val="39"/>
                    <w:bidi w:val="0"/>
                    <w:rPr>
                      <w:rFonts w:ascii="Times New Roman" w:hAnsi="Times New Roman" w:cs="Times New Roman"/>
                      <w:b/>
                      <w:bCs/>
                      <w:u w:val="none" w:color="auto"/>
                    </w:rPr>
                  </w:pPr>
                  <w:r>
                    <w:rPr>
                      <w:rFonts w:ascii="Times New Roman" w:hAnsi="Times New Roman" w:cs="Times New Roman"/>
                      <w:b/>
                      <w:bCs/>
                      <w:u w:val="none" w:color="auto"/>
                    </w:rPr>
                    <w:t>名称</w:t>
                  </w:r>
                </w:p>
              </w:tc>
              <w:tc>
                <w:tcPr>
                  <w:tcW w:w="796" w:type="dxa"/>
                  <w:tcBorders>
                    <w:tl2br w:val="nil"/>
                    <w:tr2bl w:val="nil"/>
                  </w:tcBorders>
                  <w:noWrap w:val="0"/>
                  <w:vAlign w:val="center"/>
                </w:tcPr>
                <w:p>
                  <w:pPr>
                    <w:pStyle w:val="39"/>
                    <w:bidi w:val="0"/>
                    <w:rPr>
                      <w:rFonts w:ascii="Times New Roman" w:hAnsi="Times New Roman" w:cs="Times New Roman"/>
                      <w:b/>
                      <w:bCs/>
                      <w:u w:val="none" w:color="auto"/>
                    </w:rPr>
                  </w:pPr>
                  <w:r>
                    <w:rPr>
                      <w:rFonts w:ascii="Times New Roman" w:hAnsi="Times New Roman" w:cs="Times New Roman"/>
                      <w:b/>
                      <w:bCs/>
                      <w:u w:val="none" w:color="auto"/>
                    </w:rPr>
                    <w:t>原料</w:t>
                  </w:r>
                </w:p>
                <w:p>
                  <w:pPr>
                    <w:pStyle w:val="39"/>
                    <w:bidi w:val="0"/>
                    <w:rPr>
                      <w:rFonts w:ascii="Times New Roman" w:hAnsi="Times New Roman" w:cs="Times New Roman"/>
                      <w:b/>
                      <w:bCs/>
                      <w:u w:val="none" w:color="auto"/>
                    </w:rPr>
                  </w:pPr>
                  <w:r>
                    <w:rPr>
                      <w:rFonts w:ascii="Times New Roman" w:hAnsi="Times New Roman" w:cs="Times New Roman"/>
                      <w:b/>
                      <w:bCs/>
                      <w:u w:val="none" w:color="auto"/>
                    </w:rPr>
                    <w:t>名称</w:t>
                  </w:r>
                </w:p>
              </w:tc>
              <w:tc>
                <w:tcPr>
                  <w:tcW w:w="822" w:type="dxa"/>
                  <w:tcBorders>
                    <w:tl2br w:val="nil"/>
                    <w:tr2bl w:val="nil"/>
                  </w:tcBorders>
                  <w:noWrap w:val="0"/>
                  <w:vAlign w:val="center"/>
                </w:tcPr>
                <w:p>
                  <w:pPr>
                    <w:pStyle w:val="39"/>
                    <w:bidi w:val="0"/>
                    <w:rPr>
                      <w:rFonts w:ascii="Times New Roman" w:hAnsi="Times New Roman" w:cs="Times New Roman"/>
                      <w:b/>
                      <w:bCs/>
                      <w:u w:val="none" w:color="auto"/>
                    </w:rPr>
                  </w:pPr>
                  <w:r>
                    <w:rPr>
                      <w:rFonts w:ascii="Times New Roman" w:hAnsi="Times New Roman" w:cs="Times New Roman"/>
                      <w:b/>
                      <w:bCs/>
                      <w:u w:val="none" w:color="auto"/>
                    </w:rPr>
                    <w:t>工艺</w:t>
                  </w:r>
                </w:p>
                <w:p>
                  <w:pPr>
                    <w:pStyle w:val="39"/>
                    <w:bidi w:val="0"/>
                    <w:rPr>
                      <w:rFonts w:ascii="Times New Roman" w:hAnsi="Times New Roman" w:cs="Times New Roman"/>
                      <w:b/>
                      <w:bCs/>
                      <w:u w:val="none" w:color="auto"/>
                    </w:rPr>
                  </w:pPr>
                  <w:r>
                    <w:rPr>
                      <w:rFonts w:ascii="Times New Roman" w:hAnsi="Times New Roman" w:cs="Times New Roman"/>
                      <w:b/>
                      <w:bCs/>
                      <w:u w:val="none" w:color="auto"/>
                    </w:rPr>
                    <w:t>名称</w:t>
                  </w:r>
                </w:p>
              </w:tc>
              <w:tc>
                <w:tcPr>
                  <w:tcW w:w="745" w:type="dxa"/>
                  <w:tcBorders>
                    <w:tl2br w:val="nil"/>
                    <w:tr2bl w:val="nil"/>
                  </w:tcBorders>
                  <w:noWrap w:val="0"/>
                  <w:vAlign w:val="center"/>
                </w:tcPr>
                <w:p>
                  <w:pPr>
                    <w:pStyle w:val="39"/>
                    <w:bidi w:val="0"/>
                    <w:rPr>
                      <w:rFonts w:ascii="Times New Roman" w:hAnsi="Times New Roman" w:cs="Times New Roman"/>
                      <w:b/>
                      <w:bCs/>
                      <w:u w:val="none" w:color="auto"/>
                    </w:rPr>
                  </w:pPr>
                  <w:r>
                    <w:rPr>
                      <w:rFonts w:ascii="Times New Roman" w:hAnsi="Times New Roman" w:cs="Times New Roman"/>
                      <w:b/>
                      <w:bCs/>
                      <w:u w:val="none" w:color="auto"/>
                    </w:rPr>
                    <w:t>规模</w:t>
                  </w:r>
                </w:p>
                <w:p>
                  <w:pPr>
                    <w:pStyle w:val="39"/>
                    <w:bidi w:val="0"/>
                    <w:rPr>
                      <w:rFonts w:ascii="Times New Roman" w:hAnsi="Times New Roman" w:cs="Times New Roman"/>
                      <w:b/>
                      <w:bCs/>
                      <w:u w:val="none" w:color="auto"/>
                    </w:rPr>
                  </w:pPr>
                  <w:r>
                    <w:rPr>
                      <w:rFonts w:ascii="Times New Roman" w:hAnsi="Times New Roman" w:cs="Times New Roman"/>
                      <w:b/>
                      <w:bCs/>
                      <w:u w:val="none" w:color="auto"/>
                    </w:rPr>
                    <w:t>等级</w:t>
                  </w:r>
                </w:p>
              </w:tc>
              <w:tc>
                <w:tcPr>
                  <w:tcW w:w="1354" w:type="dxa"/>
                  <w:tcBorders>
                    <w:tl2br w:val="nil"/>
                    <w:tr2bl w:val="nil"/>
                  </w:tcBorders>
                  <w:noWrap w:val="0"/>
                  <w:vAlign w:val="center"/>
                </w:tcPr>
                <w:p>
                  <w:pPr>
                    <w:pStyle w:val="39"/>
                    <w:bidi w:val="0"/>
                    <w:rPr>
                      <w:rFonts w:ascii="Times New Roman" w:hAnsi="Times New Roman" w:cs="Times New Roman"/>
                      <w:b/>
                      <w:bCs/>
                      <w:u w:val="none" w:color="auto"/>
                    </w:rPr>
                  </w:pPr>
                  <w:r>
                    <w:rPr>
                      <w:rFonts w:ascii="Times New Roman" w:hAnsi="Times New Roman" w:cs="Times New Roman"/>
                      <w:b/>
                      <w:bCs/>
                      <w:u w:val="none" w:color="auto"/>
                    </w:rPr>
                    <w:t>污染物指标</w:t>
                  </w:r>
                </w:p>
              </w:tc>
              <w:tc>
                <w:tcPr>
                  <w:tcW w:w="1118" w:type="dxa"/>
                  <w:tcBorders>
                    <w:tl2br w:val="nil"/>
                    <w:tr2bl w:val="nil"/>
                  </w:tcBorders>
                  <w:noWrap w:val="0"/>
                  <w:vAlign w:val="center"/>
                </w:tcPr>
                <w:p>
                  <w:pPr>
                    <w:pStyle w:val="39"/>
                    <w:bidi w:val="0"/>
                    <w:rPr>
                      <w:rFonts w:ascii="Times New Roman" w:hAnsi="Times New Roman" w:cs="Times New Roman"/>
                      <w:b/>
                      <w:bCs/>
                      <w:u w:val="none" w:color="auto"/>
                    </w:rPr>
                  </w:pPr>
                  <w:r>
                    <w:rPr>
                      <w:rFonts w:ascii="Times New Roman" w:hAnsi="Times New Roman" w:cs="Times New Roman"/>
                      <w:b/>
                      <w:bCs/>
                      <w:u w:val="none" w:color="auto"/>
                    </w:rPr>
                    <w:t>单位</w:t>
                  </w:r>
                </w:p>
              </w:tc>
              <w:tc>
                <w:tcPr>
                  <w:tcW w:w="1334" w:type="dxa"/>
                  <w:tcBorders>
                    <w:tl2br w:val="nil"/>
                    <w:tr2bl w:val="nil"/>
                  </w:tcBorders>
                  <w:noWrap w:val="0"/>
                  <w:vAlign w:val="center"/>
                </w:tcPr>
                <w:p>
                  <w:pPr>
                    <w:pStyle w:val="39"/>
                    <w:bidi w:val="0"/>
                    <w:rPr>
                      <w:rFonts w:ascii="Times New Roman" w:hAnsi="Times New Roman" w:cs="Times New Roman"/>
                      <w:b/>
                      <w:bCs/>
                      <w:u w:val="none" w:color="auto"/>
                    </w:rPr>
                  </w:pPr>
                  <w:r>
                    <w:rPr>
                      <w:rFonts w:ascii="Times New Roman" w:hAnsi="Times New Roman" w:cs="Times New Roman"/>
                      <w:b/>
                      <w:bCs/>
                      <w:u w:val="none" w:color="auto"/>
                    </w:rPr>
                    <w:t>产污系数</w:t>
                  </w:r>
                </w:p>
              </w:tc>
              <w:tc>
                <w:tcPr>
                  <w:tcW w:w="1161" w:type="dxa"/>
                  <w:tcBorders>
                    <w:tl2br w:val="nil"/>
                    <w:tr2bl w:val="nil"/>
                  </w:tcBorders>
                  <w:noWrap w:val="0"/>
                  <w:vAlign w:val="center"/>
                </w:tcPr>
                <w:p>
                  <w:pPr>
                    <w:pStyle w:val="39"/>
                    <w:bidi w:val="0"/>
                    <w:rPr>
                      <w:rFonts w:ascii="Times New Roman" w:hAnsi="Times New Roman" w:cs="Times New Roman"/>
                      <w:b/>
                      <w:bCs/>
                      <w:u w:val="none" w:color="auto"/>
                    </w:rPr>
                  </w:pPr>
                  <w:r>
                    <w:rPr>
                      <w:rFonts w:ascii="Times New Roman" w:hAnsi="Times New Roman" w:cs="Times New Roman"/>
                      <w:b/>
                      <w:bCs/>
                      <w:u w:val="none" w:color="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6" w:type="dxa"/>
                  <w:vMerge w:val="restart"/>
                  <w:tcBorders>
                    <w:tl2br w:val="nil"/>
                    <w:tr2bl w:val="nil"/>
                  </w:tcBorders>
                  <w:noWrap w:val="0"/>
                  <w:vAlign w:val="center"/>
                </w:tcPr>
                <w:p>
                  <w:pPr>
                    <w:pStyle w:val="39"/>
                    <w:bidi w:val="0"/>
                    <w:rPr>
                      <w:rFonts w:ascii="Times New Roman" w:hAnsi="Times New Roman" w:cs="Times New Roman"/>
                      <w:u w:val="none" w:color="auto"/>
                    </w:rPr>
                  </w:pPr>
                  <w:r>
                    <w:rPr>
                      <w:rFonts w:ascii="Times New Roman" w:hAnsi="Times New Roman" w:cs="Times New Roman"/>
                      <w:u w:val="none" w:color="auto"/>
                    </w:rPr>
                    <w:t>蒸汽/热水/其他</w:t>
                  </w:r>
                </w:p>
              </w:tc>
              <w:tc>
                <w:tcPr>
                  <w:tcW w:w="796" w:type="dxa"/>
                  <w:vMerge w:val="restart"/>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生物质燃料</w:t>
                  </w:r>
                </w:p>
              </w:tc>
              <w:tc>
                <w:tcPr>
                  <w:tcW w:w="822" w:type="dxa"/>
                  <w:vMerge w:val="restart"/>
                  <w:tcBorders>
                    <w:tl2br w:val="nil"/>
                    <w:tr2bl w:val="nil"/>
                  </w:tcBorders>
                  <w:noWrap w:val="0"/>
                  <w:vAlign w:val="center"/>
                </w:tcPr>
                <w:p>
                  <w:pPr>
                    <w:pStyle w:val="39"/>
                    <w:bidi w:val="0"/>
                    <w:rPr>
                      <w:rFonts w:ascii="Times New Roman" w:hAnsi="Times New Roman" w:cs="Times New Roman"/>
                      <w:u w:val="none" w:color="auto"/>
                    </w:rPr>
                  </w:pPr>
                  <w:r>
                    <w:rPr>
                      <w:rFonts w:hint="default" w:ascii="Times New Roman" w:hAnsi="Times New Roman" w:cs="Times New Roman"/>
                      <w:u w:val="none" w:color="auto"/>
                      <w:lang w:val="en-US" w:eastAsia="zh-CN"/>
                    </w:rPr>
                    <w:t>层</w:t>
                  </w:r>
                  <w:r>
                    <w:rPr>
                      <w:rFonts w:ascii="Times New Roman" w:hAnsi="Times New Roman" w:cs="Times New Roman"/>
                      <w:u w:val="none" w:color="auto"/>
                    </w:rPr>
                    <w:t>燃炉</w:t>
                  </w:r>
                </w:p>
              </w:tc>
              <w:tc>
                <w:tcPr>
                  <w:tcW w:w="745" w:type="dxa"/>
                  <w:vMerge w:val="restart"/>
                  <w:tcBorders>
                    <w:tl2br w:val="nil"/>
                    <w:tr2bl w:val="nil"/>
                  </w:tcBorders>
                  <w:noWrap w:val="0"/>
                  <w:vAlign w:val="center"/>
                </w:tcPr>
                <w:p>
                  <w:pPr>
                    <w:pStyle w:val="39"/>
                    <w:bidi w:val="0"/>
                    <w:rPr>
                      <w:rFonts w:ascii="Times New Roman" w:hAnsi="Times New Roman" w:cs="Times New Roman"/>
                      <w:u w:val="none" w:color="auto"/>
                    </w:rPr>
                  </w:pPr>
                  <w:r>
                    <w:rPr>
                      <w:rFonts w:ascii="Times New Roman" w:hAnsi="Times New Roman" w:cs="Times New Roman"/>
                      <w:u w:val="none" w:color="auto"/>
                    </w:rPr>
                    <w:t>所有规模</w:t>
                  </w:r>
                </w:p>
              </w:tc>
              <w:tc>
                <w:tcPr>
                  <w:tcW w:w="1354" w:type="dxa"/>
                  <w:tcBorders>
                    <w:tl2br w:val="nil"/>
                    <w:tr2bl w:val="nil"/>
                  </w:tcBorders>
                  <w:noWrap w:val="0"/>
                  <w:vAlign w:val="center"/>
                </w:tcPr>
                <w:p>
                  <w:pPr>
                    <w:pStyle w:val="39"/>
                    <w:bidi w:val="0"/>
                    <w:rPr>
                      <w:rFonts w:ascii="Times New Roman" w:hAnsi="Times New Roman" w:cs="Times New Roman"/>
                      <w:u w:val="none" w:color="auto"/>
                    </w:rPr>
                  </w:pPr>
                  <w:r>
                    <w:rPr>
                      <w:rFonts w:ascii="Times New Roman" w:hAnsi="Times New Roman" w:cs="Times New Roman"/>
                      <w:u w:val="none" w:color="auto"/>
                    </w:rPr>
                    <w:t>SO</w:t>
                  </w:r>
                  <w:r>
                    <w:rPr>
                      <w:rFonts w:ascii="Times New Roman" w:hAnsi="Times New Roman" w:cs="Times New Roman"/>
                      <w:u w:val="none" w:color="auto"/>
                      <w:vertAlign w:val="subscript"/>
                    </w:rPr>
                    <w:t>2</w:t>
                  </w:r>
                </w:p>
              </w:tc>
              <w:tc>
                <w:tcPr>
                  <w:tcW w:w="1118" w:type="dxa"/>
                  <w:tcBorders>
                    <w:tl2br w:val="nil"/>
                    <w:tr2bl w:val="nil"/>
                  </w:tcBorders>
                  <w:noWrap w:val="0"/>
                  <w:vAlign w:val="center"/>
                </w:tcPr>
                <w:p>
                  <w:pPr>
                    <w:pStyle w:val="39"/>
                    <w:bidi w:val="0"/>
                    <w:rPr>
                      <w:rFonts w:ascii="Times New Roman" w:hAnsi="Times New Roman" w:cs="Times New Roman"/>
                      <w:u w:val="none" w:color="auto"/>
                    </w:rPr>
                  </w:pPr>
                  <w:r>
                    <w:rPr>
                      <w:rFonts w:ascii="Times New Roman" w:hAnsi="Times New Roman" w:cs="Times New Roman"/>
                      <w:u w:val="none" w:color="auto"/>
                    </w:rPr>
                    <w:t>kg/t原料</w:t>
                  </w:r>
                </w:p>
              </w:tc>
              <w:tc>
                <w:tcPr>
                  <w:tcW w:w="1334" w:type="dxa"/>
                  <w:tcBorders>
                    <w:tl2br w:val="nil"/>
                    <w:tr2bl w:val="nil"/>
                  </w:tcBorders>
                  <w:noWrap w:val="0"/>
                  <w:vAlign w:val="center"/>
                </w:tcPr>
                <w:p>
                  <w:pPr>
                    <w:pStyle w:val="39"/>
                    <w:bidi w:val="0"/>
                    <w:rPr>
                      <w:rFonts w:ascii="Times New Roman" w:hAnsi="Times New Roman" w:cs="Times New Roman"/>
                      <w:u w:val="none" w:color="auto"/>
                    </w:rPr>
                  </w:pPr>
                  <w:r>
                    <w:rPr>
                      <w:rFonts w:ascii="Times New Roman" w:hAnsi="Times New Roman" w:cs="Times New Roman"/>
                      <w:u w:val="none" w:color="auto"/>
                    </w:rPr>
                    <w:t>1</w:t>
                  </w:r>
                  <w:r>
                    <w:rPr>
                      <w:rFonts w:hint="default" w:ascii="Times New Roman" w:hAnsi="Times New Roman" w:cs="Times New Roman"/>
                      <w:u w:val="none" w:color="auto"/>
                      <w:lang w:val="en-US" w:eastAsia="zh-CN"/>
                    </w:rPr>
                    <w:t>7</w:t>
                  </w:r>
                  <w:r>
                    <w:rPr>
                      <w:rFonts w:ascii="Times New Roman" w:hAnsi="Times New Roman" w:cs="Times New Roman"/>
                      <w:u w:val="none" w:color="auto"/>
                    </w:rPr>
                    <w:t>S</w:t>
                  </w:r>
                </w:p>
              </w:tc>
              <w:tc>
                <w:tcPr>
                  <w:tcW w:w="1161" w:type="dxa"/>
                  <w:tcBorders>
                    <w:tl2br w:val="nil"/>
                    <w:tr2bl w:val="nil"/>
                  </w:tcBorders>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6" w:type="dxa"/>
                  <w:vMerge w:val="continue"/>
                  <w:tcBorders>
                    <w:tl2br w:val="nil"/>
                    <w:tr2bl w:val="nil"/>
                  </w:tcBorders>
                  <w:noWrap w:val="0"/>
                  <w:vAlign w:val="center"/>
                </w:tcPr>
                <w:p>
                  <w:pPr>
                    <w:pStyle w:val="39"/>
                    <w:bidi w:val="0"/>
                    <w:rPr>
                      <w:rFonts w:ascii="Times New Roman" w:hAnsi="Times New Roman" w:cs="Times New Roman"/>
                      <w:u w:val="none" w:color="auto"/>
                    </w:rPr>
                  </w:pPr>
                </w:p>
              </w:tc>
              <w:tc>
                <w:tcPr>
                  <w:tcW w:w="796" w:type="dxa"/>
                  <w:vMerge w:val="continue"/>
                  <w:tcBorders>
                    <w:tl2br w:val="nil"/>
                    <w:tr2bl w:val="nil"/>
                  </w:tcBorders>
                  <w:noWrap w:val="0"/>
                  <w:vAlign w:val="center"/>
                </w:tcPr>
                <w:p>
                  <w:pPr>
                    <w:pStyle w:val="39"/>
                    <w:bidi w:val="0"/>
                    <w:rPr>
                      <w:rFonts w:ascii="Times New Roman" w:hAnsi="Times New Roman" w:cs="Times New Roman"/>
                      <w:u w:val="none" w:color="auto"/>
                    </w:rPr>
                  </w:pPr>
                </w:p>
              </w:tc>
              <w:tc>
                <w:tcPr>
                  <w:tcW w:w="822" w:type="dxa"/>
                  <w:vMerge w:val="continue"/>
                  <w:tcBorders>
                    <w:tl2br w:val="nil"/>
                    <w:tr2bl w:val="nil"/>
                  </w:tcBorders>
                  <w:noWrap w:val="0"/>
                  <w:vAlign w:val="center"/>
                </w:tcPr>
                <w:p>
                  <w:pPr>
                    <w:pStyle w:val="39"/>
                    <w:bidi w:val="0"/>
                    <w:rPr>
                      <w:rFonts w:ascii="Times New Roman" w:hAnsi="Times New Roman" w:cs="Times New Roman"/>
                      <w:u w:val="none" w:color="auto"/>
                    </w:rPr>
                  </w:pPr>
                </w:p>
              </w:tc>
              <w:tc>
                <w:tcPr>
                  <w:tcW w:w="745" w:type="dxa"/>
                  <w:vMerge w:val="continue"/>
                  <w:tcBorders>
                    <w:tl2br w:val="nil"/>
                    <w:tr2bl w:val="nil"/>
                  </w:tcBorders>
                  <w:noWrap w:val="0"/>
                  <w:vAlign w:val="center"/>
                </w:tcPr>
                <w:p>
                  <w:pPr>
                    <w:pStyle w:val="39"/>
                    <w:bidi w:val="0"/>
                    <w:rPr>
                      <w:rFonts w:ascii="Times New Roman" w:hAnsi="Times New Roman" w:cs="Times New Roman"/>
                      <w:u w:val="none" w:color="auto"/>
                    </w:rPr>
                  </w:pPr>
                </w:p>
              </w:tc>
              <w:tc>
                <w:tcPr>
                  <w:tcW w:w="1354" w:type="dxa"/>
                  <w:tcBorders>
                    <w:tl2br w:val="nil"/>
                    <w:tr2bl w:val="nil"/>
                  </w:tcBorders>
                  <w:noWrap w:val="0"/>
                  <w:vAlign w:val="center"/>
                </w:tcPr>
                <w:p>
                  <w:pPr>
                    <w:pStyle w:val="39"/>
                    <w:bidi w:val="0"/>
                    <w:rPr>
                      <w:rFonts w:hint="default" w:ascii="Times New Roman" w:hAnsi="Times New Roman" w:eastAsia="宋体" w:cs="Times New Roman"/>
                      <w:u w:val="none" w:color="auto"/>
                      <w:lang w:eastAsia="zh-CN"/>
                    </w:rPr>
                  </w:pPr>
                  <w:r>
                    <w:rPr>
                      <w:rFonts w:hint="default" w:ascii="Times New Roman" w:hAnsi="Times New Roman" w:cs="Times New Roman"/>
                      <w:u w:val="none" w:color="auto"/>
                      <w:lang w:val="en-US" w:eastAsia="zh-CN"/>
                    </w:rPr>
                    <w:t>颗粒物</w:t>
                  </w:r>
                </w:p>
              </w:tc>
              <w:tc>
                <w:tcPr>
                  <w:tcW w:w="1118" w:type="dxa"/>
                  <w:tcBorders>
                    <w:tl2br w:val="nil"/>
                    <w:tr2bl w:val="nil"/>
                  </w:tcBorders>
                  <w:noWrap w:val="0"/>
                  <w:vAlign w:val="center"/>
                </w:tcPr>
                <w:p>
                  <w:pPr>
                    <w:pStyle w:val="39"/>
                    <w:bidi w:val="0"/>
                    <w:rPr>
                      <w:rFonts w:ascii="Times New Roman" w:hAnsi="Times New Roman" w:cs="Times New Roman"/>
                      <w:u w:val="none" w:color="auto"/>
                    </w:rPr>
                  </w:pPr>
                  <w:r>
                    <w:rPr>
                      <w:rFonts w:ascii="Times New Roman" w:hAnsi="Times New Roman" w:cs="Times New Roman"/>
                      <w:u w:val="none" w:color="auto"/>
                    </w:rPr>
                    <w:t>kg/t原料</w:t>
                  </w:r>
                </w:p>
              </w:tc>
              <w:tc>
                <w:tcPr>
                  <w:tcW w:w="1334" w:type="dxa"/>
                  <w:tcBorders>
                    <w:tl2br w:val="nil"/>
                    <w:tr2bl w:val="nil"/>
                  </w:tcBorders>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0.5</w:t>
                  </w:r>
                </w:p>
              </w:tc>
              <w:tc>
                <w:tcPr>
                  <w:tcW w:w="1161" w:type="dxa"/>
                  <w:tcBorders>
                    <w:tl2br w:val="nil"/>
                    <w:tr2bl w:val="nil"/>
                  </w:tcBorders>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6" w:type="dxa"/>
                  <w:vMerge w:val="continue"/>
                  <w:tcBorders>
                    <w:tl2br w:val="nil"/>
                    <w:tr2bl w:val="nil"/>
                  </w:tcBorders>
                  <w:noWrap w:val="0"/>
                  <w:vAlign w:val="center"/>
                </w:tcPr>
                <w:p>
                  <w:pPr>
                    <w:pStyle w:val="39"/>
                    <w:bidi w:val="0"/>
                    <w:rPr>
                      <w:rFonts w:ascii="Times New Roman" w:hAnsi="Times New Roman" w:cs="Times New Roman"/>
                      <w:u w:val="none" w:color="auto"/>
                    </w:rPr>
                  </w:pPr>
                </w:p>
              </w:tc>
              <w:tc>
                <w:tcPr>
                  <w:tcW w:w="796" w:type="dxa"/>
                  <w:vMerge w:val="continue"/>
                  <w:tcBorders>
                    <w:tl2br w:val="nil"/>
                    <w:tr2bl w:val="nil"/>
                  </w:tcBorders>
                  <w:noWrap w:val="0"/>
                  <w:vAlign w:val="center"/>
                </w:tcPr>
                <w:p>
                  <w:pPr>
                    <w:pStyle w:val="39"/>
                    <w:bidi w:val="0"/>
                    <w:rPr>
                      <w:rFonts w:ascii="Times New Roman" w:hAnsi="Times New Roman" w:cs="Times New Roman"/>
                      <w:u w:val="none" w:color="auto"/>
                    </w:rPr>
                  </w:pPr>
                </w:p>
              </w:tc>
              <w:tc>
                <w:tcPr>
                  <w:tcW w:w="822" w:type="dxa"/>
                  <w:vMerge w:val="continue"/>
                  <w:tcBorders>
                    <w:tl2br w:val="nil"/>
                    <w:tr2bl w:val="nil"/>
                  </w:tcBorders>
                  <w:noWrap w:val="0"/>
                  <w:vAlign w:val="center"/>
                </w:tcPr>
                <w:p>
                  <w:pPr>
                    <w:pStyle w:val="39"/>
                    <w:bidi w:val="0"/>
                    <w:rPr>
                      <w:rFonts w:ascii="Times New Roman" w:hAnsi="Times New Roman" w:cs="Times New Roman"/>
                      <w:u w:val="none" w:color="auto"/>
                    </w:rPr>
                  </w:pPr>
                </w:p>
              </w:tc>
              <w:tc>
                <w:tcPr>
                  <w:tcW w:w="745" w:type="dxa"/>
                  <w:vMerge w:val="continue"/>
                  <w:tcBorders>
                    <w:tl2br w:val="nil"/>
                    <w:tr2bl w:val="nil"/>
                  </w:tcBorders>
                  <w:noWrap w:val="0"/>
                  <w:vAlign w:val="center"/>
                </w:tcPr>
                <w:p>
                  <w:pPr>
                    <w:pStyle w:val="39"/>
                    <w:bidi w:val="0"/>
                    <w:rPr>
                      <w:rFonts w:ascii="Times New Roman" w:hAnsi="Times New Roman" w:cs="Times New Roman"/>
                      <w:u w:val="none" w:color="auto"/>
                    </w:rPr>
                  </w:pPr>
                </w:p>
              </w:tc>
              <w:tc>
                <w:tcPr>
                  <w:tcW w:w="1354" w:type="dxa"/>
                  <w:tcBorders>
                    <w:tl2br w:val="nil"/>
                    <w:tr2bl w:val="nil"/>
                  </w:tcBorders>
                  <w:noWrap w:val="0"/>
                  <w:vAlign w:val="center"/>
                </w:tcPr>
                <w:p>
                  <w:pPr>
                    <w:pStyle w:val="39"/>
                    <w:bidi w:val="0"/>
                    <w:rPr>
                      <w:rFonts w:ascii="Times New Roman" w:hAnsi="Times New Roman" w:cs="Times New Roman"/>
                      <w:u w:val="none" w:color="auto"/>
                    </w:rPr>
                  </w:pPr>
                  <w:r>
                    <w:rPr>
                      <w:rFonts w:ascii="Times New Roman" w:hAnsi="Times New Roman" w:cs="Times New Roman"/>
                      <w:u w:val="none" w:color="auto"/>
                    </w:rPr>
                    <w:t>NOx</w:t>
                  </w:r>
                </w:p>
              </w:tc>
              <w:tc>
                <w:tcPr>
                  <w:tcW w:w="1118" w:type="dxa"/>
                  <w:tcBorders>
                    <w:tl2br w:val="nil"/>
                    <w:tr2bl w:val="nil"/>
                  </w:tcBorders>
                  <w:noWrap w:val="0"/>
                  <w:vAlign w:val="center"/>
                </w:tcPr>
                <w:p>
                  <w:pPr>
                    <w:pStyle w:val="39"/>
                    <w:bidi w:val="0"/>
                    <w:rPr>
                      <w:rFonts w:ascii="Times New Roman" w:hAnsi="Times New Roman" w:cs="Times New Roman"/>
                      <w:u w:val="none" w:color="auto"/>
                    </w:rPr>
                  </w:pPr>
                  <w:r>
                    <w:rPr>
                      <w:rFonts w:ascii="Times New Roman" w:hAnsi="Times New Roman" w:cs="Times New Roman"/>
                      <w:u w:val="none" w:color="auto"/>
                    </w:rPr>
                    <w:t>kg/t原料</w:t>
                  </w:r>
                </w:p>
              </w:tc>
              <w:tc>
                <w:tcPr>
                  <w:tcW w:w="1334"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1.02</w:t>
                  </w:r>
                </w:p>
              </w:tc>
              <w:tc>
                <w:tcPr>
                  <w:tcW w:w="1161" w:type="dxa"/>
                  <w:tcBorders>
                    <w:tl2br w:val="nil"/>
                    <w:tr2bl w:val="nil"/>
                  </w:tcBorders>
                  <w:noWrap w:val="0"/>
                  <w:vAlign w:val="center"/>
                </w:tcPr>
                <w:p>
                  <w:pPr>
                    <w:pStyle w:val="39"/>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1.02</w:t>
                  </w:r>
                </w:p>
              </w:tc>
            </w:tr>
          </w:tbl>
          <w:p>
            <w:pPr>
              <w:keepNext w:val="0"/>
              <w:keepLines w:val="0"/>
              <w:pageBreakBefore w:val="0"/>
              <w:widowControl w:val="0"/>
              <w:kinsoku/>
              <w:wordWrap w:val="0"/>
              <w:overflowPunct/>
              <w:topLinePunct/>
              <w:autoSpaceDE/>
              <w:autoSpaceDN/>
              <w:bidi w:val="0"/>
              <w:adjustRightInd/>
              <w:snapToGrid/>
              <w:ind w:firstLine="0" w:firstLineChars="0"/>
              <w:jc w:val="left"/>
              <w:textAlignment w:val="auto"/>
              <w:rPr>
                <w:rFonts w:ascii="Times New Roman" w:hAnsi="Times New Roman" w:cs="Times New Roman"/>
                <w:b/>
                <w:bCs/>
                <w:sz w:val="21"/>
                <w:szCs w:val="21"/>
                <w:u w:val="none" w:color="auto"/>
              </w:rPr>
            </w:pPr>
            <w:r>
              <w:rPr>
                <w:rFonts w:ascii="Times New Roman" w:hAnsi="Times New Roman" w:cs="Times New Roman"/>
                <w:b/>
                <w:bCs/>
                <w:sz w:val="18"/>
                <w:szCs w:val="18"/>
                <w:u w:val="none" w:color="auto"/>
              </w:rPr>
              <w:t>注：</w:t>
            </w:r>
            <w:r>
              <w:rPr>
                <w:rFonts w:hint="default" w:ascii="Times New Roman" w:hAnsi="Times New Roman" w:cs="Times New Roman"/>
                <w:b/>
                <w:bCs/>
                <w:sz w:val="18"/>
                <w:szCs w:val="18"/>
                <w:u w:val="none" w:color="auto"/>
              </w:rPr>
              <w:t>①</w:t>
            </w:r>
            <w:r>
              <w:rPr>
                <w:rFonts w:ascii="Times New Roman" w:hAnsi="Times New Roman" w:cs="Times New Roman"/>
                <w:b/>
                <w:bCs/>
                <w:sz w:val="18"/>
                <w:szCs w:val="18"/>
                <w:u w:val="none" w:color="auto"/>
              </w:rPr>
              <w:t>产排污系数表中二氧化硫的产排污系数是以含硫量（S％）的形式表示的，其中含硫量（S％）是指燃油收到基硫分含量，以质量百分数的形式表示。例如燃料中含硫量（S％）为0.1％，则S=0.1。</w:t>
            </w:r>
            <w:r>
              <w:rPr>
                <w:rFonts w:hint="default" w:ascii="Times New Roman" w:hAnsi="Times New Roman" w:cs="Times New Roman"/>
                <w:b/>
                <w:bCs/>
                <w:sz w:val="18"/>
                <w:szCs w:val="18"/>
                <w:u w:val="none" w:color="auto"/>
              </w:rPr>
              <w:t>②</w:t>
            </w:r>
            <w:r>
              <w:rPr>
                <w:rFonts w:ascii="Times New Roman" w:hAnsi="Times New Roman" w:cs="Times New Roman"/>
                <w:b/>
                <w:bCs/>
                <w:sz w:val="18"/>
                <w:szCs w:val="18"/>
                <w:u w:val="none" w:color="auto"/>
              </w:rPr>
              <w:t>根据类比可知，</w:t>
            </w:r>
            <w:r>
              <w:rPr>
                <w:rFonts w:hint="default" w:ascii="Times New Roman" w:hAnsi="Times New Roman" w:cs="Times New Roman"/>
                <w:b/>
                <w:bCs/>
                <w:sz w:val="18"/>
                <w:szCs w:val="18"/>
                <w:u w:val="none" w:color="auto"/>
              </w:rPr>
              <w:t>本项目使用的生物质燃料硫分取0.03%，即S=0.03</w:t>
            </w:r>
            <w:r>
              <w:rPr>
                <w:rFonts w:ascii="Times New Roman" w:hAnsi="Times New Roman" w:cs="Times New Roman"/>
                <w:b/>
                <w:bCs/>
                <w:sz w:val="18"/>
                <w:szCs w:val="18"/>
                <w:u w:val="none" w:color="auto"/>
              </w:rPr>
              <w:t>。</w:t>
            </w:r>
          </w:p>
          <w:p>
            <w:pPr>
              <w:ind w:firstLine="422"/>
              <w:jc w:val="center"/>
              <w:rPr>
                <w:rFonts w:hint="default" w:ascii="Times New Roman" w:hAnsi="Times New Roman" w:eastAsia="宋体" w:cs="Times New Roman"/>
                <w:b/>
                <w:bCs/>
                <w:sz w:val="21"/>
                <w:szCs w:val="21"/>
                <w:u w:val="none" w:color="auto"/>
                <w:lang w:eastAsia="zh-CN"/>
              </w:rPr>
            </w:pPr>
            <w:r>
              <w:rPr>
                <w:rFonts w:ascii="Times New Roman" w:hAnsi="Times New Roman" w:cs="Times New Roman"/>
                <w:b/>
                <w:bCs/>
                <w:sz w:val="21"/>
                <w:szCs w:val="21"/>
                <w:u w:val="none" w:color="auto"/>
              </w:rPr>
              <w:t>表</w:t>
            </w:r>
            <w:r>
              <w:rPr>
                <w:rFonts w:hint="eastAsia" w:ascii="Times New Roman" w:hAnsi="Times New Roman" w:cs="Times New Roman"/>
                <w:b/>
                <w:bCs/>
                <w:sz w:val="21"/>
                <w:szCs w:val="21"/>
                <w:u w:val="none" w:color="auto"/>
                <w:lang w:val="en-US" w:eastAsia="zh-CN"/>
              </w:rPr>
              <w:t>4.2-1</w:t>
            </w:r>
            <w:r>
              <w:rPr>
                <w:rFonts w:hint="eastAsia" w:cs="Times New Roman"/>
                <w:b/>
                <w:bCs/>
                <w:sz w:val="21"/>
                <w:szCs w:val="21"/>
                <w:u w:val="none" w:color="auto"/>
                <w:lang w:val="en-US" w:eastAsia="zh-CN"/>
              </w:rPr>
              <w:t>1</w:t>
            </w:r>
            <w:r>
              <w:rPr>
                <w:rFonts w:hint="eastAsia" w:ascii="Times New Roman" w:hAnsi="Times New Roman" w:cs="Times New Roman"/>
                <w:b/>
                <w:bCs/>
                <w:sz w:val="21"/>
                <w:szCs w:val="21"/>
                <w:u w:val="none" w:color="auto"/>
                <w:lang w:val="en-US" w:eastAsia="zh-CN"/>
              </w:rPr>
              <w:t xml:space="preserve"> </w:t>
            </w:r>
            <w:r>
              <w:rPr>
                <w:rFonts w:ascii="Times New Roman" w:hAnsi="Times New Roman" w:cs="Times New Roman"/>
                <w:b/>
                <w:bCs/>
                <w:sz w:val="21"/>
                <w:szCs w:val="21"/>
                <w:u w:val="none" w:color="auto"/>
              </w:rPr>
              <w:t xml:space="preserve"> 燃烧污染物产</w:t>
            </w:r>
            <w:r>
              <w:rPr>
                <w:rFonts w:hint="default" w:ascii="Times New Roman" w:hAnsi="Times New Roman" w:cs="Times New Roman"/>
                <w:b/>
                <w:bCs/>
                <w:sz w:val="21"/>
                <w:szCs w:val="21"/>
                <w:u w:val="none" w:color="auto"/>
                <w:lang w:val="en-US" w:eastAsia="zh-CN"/>
              </w:rPr>
              <w:t>排</w:t>
            </w:r>
            <w:r>
              <w:rPr>
                <w:rFonts w:ascii="Times New Roman" w:hAnsi="Times New Roman" w:cs="Times New Roman"/>
                <w:b/>
                <w:bCs/>
                <w:sz w:val="21"/>
                <w:szCs w:val="21"/>
                <w:u w:val="none" w:color="auto"/>
              </w:rPr>
              <w:t>量一览表</w:t>
            </w:r>
            <w:r>
              <w:rPr>
                <w:rFonts w:hint="default" w:ascii="Times New Roman" w:hAnsi="Times New Roman" w:cs="Times New Roman"/>
                <w:b/>
                <w:bCs/>
                <w:sz w:val="21"/>
                <w:szCs w:val="21"/>
                <w:u w:val="none" w:color="auto"/>
                <w:lang w:eastAsia="zh-CN"/>
              </w:rPr>
              <w:t>（</w:t>
            </w:r>
            <w:r>
              <w:rPr>
                <w:rFonts w:hint="default" w:ascii="Times New Roman" w:hAnsi="Times New Roman" w:cs="Times New Roman"/>
                <w:b/>
                <w:bCs/>
                <w:sz w:val="21"/>
                <w:szCs w:val="21"/>
                <w:u w:val="none" w:color="auto"/>
                <w:lang w:val="en-US" w:eastAsia="zh-CN"/>
              </w:rPr>
              <w:t>DA001</w:t>
            </w:r>
            <w:r>
              <w:rPr>
                <w:rFonts w:hint="default" w:ascii="Times New Roman" w:hAnsi="Times New Roman" w:cs="Times New Roman"/>
                <w:b/>
                <w:bCs/>
                <w:sz w:val="21"/>
                <w:szCs w:val="21"/>
                <w:u w:val="none" w:color="auto"/>
                <w:lang w:eastAsia="zh-CN"/>
              </w:rPr>
              <w:t>）</w:t>
            </w:r>
          </w:p>
          <w:tbl>
            <w:tblPr>
              <w:tblStyle w:val="28"/>
              <w:tblW w:w="4962" w:type="pct"/>
              <w:jc w:val="center"/>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047"/>
              <w:gridCol w:w="1129"/>
              <w:gridCol w:w="1149"/>
              <w:gridCol w:w="1427"/>
              <w:gridCol w:w="1260"/>
              <w:gridCol w:w="1135"/>
              <w:gridCol w:w="1129"/>
            </w:tblGrid>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污染物</w:t>
                  </w:r>
                </w:p>
              </w:tc>
              <w:tc>
                <w:tcPr>
                  <w:tcW w:w="68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产生系数</w:t>
                  </w:r>
                </w:p>
              </w:tc>
              <w:tc>
                <w:tcPr>
                  <w:tcW w:w="694"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产生量</w:t>
                  </w:r>
                </w:p>
              </w:tc>
              <w:tc>
                <w:tcPr>
                  <w:tcW w:w="86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产生浓度</w:t>
                  </w:r>
                </w:p>
              </w:tc>
              <w:tc>
                <w:tcPr>
                  <w:tcW w:w="761"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b/>
                      <w:bCs/>
                      <w:sz w:val="21"/>
                      <w:szCs w:val="21"/>
                      <w:u w:val="none" w:color="auto"/>
                    </w:rPr>
                  </w:pPr>
                  <w:r>
                    <w:rPr>
                      <w:rFonts w:ascii="Times New Roman" w:hAnsi="Times New Roman" w:cs="Times New Roman"/>
                      <w:b/>
                      <w:bCs/>
                      <w:sz w:val="21"/>
                      <w:szCs w:val="21"/>
                      <w:u w:val="none" w:color="auto"/>
                    </w:rPr>
                    <w:t>产生速率</w:t>
                  </w:r>
                </w:p>
              </w:tc>
              <w:tc>
                <w:tcPr>
                  <w:tcW w:w="68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sz w:val="21"/>
                      <w:szCs w:val="21"/>
                      <w:u w:val="none" w:color="auto"/>
                      <w:lang w:val="en-US" w:eastAsia="zh-CN"/>
                    </w:rPr>
                  </w:pPr>
                  <w:r>
                    <w:rPr>
                      <w:rFonts w:hint="default" w:ascii="Times New Roman" w:hAnsi="Times New Roman" w:cs="Times New Roman"/>
                      <w:b/>
                      <w:bCs/>
                      <w:sz w:val="21"/>
                      <w:szCs w:val="21"/>
                      <w:u w:val="none" w:color="auto"/>
                      <w:lang w:val="en-US" w:eastAsia="zh-CN"/>
                    </w:rPr>
                    <w:t>排放标准</w:t>
                  </w:r>
                </w:p>
              </w:tc>
              <w:tc>
                <w:tcPr>
                  <w:tcW w:w="67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sz w:val="21"/>
                      <w:szCs w:val="21"/>
                      <w:u w:val="none" w:color="auto"/>
                      <w:lang w:val="en-US" w:eastAsia="zh-CN"/>
                    </w:rPr>
                  </w:pPr>
                  <w:r>
                    <w:rPr>
                      <w:rFonts w:hint="default" w:ascii="Times New Roman" w:hAnsi="Times New Roman" w:cs="Times New Roman"/>
                      <w:b/>
                      <w:bCs/>
                      <w:sz w:val="21"/>
                      <w:szCs w:val="21"/>
                      <w:u w:val="none" w:color="auto"/>
                      <w:lang w:val="en-US" w:eastAsia="zh-CN"/>
                    </w:rPr>
                    <w:t>是否达标</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val="en-US" w:eastAsia="zh-CN"/>
                    </w:rPr>
                    <w:t>风机量</w:t>
                  </w:r>
                </w:p>
              </w:tc>
              <w:tc>
                <w:tcPr>
                  <w:tcW w:w="4366" w:type="pct"/>
                  <w:gridSpan w:val="6"/>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3000</w:t>
                  </w:r>
                  <w:r>
                    <w:rPr>
                      <w:rFonts w:ascii="Times New Roman" w:hAnsi="Times New Roman" w:cs="Times New Roman"/>
                      <w:sz w:val="21"/>
                      <w:szCs w:val="21"/>
                      <w:highlight w:val="none"/>
                      <w:u w:val="none" w:color="auto"/>
                    </w:rPr>
                    <w:t>m³/</w:t>
                  </w:r>
                  <w:r>
                    <w:rPr>
                      <w:rFonts w:hint="default" w:ascii="Times New Roman" w:hAnsi="Times New Roman" w:cs="Times New Roman"/>
                      <w:sz w:val="21"/>
                      <w:szCs w:val="21"/>
                      <w:highlight w:val="none"/>
                      <w:u w:val="none" w:color="auto"/>
                      <w:lang w:val="en-US" w:eastAsia="zh-CN"/>
                    </w:rPr>
                    <w:t>h</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SO</w:t>
                  </w:r>
                  <w:r>
                    <w:rPr>
                      <w:rFonts w:ascii="Times New Roman" w:hAnsi="Times New Roman" w:cs="Times New Roman"/>
                      <w:sz w:val="21"/>
                      <w:szCs w:val="21"/>
                      <w:u w:val="none" w:color="auto"/>
                      <w:vertAlign w:val="subscript"/>
                    </w:rPr>
                    <w:t>2</w:t>
                  </w:r>
                </w:p>
              </w:tc>
              <w:tc>
                <w:tcPr>
                  <w:tcW w:w="68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0.51</w:t>
                  </w:r>
                  <w:r>
                    <w:rPr>
                      <w:rFonts w:ascii="Times New Roman" w:hAnsi="Times New Roman" w:cs="Times New Roman"/>
                      <w:sz w:val="21"/>
                      <w:szCs w:val="21"/>
                      <w:u w:val="none" w:color="auto"/>
                    </w:rPr>
                    <w:t>kg/t</w:t>
                  </w:r>
                </w:p>
              </w:tc>
              <w:tc>
                <w:tcPr>
                  <w:tcW w:w="694"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153</w:t>
                  </w:r>
                  <w:r>
                    <w:rPr>
                      <w:rFonts w:ascii="Times New Roman" w:hAnsi="Times New Roman" w:cs="Times New Roman"/>
                      <w:sz w:val="21"/>
                      <w:szCs w:val="21"/>
                      <w:u w:val="none" w:color="auto"/>
                    </w:rPr>
                    <w:t>kg/a</w:t>
                  </w:r>
                </w:p>
              </w:tc>
              <w:tc>
                <w:tcPr>
                  <w:tcW w:w="86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28.33</w:t>
                  </w:r>
                  <w:r>
                    <w:rPr>
                      <w:rFonts w:ascii="Times New Roman" w:hAnsi="Times New Roman" w:cs="Times New Roman"/>
                      <w:sz w:val="21"/>
                      <w:szCs w:val="21"/>
                      <w:u w:val="none" w:color="auto"/>
                    </w:rPr>
                    <w:t>mg/m³</w:t>
                  </w:r>
                </w:p>
              </w:tc>
              <w:tc>
                <w:tcPr>
                  <w:tcW w:w="761"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0.085</w:t>
                  </w:r>
                  <w:r>
                    <w:rPr>
                      <w:rFonts w:ascii="Times New Roman" w:hAnsi="Times New Roman" w:cs="Times New Roman"/>
                      <w:sz w:val="21"/>
                      <w:szCs w:val="21"/>
                      <w:u w:val="none" w:color="auto"/>
                    </w:rPr>
                    <w:t>kg/h</w:t>
                  </w:r>
                </w:p>
              </w:tc>
              <w:tc>
                <w:tcPr>
                  <w:tcW w:w="68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c>
                <w:tcPr>
                  <w:tcW w:w="67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val="en-US" w:eastAsia="zh-CN"/>
                    </w:rPr>
                    <w:t>颗粒物</w:t>
                  </w:r>
                </w:p>
              </w:tc>
              <w:tc>
                <w:tcPr>
                  <w:tcW w:w="68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0.5</w:t>
                  </w:r>
                  <w:r>
                    <w:rPr>
                      <w:rFonts w:ascii="Times New Roman" w:hAnsi="Times New Roman" w:cs="Times New Roman"/>
                      <w:sz w:val="21"/>
                      <w:szCs w:val="21"/>
                      <w:u w:val="none" w:color="auto"/>
                    </w:rPr>
                    <w:t>kg/t</w:t>
                  </w:r>
                </w:p>
              </w:tc>
              <w:tc>
                <w:tcPr>
                  <w:tcW w:w="694"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150</w:t>
                  </w:r>
                  <w:r>
                    <w:rPr>
                      <w:rFonts w:ascii="Times New Roman" w:hAnsi="Times New Roman" w:cs="Times New Roman"/>
                      <w:sz w:val="21"/>
                      <w:szCs w:val="21"/>
                      <w:u w:val="none" w:color="auto"/>
                    </w:rPr>
                    <w:t>kg/a</w:t>
                  </w:r>
                </w:p>
              </w:tc>
              <w:tc>
                <w:tcPr>
                  <w:tcW w:w="86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27.67</w:t>
                  </w:r>
                  <w:r>
                    <w:rPr>
                      <w:rFonts w:ascii="Times New Roman" w:hAnsi="Times New Roman" w:cs="Times New Roman"/>
                      <w:sz w:val="21"/>
                      <w:szCs w:val="21"/>
                      <w:u w:val="none" w:color="auto"/>
                    </w:rPr>
                    <w:t>mg/m³</w:t>
                  </w:r>
                </w:p>
              </w:tc>
              <w:tc>
                <w:tcPr>
                  <w:tcW w:w="761"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0.083</w:t>
                  </w:r>
                  <w:r>
                    <w:rPr>
                      <w:rFonts w:ascii="Times New Roman" w:hAnsi="Times New Roman" w:cs="Times New Roman"/>
                      <w:sz w:val="21"/>
                      <w:szCs w:val="21"/>
                      <w:u w:val="none" w:color="auto"/>
                    </w:rPr>
                    <w:t>kg/h</w:t>
                  </w:r>
                </w:p>
              </w:tc>
              <w:tc>
                <w:tcPr>
                  <w:tcW w:w="68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c>
                <w:tcPr>
                  <w:tcW w:w="67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NOx</w:t>
                  </w:r>
                </w:p>
              </w:tc>
              <w:tc>
                <w:tcPr>
                  <w:tcW w:w="68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1.02</w:t>
                  </w:r>
                  <w:r>
                    <w:rPr>
                      <w:rFonts w:ascii="Times New Roman" w:hAnsi="Times New Roman" w:cs="Times New Roman"/>
                      <w:sz w:val="21"/>
                      <w:szCs w:val="21"/>
                      <w:u w:val="none" w:color="auto"/>
                    </w:rPr>
                    <w:t>kg/t</w:t>
                  </w:r>
                </w:p>
              </w:tc>
              <w:tc>
                <w:tcPr>
                  <w:tcW w:w="694"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306</w:t>
                  </w:r>
                  <w:r>
                    <w:rPr>
                      <w:rFonts w:ascii="Times New Roman" w:hAnsi="Times New Roman" w:cs="Times New Roman"/>
                      <w:sz w:val="21"/>
                      <w:szCs w:val="21"/>
                      <w:u w:val="none" w:color="auto"/>
                    </w:rPr>
                    <w:t>kg/a</w:t>
                  </w:r>
                </w:p>
              </w:tc>
              <w:tc>
                <w:tcPr>
                  <w:tcW w:w="86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56.67</w:t>
                  </w:r>
                  <w:r>
                    <w:rPr>
                      <w:rFonts w:ascii="Times New Roman" w:hAnsi="Times New Roman" w:cs="Times New Roman"/>
                      <w:sz w:val="21"/>
                      <w:szCs w:val="21"/>
                      <w:u w:val="none" w:color="auto"/>
                    </w:rPr>
                    <w:t>mg/m³</w:t>
                  </w:r>
                </w:p>
              </w:tc>
              <w:tc>
                <w:tcPr>
                  <w:tcW w:w="761"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hint="default" w:ascii="Times New Roman" w:hAnsi="Times New Roman" w:cs="Times New Roman"/>
                      <w:sz w:val="21"/>
                      <w:szCs w:val="21"/>
                      <w:u w:val="none" w:color="auto"/>
                      <w:lang w:val="en-US" w:eastAsia="zh-CN"/>
                    </w:rPr>
                    <w:t>0.17</w:t>
                  </w:r>
                  <w:r>
                    <w:rPr>
                      <w:rFonts w:ascii="Times New Roman" w:hAnsi="Times New Roman" w:cs="Times New Roman"/>
                      <w:sz w:val="21"/>
                      <w:szCs w:val="21"/>
                      <w:u w:val="none" w:color="auto"/>
                    </w:rPr>
                    <w:t>kg/h</w:t>
                  </w:r>
                </w:p>
              </w:tc>
              <w:tc>
                <w:tcPr>
                  <w:tcW w:w="68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c>
                <w:tcPr>
                  <w:tcW w:w="67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5000" w:type="pct"/>
                  <w:gridSpan w:val="7"/>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低氮燃烧+湿式除尘</w:t>
                  </w:r>
                  <w:r>
                    <w:rPr>
                      <w:rFonts w:ascii="Times New Roman" w:hAnsi="Times New Roman" w:cs="Times New Roman"/>
                      <w:sz w:val="21"/>
                      <w:szCs w:val="21"/>
                      <w:u w:val="none" w:color="auto"/>
                    </w:rPr>
                    <w:t>，除尘效率</w:t>
                  </w:r>
                  <w:r>
                    <w:rPr>
                      <w:rFonts w:hint="default" w:ascii="Times New Roman" w:hAnsi="Times New Roman" w:cs="Times New Roman"/>
                      <w:sz w:val="21"/>
                      <w:szCs w:val="21"/>
                      <w:u w:val="none" w:color="auto"/>
                      <w:lang w:val="en-US" w:eastAsia="zh-CN"/>
                    </w:rPr>
                    <w:t>87</w:t>
                  </w:r>
                  <w:r>
                    <w:rPr>
                      <w:rFonts w:ascii="Times New Roman" w:hAnsi="Times New Roman" w:cs="Times New Roman"/>
                      <w:sz w:val="21"/>
                      <w:szCs w:val="21"/>
                      <w:u w:val="none" w:color="auto"/>
                    </w:rPr>
                    <w:t>%</w:t>
                  </w:r>
                  <w:r>
                    <w:rPr>
                      <w:rFonts w:hint="default" w:ascii="Times New Roman" w:hAnsi="Times New Roman" w:cs="Times New Roman"/>
                      <w:sz w:val="21"/>
                      <w:szCs w:val="21"/>
                      <w:u w:val="none" w:color="auto"/>
                      <w:lang w:eastAsia="zh-CN"/>
                    </w:rPr>
                    <w:t>，</w:t>
                  </w:r>
                  <w:r>
                    <w:rPr>
                      <w:rFonts w:hint="default" w:ascii="Times New Roman" w:hAnsi="Times New Roman" w:cs="Times New Roman"/>
                      <w:sz w:val="21"/>
                      <w:szCs w:val="21"/>
                      <w:u w:val="none" w:color="auto"/>
                      <w:lang w:val="en-US" w:eastAsia="zh-CN"/>
                    </w:rPr>
                    <w:t>脱硫效率15%</w:t>
                  </w:r>
                  <w:r>
                    <w:rPr>
                      <w:rFonts w:hint="default" w:ascii="Times New Roman" w:hAnsi="Times New Roman" w:cs="Times New Roman"/>
                      <w:sz w:val="21"/>
                      <w:szCs w:val="21"/>
                      <w:u w:val="none" w:color="auto"/>
                      <w:vertAlign w:val="baseline"/>
                      <w:lang w:eastAsia="zh-CN"/>
                    </w:rPr>
                    <w:t>，</w:t>
                  </w:r>
                  <w:r>
                    <w:rPr>
                      <w:rFonts w:hint="default" w:ascii="Times New Roman" w:hAnsi="Times New Roman" w:cs="Times New Roman"/>
                      <w:sz w:val="21"/>
                      <w:szCs w:val="21"/>
                      <w:u w:val="none" w:color="auto"/>
                      <w:lang w:val="en-US" w:eastAsia="zh-CN"/>
                    </w:rPr>
                    <w:t>脱氮效率30%</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b/>
                      <w:bCs/>
                      <w:sz w:val="21"/>
                      <w:szCs w:val="21"/>
                      <w:u w:val="none" w:color="auto"/>
                    </w:rPr>
                    <w:t>污染物</w:t>
                  </w:r>
                </w:p>
              </w:tc>
              <w:tc>
                <w:tcPr>
                  <w:tcW w:w="68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b/>
                      <w:bCs/>
                      <w:sz w:val="21"/>
                      <w:szCs w:val="21"/>
                      <w:u w:val="none" w:color="auto"/>
                      <w:lang w:val="en-US" w:eastAsia="zh-CN"/>
                    </w:rPr>
                    <w:t>排放</w:t>
                  </w:r>
                  <w:r>
                    <w:rPr>
                      <w:rFonts w:ascii="Times New Roman" w:hAnsi="Times New Roman" w:cs="Times New Roman"/>
                      <w:b/>
                      <w:bCs/>
                      <w:sz w:val="21"/>
                      <w:szCs w:val="21"/>
                      <w:u w:val="none" w:color="auto"/>
                    </w:rPr>
                    <w:t>系数</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b/>
                      <w:bCs/>
                      <w:sz w:val="21"/>
                      <w:szCs w:val="21"/>
                      <w:u w:val="none" w:color="auto"/>
                      <w:lang w:val="en-US" w:eastAsia="zh-CN"/>
                    </w:rPr>
                    <w:t>排放</w:t>
                  </w:r>
                  <w:r>
                    <w:rPr>
                      <w:rFonts w:ascii="Times New Roman" w:hAnsi="Times New Roman" w:cs="Times New Roman"/>
                      <w:b/>
                      <w:bCs/>
                      <w:sz w:val="21"/>
                      <w:szCs w:val="21"/>
                      <w:u w:val="none" w:color="auto"/>
                    </w:rPr>
                    <w:t>量</w:t>
                  </w:r>
                </w:p>
              </w:tc>
              <w:tc>
                <w:tcPr>
                  <w:tcW w:w="86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b/>
                      <w:bCs/>
                      <w:sz w:val="21"/>
                      <w:szCs w:val="21"/>
                      <w:u w:val="none" w:color="auto"/>
                      <w:lang w:val="en-US" w:eastAsia="zh-CN"/>
                    </w:rPr>
                    <w:t>排放</w:t>
                  </w:r>
                  <w:r>
                    <w:rPr>
                      <w:rFonts w:ascii="Times New Roman" w:hAnsi="Times New Roman" w:cs="Times New Roman"/>
                      <w:b/>
                      <w:bCs/>
                      <w:sz w:val="21"/>
                      <w:szCs w:val="21"/>
                      <w:u w:val="none" w:color="auto"/>
                    </w:rPr>
                    <w:t>浓度</w:t>
                  </w:r>
                </w:p>
              </w:tc>
              <w:tc>
                <w:tcPr>
                  <w:tcW w:w="761"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b/>
                      <w:bCs/>
                      <w:sz w:val="21"/>
                      <w:szCs w:val="21"/>
                      <w:u w:val="none" w:color="auto"/>
                      <w:lang w:val="en-US" w:eastAsia="zh-CN"/>
                    </w:rPr>
                    <w:t>排放</w:t>
                  </w:r>
                  <w:r>
                    <w:rPr>
                      <w:rFonts w:ascii="Times New Roman" w:hAnsi="Times New Roman" w:cs="Times New Roman"/>
                      <w:b/>
                      <w:bCs/>
                      <w:sz w:val="21"/>
                      <w:szCs w:val="21"/>
                      <w:u w:val="none" w:color="auto"/>
                    </w:rPr>
                    <w:t>速率</w:t>
                  </w:r>
                </w:p>
              </w:tc>
              <w:tc>
                <w:tcPr>
                  <w:tcW w:w="68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bCs/>
                      <w:sz w:val="21"/>
                      <w:szCs w:val="21"/>
                      <w:u w:val="none" w:color="auto"/>
                      <w:lang w:val="en-US" w:eastAsia="zh-CN"/>
                    </w:rPr>
                  </w:pPr>
                  <w:r>
                    <w:rPr>
                      <w:rFonts w:hint="default" w:ascii="Times New Roman" w:hAnsi="Times New Roman" w:cs="Times New Roman"/>
                      <w:b/>
                      <w:bCs/>
                      <w:sz w:val="21"/>
                      <w:szCs w:val="21"/>
                      <w:u w:val="none" w:color="auto"/>
                      <w:lang w:val="en-US" w:eastAsia="zh-CN"/>
                    </w:rPr>
                    <w:t>排放标准</w:t>
                  </w:r>
                </w:p>
              </w:tc>
              <w:tc>
                <w:tcPr>
                  <w:tcW w:w="67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bCs/>
                      <w:sz w:val="21"/>
                      <w:szCs w:val="21"/>
                      <w:u w:val="none" w:color="auto"/>
                      <w:lang w:val="en-US" w:eastAsia="zh-CN"/>
                    </w:rPr>
                  </w:pPr>
                  <w:r>
                    <w:rPr>
                      <w:rFonts w:hint="default" w:ascii="Times New Roman" w:hAnsi="Times New Roman" w:cs="Times New Roman"/>
                      <w:b/>
                      <w:bCs/>
                      <w:sz w:val="21"/>
                      <w:szCs w:val="21"/>
                      <w:u w:val="none" w:color="auto"/>
                      <w:lang w:val="en-US" w:eastAsia="zh-CN"/>
                    </w:rPr>
                    <w:t>是否达标</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SO</w:t>
                  </w:r>
                  <w:r>
                    <w:rPr>
                      <w:rFonts w:ascii="Times New Roman" w:hAnsi="Times New Roman" w:cs="Times New Roman"/>
                      <w:sz w:val="21"/>
                      <w:szCs w:val="21"/>
                      <w:u w:val="none" w:color="auto"/>
                      <w:vertAlign w:val="subscript"/>
                    </w:rPr>
                    <w:t>2</w:t>
                  </w:r>
                </w:p>
              </w:tc>
              <w:tc>
                <w:tcPr>
                  <w:tcW w:w="68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130.05</w:t>
                  </w:r>
                  <w:r>
                    <w:rPr>
                      <w:rFonts w:ascii="Times New Roman" w:hAnsi="Times New Roman" w:cs="Times New Roman"/>
                      <w:sz w:val="21"/>
                      <w:szCs w:val="21"/>
                      <w:u w:val="none" w:color="auto"/>
                    </w:rPr>
                    <w:t>kg/a</w:t>
                  </w:r>
                </w:p>
              </w:tc>
              <w:tc>
                <w:tcPr>
                  <w:tcW w:w="86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24.08</w:t>
                  </w:r>
                  <w:r>
                    <w:rPr>
                      <w:rFonts w:ascii="Times New Roman" w:hAnsi="Times New Roman" w:cs="Times New Roman"/>
                      <w:sz w:val="21"/>
                      <w:szCs w:val="21"/>
                      <w:u w:val="none" w:color="auto"/>
                    </w:rPr>
                    <w:t>mg/m³</w:t>
                  </w:r>
                </w:p>
              </w:tc>
              <w:tc>
                <w:tcPr>
                  <w:tcW w:w="761"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0.072</w:t>
                  </w:r>
                  <w:r>
                    <w:rPr>
                      <w:rFonts w:ascii="Times New Roman" w:hAnsi="Times New Roman" w:cs="Times New Roman"/>
                      <w:sz w:val="21"/>
                      <w:szCs w:val="21"/>
                      <w:u w:val="none" w:color="auto"/>
                    </w:rPr>
                    <w:t>kg/h</w:t>
                  </w:r>
                </w:p>
              </w:tc>
              <w:tc>
                <w:tcPr>
                  <w:tcW w:w="68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300</w:t>
                  </w:r>
                  <w:r>
                    <w:rPr>
                      <w:rFonts w:ascii="Times New Roman" w:hAnsi="Times New Roman" w:cs="Times New Roman"/>
                      <w:sz w:val="21"/>
                      <w:szCs w:val="21"/>
                      <w:u w:val="none" w:color="auto"/>
                    </w:rPr>
                    <w:t>mg/m³</w:t>
                  </w:r>
                </w:p>
              </w:tc>
              <w:tc>
                <w:tcPr>
                  <w:tcW w:w="67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达标</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cs="Times New Roman"/>
                      <w:sz w:val="21"/>
                      <w:szCs w:val="21"/>
                      <w:u w:val="none" w:color="auto"/>
                      <w:lang w:val="en-US" w:eastAsia="zh-CN"/>
                    </w:rPr>
                    <w:t>颗粒物</w:t>
                  </w:r>
                </w:p>
              </w:tc>
              <w:tc>
                <w:tcPr>
                  <w:tcW w:w="68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19.5</w:t>
                  </w:r>
                  <w:r>
                    <w:rPr>
                      <w:rFonts w:ascii="Times New Roman" w:hAnsi="Times New Roman" w:cs="Times New Roman"/>
                      <w:sz w:val="21"/>
                      <w:szCs w:val="21"/>
                      <w:u w:val="none" w:color="auto"/>
                    </w:rPr>
                    <w:t>kg/a</w:t>
                  </w:r>
                </w:p>
              </w:tc>
              <w:tc>
                <w:tcPr>
                  <w:tcW w:w="86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3.61</w:t>
                  </w:r>
                  <w:r>
                    <w:rPr>
                      <w:rFonts w:ascii="Times New Roman" w:hAnsi="Times New Roman" w:cs="Times New Roman"/>
                      <w:sz w:val="21"/>
                      <w:szCs w:val="21"/>
                      <w:u w:val="none" w:color="auto"/>
                    </w:rPr>
                    <w:t>mg/m³</w:t>
                  </w:r>
                </w:p>
              </w:tc>
              <w:tc>
                <w:tcPr>
                  <w:tcW w:w="761"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0.0108</w:t>
                  </w:r>
                  <w:r>
                    <w:rPr>
                      <w:rFonts w:ascii="Times New Roman" w:hAnsi="Times New Roman" w:cs="Times New Roman"/>
                      <w:sz w:val="21"/>
                      <w:szCs w:val="21"/>
                      <w:u w:val="none" w:color="auto"/>
                    </w:rPr>
                    <w:t>kg/h</w:t>
                  </w:r>
                </w:p>
              </w:tc>
              <w:tc>
                <w:tcPr>
                  <w:tcW w:w="68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50</w:t>
                  </w:r>
                  <w:r>
                    <w:rPr>
                      <w:rFonts w:ascii="Times New Roman" w:hAnsi="Times New Roman" w:cs="Times New Roman"/>
                      <w:sz w:val="21"/>
                      <w:szCs w:val="21"/>
                      <w:u w:val="none" w:color="auto"/>
                    </w:rPr>
                    <w:t>mg/m³</w:t>
                  </w:r>
                </w:p>
              </w:tc>
              <w:tc>
                <w:tcPr>
                  <w:tcW w:w="67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达标</w:t>
                  </w:r>
                </w:p>
              </w:tc>
            </w:tr>
            <w:tr>
              <w:tblPrEx>
                <w:tblBorders>
                  <w:top w:val="single" w:color="auto" w:sz="4" w:space="0"/>
                  <w:left w:val="single" w:color="auto" w:sz="8" w:space="0"/>
                  <w:bottom w:val="single" w:color="auto" w:sz="4"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633"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cs="Times New Roman"/>
                      <w:sz w:val="21"/>
                      <w:szCs w:val="21"/>
                      <w:u w:val="none" w:color="auto"/>
                    </w:rPr>
                  </w:pPr>
                  <w:r>
                    <w:rPr>
                      <w:rFonts w:ascii="Times New Roman" w:hAnsi="Times New Roman" w:cs="Times New Roman"/>
                      <w:sz w:val="21"/>
                      <w:szCs w:val="21"/>
                      <w:u w:val="none" w:color="auto"/>
                    </w:rPr>
                    <w:t>NOx</w:t>
                  </w:r>
                </w:p>
              </w:tc>
              <w:tc>
                <w:tcPr>
                  <w:tcW w:w="68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w:t>
                  </w:r>
                </w:p>
              </w:tc>
              <w:tc>
                <w:tcPr>
                  <w:tcW w:w="115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214.2</w:t>
                  </w:r>
                  <w:r>
                    <w:rPr>
                      <w:rFonts w:ascii="Times New Roman" w:hAnsi="Times New Roman" w:cs="Times New Roman"/>
                      <w:sz w:val="21"/>
                      <w:szCs w:val="21"/>
                      <w:u w:val="none" w:color="auto"/>
                    </w:rPr>
                    <w:t>kg/a</w:t>
                  </w:r>
                </w:p>
              </w:tc>
              <w:tc>
                <w:tcPr>
                  <w:tcW w:w="1428"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39.67</w:t>
                  </w:r>
                  <w:r>
                    <w:rPr>
                      <w:rFonts w:ascii="Times New Roman" w:hAnsi="Times New Roman" w:cs="Times New Roman"/>
                      <w:sz w:val="21"/>
                      <w:szCs w:val="21"/>
                      <w:u w:val="none" w:color="auto"/>
                    </w:rPr>
                    <w:t>mg/m³</w:t>
                  </w:r>
                </w:p>
              </w:tc>
              <w:tc>
                <w:tcPr>
                  <w:tcW w:w="1261"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0.119</w:t>
                  </w:r>
                  <w:r>
                    <w:rPr>
                      <w:rFonts w:ascii="Times New Roman" w:hAnsi="Times New Roman" w:cs="Times New Roman"/>
                      <w:sz w:val="21"/>
                      <w:szCs w:val="21"/>
                      <w:u w:val="none" w:color="auto"/>
                    </w:rPr>
                    <w:t>kg/h</w:t>
                  </w:r>
                </w:p>
              </w:tc>
              <w:tc>
                <w:tcPr>
                  <w:tcW w:w="68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300</w:t>
                  </w:r>
                  <w:r>
                    <w:rPr>
                      <w:rFonts w:ascii="Times New Roman" w:hAnsi="Times New Roman" w:cs="Times New Roman"/>
                      <w:sz w:val="21"/>
                      <w:szCs w:val="21"/>
                      <w:u w:val="none" w:color="auto"/>
                    </w:rPr>
                    <w:t>mg/m³</w:t>
                  </w:r>
                </w:p>
              </w:tc>
              <w:tc>
                <w:tcPr>
                  <w:tcW w:w="67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达标</w:t>
                  </w:r>
                </w:p>
              </w:tc>
            </w:tr>
          </w:tbl>
          <w:p>
            <w:pPr>
              <w:ind w:firstLine="480"/>
              <w:rPr>
                <w:rFonts w:hint="default" w:ascii="Times New Roman" w:hAnsi="Times New Roman" w:cs="Times New Roman"/>
                <w:color w:val="auto"/>
                <w:u w:val="none" w:color="auto"/>
                <w:lang w:val="en-US"/>
              </w:rPr>
            </w:pPr>
            <w:r>
              <w:rPr>
                <w:rFonts w:hint="default" w:ascii="Times New Roman" w:hAnsi="Times New Roman" w:cs="Times New Roman"/>
                <w:bCs/>
                <w:color w:val="000000"/>
                <w:szCs w:val="21"/>
                <w:u w:val="none" w:color="auto"/>
              </w:rPr>
              <w:t>根据上表可知，本项目燃料燃烧废气浓度满足《锅炉大气污染物排放标准》（</w:t>
            </w:r>
            <w:r>
              <w:rPr>
                <w:rFonts w:ascii="Times New Roman" w:hAnsi="Times New Roman" w:cs="Times New Roman"/>
                <w:bCs/>
                <w:color w:val="000000"/>
                <w:szCs w:val="21"/>
                <w:u w:val="none" w:color="auto"/>
              </w:rPr>
              <w:t>GB13271-2014</w:t>
            </w:r>
            <w:r>
              <w:rPr>
                <w:rFonts w:hint="default" w:ascii="Times New Roman" w:hAnsi="Times New Roman" w:cs="Times New Roman"/>
                <w:bCs/>
                <w:color w:val="000000"/>
                <w:szCs w:val="21"/>
                <w:u w:val="none" w:color="auto"/>
              </w:rPr>
              <w:t>）中燃煤锅炉烟气排放标准，根据《锅炉大气污染物排放标准》（</w:t>
            </w:r>
            <w:r>
              <w:rPr>
                <w:rFonts w:ascii="Times New Roman" w:hAnsi="Times New Roman" w:cs="Times New Roman"/>
                <w:bCs/>
                <w:color w:val="000000"/>
                <w:szCs w:val="21"/>
                <w:u w:val="none" w:color="auto"/>
              </w:rPr>
              <w:t>GB13271-2014</w:t>
            </w:r>
            <w:r>
              <w:rPr>
                <w:rFonts w:hint="default" w:ascii="Times New Roman" w:hAnsi="Times New Roman" w:cs="Times New Roman"/>
                <w:bCs/>
                <w:color w:val="000000"/>
                <w:szCs w:val="21"/>
                <w:u w:val="none" w:color="auto"/>
              </w:rPr>
              <w:t>）中规定燃煤锅炉烟囱高度不低于</w:t>
            </w:r>
            <w:r>
              <w:rPr>
                <w:rFonts w:ascii="Times New Roman" w:hAnsi="Times New Roman" w:cs="Times New Roman"/>
                <w:bCs/>
                <w:color w:val="000000"/>
                <w:szCs w:val="21"/>
                <w:u w:val="none" w:color="auto"/>
                <w:lang w:val="en-US"/>
              </w:rPr>
              <w:t>20m</w:t>
            </w:r>
            <w:r>
              <w:rPr>
                <w:rFonts w:hint="default" w:ascii="Times New Roman" w:hAnsi="Times New Roman" w:cs="Times New Roman"/>
                <w:bCs/>
                <w:color w:val="000000"/>
                <w:szCs w:val="21"/>
                <w:u w:val="none" w:color="auto"/>
                <w:lang w:val="en-US"/>
              </w:rPr>
              <w:t>，本项目设置排气筒为</w:t>
            </w:r>
            <w:r>
              <w:rPr>
                <w:rFonts w:ascii="Times New Roman" w:hAnsi="Times New Roman" w:cs="Times New Roman"/>
                <w:bCs/>
                <w:color w:val="000000"/>
                <w:szCs w:val="21"/>
                <w:u w:val="none" w:color="auto"/>
                <w:lang w:val="en-US"/>
              </w:rPr>
              <w:t>20</w:t>
            </w:r>
            <w:r>
              <w:rPr>
                <w:rFonts w:hint="default" w:ascii="Times New Roman" w:hAnsi="Times New Roman" w:cs="Times New Roman"/>
                <w:bCs/>
                <w:color w:val="000000"/>
                <w:szCs w:val="21"/>
                <w:u w:val="none" w:color="auto"/>
                <w:lang w:val="en-US"/>
              </w:rPr>
              <w:t>米符合</w:t>
            </w:r>
            <w:r>
              <w:rPr>
                <w:rFonts w:hint="default" w:ascii="Times New Roman" w:hAnsi="Times New Roman" w:cs="Times New Roman"/>
                <w:bCs/>
                <w:color w:val="000000"/>
                <w:szCs w:val="21"/>
                <w:u w:val="none" w:color="auto"/>
              </w:rPr>
              <w:t>《锅炉大气污染物排放标准》（</w:t>
            </w:r>
            <w:r>
              <w:rPr>
                <w:rFonts w:ascii="Times New Roman" w:hAnsi="Times New Roman" w:cs="Times New Roman"/>
                <w:bCs/>
                <w:color w:val="000000"/>
                <w:szCs w:val="21"/>
                <w:u w:val="none" w:color="auto"/>
              </w:rPr>
              <w:t>GB13271-2014</w:t>
            </w:r>
            <w:r>
              <w:rPr>
                <w:rFonts w:hint="default" w:ascii="Times New Roman" w:hAnsi="Times New Roman" w:cs="Times New Roman"/>
                <w:bCs/>
                <w:color w:val="000000"/>
                <w:szCs w:val="21"/>
                <w:u w:val="none" w:color="auto"/>
              </w:rPr>
              <w:t>）的要求</w:t>
            </w:r>
            <w:r>
              <w:rPr>
                <w:rFonts w:hint="default" w:ascii="Times New Roman" w:hAnsi="Times New Roman" w:cs="Times New Roman"/>
                <w:bCs/>
                <w:color w:val="000000"/>
                <w:szCs w:val="21"/>
                <w:u w:val="none" w:color="auto"/>
                <w:lang w:eastAsia="zh-CN"/>
              </w:rPr>
              <w:t>，</w:t>
            </w:r>
            <w:r>
              <w:rPr>
                <w:rFonts w:hint="default" w:ascii="Times New Roman" w:hAnsi="Times New Roman" w:cs="Times New Roman"/>
                <w:u w:val="none" w:color="auto"/>
                <w:lang w:val="en-US" w:eastAsia="zh-CN"/>
              </w:rPr>
              <w:t>位于项目地下风向周边最近敏感点为西南侧</w:t>
            </w:r>
            <w:r>
              <w:rPr>
                <w:rFonts w:hint="eastAsia" w:cs="Times New Roman"/>
                <w:u w:val="none" w:color="auto"/>
                <w:lang w:val="en-US" w:eastAsia="zh-CN"/>
              </w:rPr>
              <w:t>10</w:t>
            </w:r>
            <w:r>
              <w:rPr>
                <w:rFonts w:hint="default" w:ascii="Times New Roman" w:hAnsi="Times New Roman" w:cs="Times New Roman"/>
                <w:u w:val="none" w:color="auto"/>
                <w:lang w:val="en-US" w:eastAsia="zh-CN"/>
              </w:rPr>
              <w:t>m处的红土溪村散户</w:t>
            </w:r>
            <w:r>
              <w:rPr>
                <w:rFonts w:hint="eastAsia" w:cs="Times New Roman"/>
                <w:u w:val="none" w:color="auto"/>
                <w:lang w:val="en-US" w:eastAsia="zh-CN"/>
              </w:rPr>
              <w:t>1户</w:t>
            </w:r>
            <w:r>
              <w:rPr>
                <w:rFonts w:hint="default" w:ascii="Times New Roman" w:hAnsi="Times New Roman" w:cs="Times New Roman"/>
                <w:u w:val="none" w:color="auto"/>
                <w:lang w:val="en-US" w:eastAsia="zh-CN"/>
              </w:rPr>
              <w:t>，</w:t>
            </w:r>
            <w:r>
              <w:rPr>
                <w:rFonts w:hint="default" w:ascii="Times New Roman" w:hAnsi="Times New Roman" w:cs="Times New Roman"/>
                <w:u w:val="none" w:color="auto"/>
              </w:rPr>
              <w:t>该户居民仅在春节期间有人</w:t>
            </w:r>
            <w:r>
              <w:rPr>
                <w:rFonts w:hint="eastAsia" w:cs="Times New Roman"/>
                <w:u w:val="none" w:color="auto"/>
                <w:lang w:val="en-US" w:eastAsia="zh-CN"/>
              </w:rPr>
              <w:t>短暂</w:t>
            </w:r>
            <w:r>
              <w:rPr>
                <w:rFonts w:hint="default" w:ascii="Times New Roman" w:hAnsi="Times New Roman" w:cs="Times New Roman"/>
                <w:u w:val="none" w:color="auto"/>
              </w:rPr>
              <w:t>居住，其余时间闲置</w:t>
            </w:r>
            <w:r>
              <w:rPr>
                <w:rFonts w:hint="default" w:ascii="Times New Roman" w:hAnsi="Times New Roman" w:cs="Times New Roman"/>
                <w:u w:val="none" w:color="auto"/>
                <w:lang w:val="en-US" w:eastAsia="zh-CN"/>
              </w:rPr>
              <w:t>，</w:t>
            </w:r>
            <w:r>
              <w:rPr>
                <w:rFonts w:hint="eastAsia" w:cs="Times New Roman"/>
                <w:u w:val="none" w:color="auto"/>
                <w:lang w:val="en-US" w:eastAsia="zh-CN"/>
              </w:rPr>
              <w:t>其余</w:t>
            </w:r>
            <w:r>
              <w:rPr>
                <w:rFonts w:hint="default" w:ascii="Times New Roman" w:hAnsi="Times New Roman" w:cs="Times New Roman"/>
                <w:u w:val="none" w:color="auto"/>
                <w:lang w:val="en-US" w:eastAsia="zh-CN"/>
              </w:rPr>
              <w:t>均为空房</w:t>
            </w:r>
            <w:r>
              <w:rPr>
                <w:rFonts w:hint="eastAsia" w:cs="Times New Roman"/>
                <w:u w:val="none" w:color="auto"/>
                <w:lang w:val="en-US" w:eastAsia="zh-CN"/>
              </w:rPr>
              <w:t>，因此</w:t>
            </w:r>
            <w:r>
              <w:rPr>
                <w:rFonts w:hint="default" w:ascii="Times New Roman" w:hAnsi="Times New Roman" w:cs="Times New Roman"/>
                <w:u w:val="none" w:color="auto"/>
                <w:lang w:val="en-US" w:eastAsia="zh-CN"/>
              </w:rPr>
              <w:t>锅炉烟气通过大气扩散后对周边环境影响较小</w:t>
            </w:r>
            <w:r>
              <w:rPr>
                <w:rFonts w:hint="default" w:ascii="Times New Roman" w:hAnsi="Times New Roman" w:cs="Times New Roman"/>
                <w:u w:val="none" w:color="auto"/>
                <w:lang w:val="en-US"/>
              </w:rPr>
              <w:t>。</w:t>
            </w:r>
          </w:p>
          <w:p>
            <w:pPr>
              <w:pStyle w:val="6"/>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4.2.2.1 大气环境保护措施可行性及环境影响分析</w:t>
            </w:r>
          </w:p>
          <w:p>
            <w:pPr>
              <w:ind w:firstLine="480"/>
              <w:rPr>
                <w:rFonts w:ascii="Times New Roman" w:hAnsi="Times New Roman" w:cs="Times New Roman"/>
                <w:b/>
                <w:bCs/>
                <w:color w:val="auto"/>
                <w:u w:val="none" w:color="auto"/>
                <w:lang w:val="en-US"/>
              </w:rPr>
            </w:pPr>
            <w:r>
              <w:rPr>
                <w:rFonts w:hint="default" w:ascii="Times New Roman" w:hAnsi="Times New Roman" w:cs="Times New Roman"/>
                <w:b/>
                <w:bCs/>
                <w:color w:val="auto"/>
                <w:u w:val="none" w:color="auto"/>
                <w:lang w:val="en-US"/>
              </w:rPr>
              <w:t>（</w:t>
            </w:r>
            <w:r>
              <w:rPr>
                <w:rFonts w:hint="default"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lang w:val="en-US"/>
              </w:rPr>
              <w:t>）治理措施及可行性分析</w:t>
            </w:r>
          </w:p>
          <w:p>
            <w:pPr>
              <w:wordWrap/>
              <w:overflowPunct w:val="0"/>
              <w:topLinePunct w:val="0"/>
              <w:autoSpaceDE w:val="0"/>
              <w:autoSpaceDN w:val="0"/>
              <w:ind w:firstLine="480"/>
              <w:rPr>
                <w:rFonts w:hint="default" w:ascii="Times New Roman" w:hAnsi="Times New Roman" w:cs="Times New Roman"/>
                <w:color w:val="auto"/>
                <w:u w:val="none" w:color="auto"/>
                <w:lang w:val="en-US"/>
              </w:rPr>
            </w:pPr>
            <w:r>
              <w:rPr>
                <w:rFonts w:hint="default" w:ascii="Times New Roman" w:hAnsi="Times New Roman" w:cs="Times New Roman"/>
                <w:u w:val="none" w:color="auto"/>
                <w:lang w:val="en-US"/>
              </w:rPr>
              <w:t>锅炉燃料燃烧废气采用的治理措施为</w:t>
            </w:r>
            <w:r>
              <w:rPr>
                <w:rFonts w:hint="default" w:ascii="Times New Roman" w:hAnsi="Times New Roman" w:cs="Times New Roman"/>
                <w:u w:val="none" w:color="auto"/>
                <w:lang w:val="en-US" w:eastAsia="zh-CN"/>
              </w:rPr>
              <w:t>低氮燃烧+湿式除尘</w:t>
            </w:r>
            <w:r>
              <w:rPr>
                <w:rFonts w:ascii="Times New Roman" w:hAnsi="Times New Roman" w:cs="Times New Roman"/>
                <w:u w:val="none" w:color="auto"/>
              </w:rPr>
              <w:t>技术</w:t>
            </w:r>
            <w:r>
              <w:rPr>
                <w:rFonts w:hint="default" w:ascii="Times New Roman" w:hAnsi="Times New Roman" w:cs="Times New Roman"/>
                <w:u w:val="none" w:color="auto"/>
                <w:lang w:val="en-US"/>
              </w:rPr>
              <w:t>，属于《排污许可证申请与核发技术规范 锅炉》（</w:t>
            </w:r>
            <w:r>
              <w:rPr>
                <w:rFonts w:ascii="Times New Roman" w:hAnsi="Times New Roman" w:cs="Times New Roman"/>
                <w:u w:val="none" w:color="auto"/>
                <w:lang w:val="en-US"/>
              </w:rPr>
              <w:t>HJ953—2018</w:t>
            </w:r>
            <w:r>
              <w:rPr>
                <w:rFonts w:hint="default" w:ascii="Times New Roman" w:hAnsi="Times New Roman" w:cs="Times New Roman"/>
                <w:u w:val="none" w:color="auto"/>
                <w:lang w:val="en-US"/>
              </w:rPr>
              <w:t>）表7 中</w:t>
            </w:r>
            <w:r>
              <w:rPr>
                <w:rFonts w:hint="default" w:ascii="Times New Roman" w:hAnsi="Times New Roman" w:cs="Times New Roman"/>
                <w:u w:val="none" w:color="auto"/>
                <w:lang w:val="en-US" w:eastAsia="zh-CN"/>
              </w:rPr>
              <w:t>的</w:t>
            </w:r>
            <w:r>
              <w:rPr>
                <w:rFonts w:hint="default" w:ascii="Times New Roman" w:hAnsi="Times New Roman" w:cs="Times New Roman"/>
                <w:u w:val="none" w:color="auto"/>
                <w:lang w:val="en-US"/>
              </w:rPr>
              <w:t>锅炉烟气污染防治可行技术，结合本项目产污情况分析，项目使用</w:t>
            </w:r>
            <w:r>
              <w:rPr>
                <w:rFonts w:hint="default" w:ascii="Times New Roman" w:hAnsi="Times New Roman" w:cs="Times New Roman"/>
                <w:u w:val="none" w:color="auto"/>
                <w:lang w:val="en-US" w:eastAsia="zh-CN"/>
              </w:rPr>
              <w:t>低氮燃烧+湿式除尘器对燃料废气进行处理</w:t>
            </w:r>
            <w:r>
              <w:rPr>
                <w:rFonts w:hint="default" w:ascii="Times New Roman" w:hAnsi="Times New Roman" w:cs="Times New Roman"/>
                <w:u w:val="none" w:color="auto"/>
                <w:lang w:val="en-US"/>
              </w:rPr>
              <w:t>，</w:t>
            </w:r>
            <w:r>
              <w:rPr>
                <w:rFonts w:hint="default" w:ascii="Times New Roman" w:hAnsi="Times New Roman" w:cs="Times New Roman"/>
                <w:u w:val="none" w:color="auto"/>
              </w:rPr>
              <w:t>二氧化硫、氮氧化物、</w:t>
            </w:r>
            <w:r>
              <w:rPr>
                <w:rFonts w:hint="default" w:ascii="Times New Roman" w:hAnsi="Times New Roman" w:cs="Times New Roman"/>
                <w:u w:val="none" w:color="auto"/>
                <w:lang w:val="en-US" w:eastAsia="zh-CN"/>
              </w:rPr>
              <w:t>颗粒物</w:t>
            </w:r>
            <w:r>
              <w:rPr>
                <w:rFonts w:hint="default" w:ascii="Times New Roman" w:hAnsi="Times New Roman" w:cs="Times New Roman"/>
                <w:u w:val="none" w:color="auto"/>
                <w:lang w:val="en-US"/>
              </w:rPr>
              <w:t>污染物排放浓度</w:t>
            </w:r>
            <w:r>
              <w:rPr>
                <w:rFonts w:hint="default" w:ascii="Times New Roman" w:hAnsi="Times New Roman" w:cs="Times New Roman"/>
                <w:u w:val="none" w:color="auto"/>
                <w:lang w:val="en-US" w:eastAsia="zh-CN"/>
              </w:rPr>
              <w:t>均</w:t>
            </w:r>
            <w:r>
              <w:rPr>
                <w:rFonts w:hint="default" w:ascii="Times New Roman" w:hAnsi="Times New Roman" w:cs="Times New Roman"/>
                <w:u w:val="none" w:color="auto"/>
                <w:lang w:val="en-US"/>
              </w:rPr>
              <w:t>满足</w:t>
            </w:r>
            <w:r>
              <w:rPr>
                <w:rFonts w:hint="default" w:ascii="Times New Roman" w:hAnsi="Times New Roman" w:cs="Times New Roman"/>
                <w:bCs/>
                <w:color w:val="000000"/>
                <w:szCs w:val="21"/>
                <w:u w:val="none" w:color="auto"/>
              </w:rPr>
              <w:t>《锅炉大气污染物排放标准》（</w:t>
            </w:r>
            <w:r>
              <w:rPr>
                <w:rFonts w:ascii="Times New Roman" w:hAnsi="Times New Roman" w:cs="Times New Roman"/>
                <w:bCs/>
                <w:color w:val="000000"/>
                <w:szCs w:val="21"/>
                <w:u w:val="none" w:color="auto"/>
              </w:rPr>
              <w:t>GB13271-2014</w:t>
            </w:r>
            <w:r>
              <w:rPr>
                <w:rFonts w:hint="default" w:ascii="Times New Roman" w:hAnsi="Times New Roman" w:cs="Times New Roman"/>
                <w:bCs/>
                <w:color w:val="000000"/>
                <w:szCs w:val="21"/>
                <w:u w:val="none" w:color="auto"/>
              </w:rPr>
              <w:t>）中燃煤锅炉烟气排放标准，故</w:t>
            </w:r>
            <w:r>
              <w:rPr>
                <w:rFonts w:hint="default" w:ascii="Times New Roman" w:hAnsi="Times New Roman" w:cs="Times New Roman"/>
                <w:u w:val="none" w:color="auto"/>
                <w:lang w:val="en-US"/>
              </w:rPr>
              <w:t>锅炉燃料燃烧废气采用的</w:t>
            </w:r>
            <w:r>
              <w:rPr>
                <w:rFonts w:hint="default" w:ascii="Times New Roman" w:hAnsi="Times New Roman" w:cs="Times New Roman"/>
                <w:u w:val="none" w:color="auto"/>
                <w:lang w:val="en-US" w:eastAsia="zh-CN"/>
              </w:rPr>
              <w:t>低氮燃烧+湿式除尘</w:t>
            </w:r>
            <w:r>
              <w:rPr>
                <w:rFonts w:ascii="Times New Roman" w:hAnsi="Times New Roman" w:cs="Times New Roman"/>
                <w:u w:val="none" w:color="auto"/>
              </w:rPr>
              <w:t>技术</w:t>
            </w:r>
            <w:r>
              <w:rPr>
                <w:rFonts w:hint="default" w:ascii="Times New Roman" w:hAnsi="Times New Roman" w:cs="Times New Roman"/>
                <w:u w:val="none" w:color="auto"/>
                <w:lang w:val="en-US"/>
              </w:rPr>
              <w:t>治理措施为可行性技术。</w:t>
            </w:r>
          </w:p>
          <w:p>
            <w:pPr>
              <w:wordWrap/>
              <w:overflowPunct w:val="0"/>
              <w:topLinePunct w:val="0"/>
              <w:autoSpaceDE w:val="0"/>
              <w:autoSpaceDN w:val="0"/>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本项目产生粉尘的生产设备均为密闭设备，项目投料、物料传输均采用密闭管道输送，符合《排污许可证申请与核发技术规范—食品制造工业—方便食品、食品及饲料添加剂制造工业》（HJ1030.3-2019）中5.2.4条“无组织排放控制要求”中加强密封或加强密闭等相应控制要求。</w:t>
            </w:r>
            <w:r>
              <w:rPr>
                <w:rFonts w:hint="default" w:ascii="Times New Roman" w:hAnsi="Times New Roman" w:cs="Times New Roman"/>
                <w:u w:val="none" w:color="auto"/>
                <w:lang w:val="en-US"/>
              </w:rPr>
              <w:t>污水处理站臭气采样污水处理池加盖密闭和喷洒除臭剂处理。</w:t>
            </w:r>
            <w:r>
              <w:rPr>
                <w:rFonts w:hint="default" w:ascii="Times New Roman" w:hAnsi="Times New Roman" w:cs="Times New Roman"/>
                <w:u w:val="none" w:color="auto"/>
              </w:rPr>
              <w:t>发酵异味通过对机器进行封闭式运行，每天按时清扫地面，废水应及时排放，以免废水因停留时间过长而发酵产生更大的异味。</w:t>
            </w:r>
            <w:r>
              <w:rPr>
                <w:rFonts w:hint="eastAsia" w:cs="Times New Roman"/>
                <w:color w:val="auto"/>
                <w:u w:val="none" w:color="auto"/>
                <w:lang w:val="en-US" w:eastAsia="zh-CN"/>
              </w:rPr>
              <w:t>生物质燃料</w:t>
            </w:r>
            <w:r>
              <w:rPr>
                <w:rFonts w:hint="eastAsia"/>
                <w:u w:val="none" w:color="auto"/>
                <w:lang w:val="en-US" w:eastAsia="zh-CN"/>
              </w:rPr>
              <w:t>投料产生的粉尘极小，可忽略不计，为无组织排放，</w:t>
            </w:r>
            <w:r>
              <w:rPr>
                <w:rFonts w:hint="default" w:ascii="Times New Roman" w:hAnsi="Times New Roman" w:cs="Times New Roman"/>
                <w:u w:val="none" w:color="auto"/>
              </w:rPr>
              <w:t>项目厂区内安装足够量的抽风设备，以保持厂区内空气流畅。</w:t>
            </w:r>
          </w:p>
          <w:p>
            <w:pPr>
              <w:wordWrap/>
              <w:overflowPunct w:val="0"/>
              <w:topLinePunct w:val="0"/>
              <w:autoSpaceDE w:val="0"/>
              <w:autoSpaceDN w:val="0"/>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所以本项目的废气处理措施是可行的。</w:t>
            </w:r>
          </w:p>
          <w:p>
            <w:pPr>
              <w:bidi w:val="0"/>
              <w:rPr>
                <w:rFonts w:hint="default" w:ascii="Times New Roman" w:hAnsi="Times New Roman" w:eastAsia="宋体" w:cs="Times New Roman"/>
                <w:b/>
                <w:bCs/>
                <w:u w:val="none" w:color="auto"/>
                <w:lang w:val="en-US" w:eastAsia="zh-CN"/>
              </w:rPr>
            </w:pPr>
            <w:r>
              <w:rPr>
                <w:rFonts w:hint="default" w:ascii="Times New Roman" w:hAnsi="Times New Roman" w:cs="Times New Roman"/>
                <w:b/>
                <w:bCs/>
                <w:u w:val="none" w:color="auto"/>
                <w:lang w:val="en-US" w:eastAsia="zh-CN"/>
              </w:rPr>
              <w:t>（2）排气筒高度合理性分析</w:t>
            </w:r>
          </w:p>
          <w:p>
            <w:pPr>
              <w:bidi w:val="0"/>
              <w:rPr>
                <w:rFonts w:hint="default" w:ascii="Times New Roman" w:hAnsi="Times New Roman" w:cs="Times New Roman"/>
                <w:u w:val="none" w:color="auto"/>
                <w:lang w:val="en-US"/>
              </w:rPr>
            </w:pPr>
            <w:r>
              <w:rPr>
                <w:rFonts w:ascii="Times New Roman" w:hAnsi="Times New Roman" w:cs="Times New Roman"/>
                <w:u w:val="none" w:color="auto"/>
              </w:rPr>
              <w:t>根据</w:t>
            </w:r>
            <w:r>
              <w:rPr>
                <w:rFonts w:hint="default" w:ascii="Times New Roman" w:hAnsi="Times New Roman" w:cs="Times New Roman"/>
                <w:u w:val="none" w:color="auto"/>
                <w:lang w:eastAsia="zh-CN"/>
              </w:rPr>
              <w:t>《</w:t>
            </w:r>
            <w:r>
              <w:rPr>
                <w:rFonts w:ascii="Times New Roman" w:hAnsi="Times New Roman" w:cs="Times New Roman"/>
                <w:color w:val="auto"/>
                <w:u w:val="none" w:color="auto"/>
              </w:rPr>
              <w:t>锅炉大气污染物排放标准》（GB13271-2014）</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使用生物质成型燃料的锅炉参照燃煤锅炉排放控制要求执行，本项目所使用的蒸汽发生器为0.7t/h，排气筒最低允许高度为20m，</w:t>
            </w:r>
            <w:r>
              <w:rPr>
                <w:rFonts w:ascii="Times New Roman" w:hAnsi="Times New Roman" w:cs="Times New Roman"/>
                <w:u w:val="none" w:color="auto"/>
              </w:rPr>
              <w:t>还应高于周围建筑200米半径范围的建筑</w:t>
            </w:r>
            <w:r>
              <w:rPr>
                <w:rFonts w:hint="default" w:ascii="Times New Roman" w:hAnsi="Times New Roman" w:cs="Times New Roman"/>
                <w:u w:val="none" w:color="auto"/>
                <w:lang w:val="en-US" w:eastAsia="zh-CN"/>
              </w:rPr>
              <w:t>3</w:t>
            </w:r>
            <w:r>
              <w:rPr>
                <w:rFonts w:ascii="Times New Roman" w:hAnsi="Times New Roman" w:cs="Times New Roman"/>
                <w:u w:val="none" w:color="auto"/>
              </w:rPr>
              <w:t>米以上”。根据实地勘察</w:t>
            </w:r>
            <w:r>
              <w:rPr>
                <w:rFonts w:hint="default" w:ascii="Times New Roman" w:hAnsi="Times New Roman" w:cs="Times New Roman"/>
                <w:u w:val="none" w:color="auto"/>
                <w:lang w:eastAsia="zh-CN"/>
              </w:rPr>
              <w:t>，</w:t>
            </w:r>
            <w:r>
              <w:rPr>
                <w:rFonts w:ascii="Times New Roman" w:hAnsi="Times New Roman" w:cs="Times New Roman"/>
                <w:highlight w:val="none"/>
                <w:u w:val="none" w:color="auto"/>
              </w:rPr>
              <w:t>项目周边200m半径范围内的建筑物</w:t>
            </w:r>
            <w:r>
              <w:rPr>
                <w:rFonts w:hint="default" w:ascii="Times New Roman" w:hAnsi="Times New Roman" w:cs="Times New Roman"/>
                <w:highlight w:val="none"/>
                <w:u w:val="none" w:color="auto"/>
                <w:lang w:val="en-US" w:eastAsia="zh-CN"/>
              </w:rPr>
              <w:t>为项目西南侧的红土溪散户居民，与本项目高程差为</w:t>
            </w:r>
            <w:r>
              <w:rPr>
                <w:rFonts w:hint="eastAsia" w:cs="Times New Roman"/>
                <w:highlight w:val="none"/>
                <w:u w:val="none" w:color="auto"/>
                <w:lang w:val="en-US" w:eastAsia="zh-CN"/>
              </w:rPr>
              <w:t>3</w:t>
            </w:r>
            <w:r>
              <w:rPr>
                <w:rFonts w:hint="default" w:ascii="Times New Roman" w:hAnsi="Times New Roman" w:cs="Times New Roman"/>
                <w:highlight w:val="none"/>
                <w:u w:val="none" w:color="auto"/>
                <w:lang w:val="en-US" w:eastAsia="zh-CN"/>
              </w:rPr>
              <w:t>m，考虑民房高度约为6m左右</w:t>
            </w:r>
            <w:r>
              <w:rPr>
                <w:rFonts w:ascii="Times New Roman" w:hAnsi="Times New Roman" w:cs="Times New Roman"/>
                <w:highlight w:val="none"/>
                <w:u w:val="none" w:color="auto"/>
              </w:rPr>
              <w:t>，</w:t>
            </w:r>
            <w:r>
              <w:rPr>
                <w:rFonts w:hint="default" w:ascii="Times New Roman" w:hAnsi="Times New Roman" w:cs="Times New Roman"/>
                <w:highlight w:val="none"/>
                <w:u w:val="none" w:color="auto"/>
                <w:lang w:val="en-US" w:eastAsia="zh-CN"/>
              </w:rPr>
              <w:t>则本项目</w:t>
            </w:r>
            <w:r>
              <w:rPr>
                <w:rFonts w:ascii="Times New Roman" w:hAnsi="Times New Roman" w:cs="Times New Roman"/>
                <w:highlight w:val="none"/>
                <w:u w:val="none" w:color="auto"/>
              </w:rPr>
              <w:t>排气筒高度按照规范设置</w:t>
            </w:r>
            <w:r>
              <w:rPr>
                <w:rFonts w:hint="default" w:ascii="Times New Roman" w:hAnsi="Times New Roman" w:cs="Times New Roman"/>
                <w:highlight w:val="none"/>
                <w:u w:val="none" w:color="auto"/>
                <w:lang w:val="en-US" w:eastAsia="zh-CN"/>
              </w:rPr>
              <w:t>20</w:t>
            </w:r>
            <w:r>
              <w:rPr>
                <w:rFonts w:ascii="Times New Roman" w:hAnsi="Times New Roman" w:cs="Times New Roman"/>
                <w:highlight w:val="none"/>
                <w:u w:val="none" w:color="auto"/>
              </w:rPr>
              <w:t>m排气筒即可</w:t>
            </w:r>
            <w:r>
              <w:rPr>
                <w:rFonts w:hint="default" w:ascii="Times New Roman" w:hAnsi="Times New Roman" w:cs="Times New Roman"/>
                <w:highlight w:val="none"/>
                <w:u w:val="none" w:color="auto"/>
                <w:lang w:val="en-US" w:eastAsia="zh-CN"/>
              </w:rPr>
              <w:t>符合规范要求</w:t>
            </w:r>
            <w:r>
              <w:rPr>
                <w:rFonts w:ascii="Times New Roman" w:hAnsi="Times New Roman" w:cs="Times New Roman"/>
                <w:highlight w:val="none"/>
                <w:u w:val="none" w:color="auto"/>
              </w:rPr>
              <w:t>，</w:t>
            </w:r>
            <w:r>
              <w:rPr>
                <w:rFonts w:ascii="Times New Roman" w:hAnsi="Times New Roman" w:cs="Times New Roman"/>
                <w:u w:val="none" w:color="auto"/>
              </w:rPr>
              <w:t>项目排气筒位置及高度均严格按生产工艺特征、国家标准进行设置，综上可知，项目拟设排气筒高度较为合理。</w:t>
            </w:r>
          </w:p>
          <w:p>
            <w:pPr>
              <w:bidi w:val="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（3）大气环境影响影响分析</w:t>
            </w:r>
          </w:p>
          <w:p>
            <w:pPr>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根据前文源强核算，本项目废气排放情况如下表</w:t>
            </w:r>
          </w:p>
          <w:p>
            <w:pPr>
              <w:pStyle w:val="43"/>
              <w:bidi w:val="0"/>
              <w:rPr>
                <w:rFonts w:hint="default" w:ascii="Times New Roman" w:hAnsi="Times New Roman" w:cs="Times New Roman"/>
                <w:u w:val="none" w:color="auto"/>
                <w:lang w:eastAsia="zh-CN"/>
              </w:rPr>
            </w:pPr>
            <w:r>
              <w:rPr>
                <w:rFonts w:hint="default" w:ascii="Times New Roman" w:hAnsi="Times New Roman" w:cs="Times New Roman"/>
                <w:u w:val="none" w:color="auto"/>
                <w:lang w:eastAsia="zh-CN"/>
              </w:rPr>
              <w:t>表</w:t>
            </w:r>
            <w:r>
              <w:rPr>
                <w:rFonts w:hint="default" w:ascii="Times New Roman" w:hAnsi="Times New Roman" w:cs="Times New Roman"/>
                <w:u w:val="none" w:color="auto"/>
                <w:lang w:val="en-US" w:eastAsia="zh-CN"/>
              </w:rPr>
              <w:t>4.2-</w:t>
            </w:r>
            <w:r>
              <w:rPr>
                <w:rFonts w:hint="eastAsia" w:ascii="Times New Roman" w:hAnsi="Times New Roman" w:cs="Times New Roman"/>
                <w:u w:val="none" w:color="auto"/>
                <w:lang w:val="en-US" w:eastAsia="zh-CN"/>
              </w:rPr>
              <w:t>1</w:t>
            </w:r>
            <w:r>
              <w:rPr>
                <w:rFonts w:hint="eastAsia" w:cs="Times New Roman"/>
                <w:u w:val="none" w:color="auto"/>
                <w:lang w:val="en-US" w:eastAsia="zh-CN"/>
              </w:rPr>
              <w:t>2</w:t>
            </w:r>
            <w:r>
              <w:rPr>
                <w:rFonts w:hint="default" w:ascii="Times New Roman" w:hAnsi="Times New Roman" w:cs="Times New Roman"/>
                <w:u w:val="none" w:color="auto"/>
                <w:lang w:val="en-US" w:eastAsia="zh-CN"/>
              </w:rPr>
              <w:t xml:space="preserve"> </w:t>
            </w:r>
            <w:r>
              <w:rPr>
                <w:rFonts w:hint="default" w:ascii="Times New Roman" w:hAnsi="Times New Roman" w:cs="Times New Roman"/>
                <w:u w:val="none" w:color="auto"/>
                <w:lang w:eastAsia="zh-CN"/>
              </w:rPr>
              <w:t>有组织废气排放达标情况</w:t>
            </w:r>
          </w:p>
          <w:tbl>
            <w:tblPr>
              <w:tblStyle w:val="29"/>
              <w:tblW w:w="497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57"/>
              <w:gridCol w:w="1362"/>
              <w:gridCol w:w="1362"/>
              <w:gridCol w:w="1591"/>
              <w:gridCol w:w="1410"/>
              <w:gridCol w:w="12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818" w:type="pct"/>
                  <w:vMerge w:val="restart"/>
                  <w:tcBorders>
                    <w:tl2br w:val="nil"/>
                    <w:tr2bl w:val="nil"/>
                  </w:tcBorders>
                  <w:vAlign w:val="center"/>
                </w:tcPr>
                <w:p>
                  <w:pPr>
                    <w:pStyle w:val="39"/>
                    <w:bidi w:val="0"/>
                    <w:jc w:val="center"/>
                    <w:rPr>
                      <w:rFonts w:hint="default" w:ascii="Times New Roman" w:hAnsi="Times New Roman" w:eastAsia="宋体" w:cs="Times New Roman"/>
                      <w:b/>
                      <w:bCs w:val="0"/>
                      <w:u w:val="none" w:color="auto"/>
                      <w:lang w:eastAsia="zh-CN"/>
                    </w:rPr>
                  </w:pPr>
                  <w:r>
                    <w:rPr>
                      <w:rFonts w:hint="default" w:ascii="Times New Roman" w:hAnsi="Times New Roman" w:eastAsia="宋体" w:cs="Times New Roman"/>
                      <w:b/>
                      <w:bCs w:val="0"/>
                      <w:u w:val="none" w:color="auto"/>
                      <w:lang w:eastAsia="zh-CN"/>
                    </w:rPr>
                    <w:t>污染因子</w:t>
                  </w:r>
                </w:p>
              </w:tc>
              <w:tc>
                <w:tcPr>
                  <w:tcW w:w="820" w:type="pct"/>
                  <w:vMerge w:val="restart"/>
                  <w:tcBorders>
                    <w:tl2br w:val="nil"/>
                    <w:tr2bl w:val="nil"/>
                  </w:tcBorders>
                  <w:vAlign w:val="center"/>
                </w:tcPr>
                <w:p>
                  <w:pPr>
                    <w:pStyle w:val="39"/>
                    <w:bidi w:val="0"/>
                    <w:jc w:val="center"/>
                    <w:rPr>
                      <w:rFonts w:hint="default" w:ascii="Times New Roman" w:hAnsi="Times New Roman" w:eastAsia="宋体" w:cs="Times New Roman"/>
                      <w:b/>
                      <w:bCs w:val="0"/>
                      <w:u w:val="none" w:color="auto"/>
                      <w:lang w:eastAsia="zh-CN"/>
                    </w:rPr>
                  </w:pPr>
                  <w:r>
                    <w:rPr>
                      <w:rFonts w:hint="default" w:ascii="Times New Roman" w:hAnsi="Times New Roman" w:eastAsia="宋体" w:cs="Times New Roman"/>
                      <w:b/>
                      <w:bCs w:val="0"/>
                      <w:u w:val="none" w:color="auto"/>
                      <w:lang w:eastAsia="zh-CN"/>
                    </w:rPr>
                    <w:t>执行标准</w:t>
                  </w:r>
                </w:p>
              </w:tc>
              <w:tc>
                <w:tcPr>
                  <w:tcW w:w="820" w:type="pct"/>
                  <w:tcBorders>
                    <w:tl2br w:val="nil"/>
                    <w:tr2bl w:val="nil"/>
                  </w:tcBorders>
                  <w:vAlign w:val="center"/>
                </w:tcPr>
                <w:p>
                  <w:pPr>
                    <w:pStyle w:val="39"/>
                    <w:bidi w:val="0"/>
                    <w:jc w:val="center"/>
                    <w:rPr>
                      <w:rFonts w:hint="default" w:ascii="Times New Roman" w:hAnsi="Times New Roman" w:eastAsia="宋体" w:cs="Times New Roman"/>
                      <w:b/>
                      <w:bCs w:val="0"/>
                      <w:u w:val="none" w:color="auto"/>
                      <w:lang w:eastAsia="zh-CN"/>
                    </w:rPr>
                  </w:pPr>
                  <w:r>
                    <w:rPr>
                      <w:rFonts w:hint="default" w:ascii="Times New Roman" w:hAnsi="Times New Roman" w:eastAsia="宋体" w:cs="Times New Roman"/>
                      <w:b/>
                      <w:bCs w:val="0"/>
                      <w:u w:val="none" w:color="auto"/>
                      <w:lang w:eastAsia="zh-CN"/>
                    </w:rPr>
                    <w:t>标准值</w:t>
                  </w:r>
                </w:p>
              </w:tc>
              <w:tc>
                <w:tcPr>
                  <w:tcW w:w="1807" w:type="pct"/>
                  <w:gridSpan w:val="2"/>
                  <w:tcBorders>
                    <w:tl2br w:val="nil"/>
                    <w:tr2bl w:val="nil"/>
                  </w:tcBorders>
                  <w:vAlign w:val="center"/>
                </w:tcPr>
                <w:p>
                  <w:pPr>
                    <w:pStyle w:val="39"/>
                    <w:bidi w:val="0"/>
                    <w:jc w:val="center"/>
                    <w:rPr>
                      <w:rFonts w:hint="default" w:ascii="Times New Roman" w:hAnsi="Times New Roman" w:eastAsia="宋体" w:cs="Times New Roman"/>
                      <w:b/>
                      <w:bCs w:val="0"/>
                      <w:u w:val="none" w:color="auto"/>
                      <w:lang w:eastAsia="zh-CN"/>
                    </w:rPr>
                  </w:pPr>
                  <w:r>
                    <w:rPr>
                      <w:rFonts w:hint="default" w:ascii="Times New Roman" w:hAnsi="Times New Roman" w:eastAsia="宋体" w:cs="Times New Roman"/>
                      <w:b/>
                      <w:bCs w:val="0"/>
                      <w:u w:val="none" w:color="auto"/>
                      <w:lang w:eastAsia="zh-CN"/>
                    </w:rPr>
                    <w:t>排放情况</w:t>
                  </w:r>
                </w:p>
              </w:tc>
              <w:tc>
                <w:tcPr>
                  <w:tcW w:w="733" w:type="pct"/>
                  <w:vMerge w:val="restart"/>
                  <w:tcBorders>
                    <w:tl2br w:val="nil"/>
                    <w:tr2bl w:val="nil"/>
                  </w:tcBorders>
                  <w:vAlign w:val="center"/>
                </w:tcPr>
                <w:p>
                  <w:pPr>
                    <w:pStyle w:val="39"/>
                    <w:bidi w:val="0"/>
                    <w:jc w:val="center"/>
                    <w:rPr>
                      <w:rFonts w:hint="default" w:ascii="Times New Roman" w:hAnsi="Times New Roman" w:eastAsia="宋体" w:cs="Times New Roman"/>
                      <w:b/>
                      <w:bCs w:val="0"/>
                      <w:u w:val="none" w:color="auto"/>
                      <w:lang w:eastAsia="zh-CN"/>
                    </w:rPr>
                  </w:pPr>
                  <w:r>
                    <w:rPr>
                      <w:rFonts w:hint="default" w:ascii="Times New Roman" w:hAnsi="Times New Roman" w:eastAsia="宋体" w:cs="Times New Roman"/>
                      <w:b/>
                      <w:bCs w:val="0"/>
                      <w:u w:val="none" w:color="auto"/>
                      <w:lang w:eastAsia="zh-CN"/>
                    </w:rPr>
                    <w:t>是否达标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818" w:type="pct"/>
                  <w:vMerge w:val="continue"/>
                  <w:tcBorders>
                    <w:tl2br w:val="nil"/>
                    <w:tr2bl w:val="nil"/>
                  </w:tcBorders>
                  <w:vAlign w:val="center"/>
                </w:tcPr>
                <w:p>
                  <w:pPr>
                    <w:pStyle w:val="39"/>
                    <w:bidi w:val="0"/>
                    <w:jc w:val="center"/>
                    <w:rPr>
                      <w:rFonts w:hint="default" w:ascii="Times New Roman" w:hAnsi="Times New Roman" w:eastAsia="宋体" w:cs="Times New Roman"/>
                      <w:b w:val="0"/>
                      <w:bCs/>
                      <w:u w:val="none" w:color="auto"/>
                      <w:lang w:eastAsia="zh-CN"/>
                    </w:rPr>
                  </w:pPr>
                </w:p>
              </w:tc>
              <w:tc>
                <w:tcPr>
                  <w:tcW w:w="820" w:type="pct"/>
                  <w:vMerge w:val="continue"/>
                  <w:tcBorders>
                    <w:tl2br w:val="nil"/>
                    <w:tr2bl w:val="nil"/>
                  </w:tcBorders>
                  <w:vAlign w:val="center"/>
                </w:tcPr>
                <w:p>
                  <w:pPr>
                    <w:pStyle w:val="39"/>
                    <w:bidi w:val="0"/>
                    <w:jc w:val="center"/>
                    <w:rPr>
                      <w:rFonts w:hint="default" w:ascii="Times New Roman" w:hAnsi="Times New Roman" w:eastAsia="宋体" w:cs="Times New Roman"/>
                      <w:b w:val="0"/>
                      <w:bCs/>
                      <w:u w:val="none" w:color="auto"/>
                      <w:lang w:eastAsia="zh-CN"/>
                    </w:rPr>
                  </w:pPr>
                </w:p>
              </w:tc>
              <w:tc>
                <w:tcPr>
                  <w:tcW w:w="820" w:type="pct"/>
                  <w:tcBorders>
                    <w:tl2br w:val="nil"/>
                    <w:tr2bl w:val="nil"/>
                  </w:tcBorders>
                  <w:vAlign w:val="center"/>
                </w:tcPr>
                <w:p>
                  <w:pPr>
                    <w:pStyle w:val="39"/>
                    <w:bidi w:val="0"/>
                    <w:jc w:val="center"/>
                    <w:rPr>
                      <w:rFonts w:hint="default" w:ascii="Times New Roman" w:hAnsi="Times New Roman" w:eastAsia="宋体" w:cs="Times New Roman"/>
                      <w:b/>
                      <w:bCs w:val="0"/>
                      <w:u w:val="none" w:color="auto"/>
                      <w:lang w:eastAsia="zh-CN"/>
                    </w:rPr>
                  </w:pPr>
                  <w:r>
                    <w:rPr>
                      <w:rFonts w:hint="default" w:ascii="Times New Roman" w:hAnsi="Times New Roman" w:eastAsia="宋体" w:cs="Times New Roman"/>
                      <w:b/>
                      <w:bCs w:val="0"/>
                      <w:u w:val="none" w:color="auto"/>
                      <w:lang w:eastAsia="zh-CN"/>
                    </w:rPr>
                    <w:t>排放浓度</w:t>
                  </w:r>
                </w:p>
              </w:tc>
              <w:tc>
                <w:tcPr>
                  <w:tcW w:w="958" w:type="pct"/>
                  <w:tcBorders>
                    <w:tl2br w:val="nil"/>
                    <w:tr2bl w:val="nil"/>
                  </w:tcBorders>
                  <w:vAlign w:val="center"/>
                </w:tcPr>
                <w:p>
                  <w:pPr>
                    <w:pStyle w:val="39"/>
                    <w:bidi w:val="0"/>
                    <w:jc w:val="center"/>
                    <w:rPr>
                      <w:rFonts w:hint="default" w:ascii="Times New Roman" w:hAnsi="Times New Roman" w:eastAsia="宋体" w:cs="Times New Roman"/>
                      <w:b/>
                      <w:bCs w:val="0"/>
                      <w:u w:val="none" w:color="auto"/>
                      <w:lang w:eastAsia="zh-CN"/>
                    </w:rPr>
                  </w:pPr>
                  <w:r>
                    <w:rPr>
                      <w:rFonts w:hint="default" w:ascii="Times New Roman" w:hAnsi="Times New Roman" w:eastAsia="宋体" w:cs="Times New Roman"/>
                      <w:b/>
                      <w:bCs w:val="0"/>
                      <w:u w:val="none" w:color="auto"/>
                      <w:lang w:eastAsia="zh-CN"/>
                    </w:rPr>
                    <w:t>排放浓度</w:t>
                  </w:r>
                </w:p>
              </w:tc>
              <w:tc>
                <w:tcPr>
                  <w:tcW w:w="848" w:type="pct"/>
                  <w:tcBorders>
                    <w:tl2br w:val="nil"/>
                    <w:tr2bl w:val="nil"/>
                  </w:tcBorders>
                  <w:vAlign w:val="center"/>
                </w:tcPr>
                <w:p>
                  <w:pPr>
                    <w:pStyle w:val="39"/>
                    <w:bidi w:val="0"/>
                    <w:jc w:val="center"/>
                    <w:rPr>
                      <w:rFonts w:hint="default" w:ascii="Times New Roman" w:hAnsi="Times New Roman" w:eastAsia="宋体" w:cs="Times New Roman"/>
                      <w:b/>
                      <w:bCs w:val="0"/>
                      <w:u w:val="none" w:color="auto"/>
                      <w:lang w:val="en-US" w:eastAsia="zh-CN"/>
                    </w:rPr>
                  </w:pPr>
                  <w:r>
                    <w:rPr>
                      <w:rFonts w:hint="default" w:ascii="Times New Roman" w:hAnsi="Times New Roman" w:eastAsia="宋体" w:cs="Times New Roman"/>
                      <w:b/>
                      <w:bCs w:val="0"/>
                      <w:u w:val="none" w:color="auto"/>
                      <w:lang w:val="en-US" w:eastAsia="zh-CN"/>
                    </w:rPr>
                    <w:t>排放速率</w:t>
                  </w:r>
                </w:p>
              </w:tc>
              <w:tc>
                <w:tcPr>
                  <w:tcW w:w="733" w:type="pct"/>
                  <w:vMerge w:val="continue"/>
                  <w:tcBorders>
                    <w:tl2br w:val="nil"/>
                    <w:tr2bl w:val="nil"/>
                  </w:tcBorders>
                  <w:vAlign w:val="center"/>
                </w:tcPr>
                <w:p>
                  <w:pPr>
                    <w:pStyle w:val="39"/>
                    <w:bidi w:val="0"/>
                    <w:jc w:val="center"/>
                    <w:rPr>
                      <w:rFonts w:hint="default" w:ascii="Times New Roman" w:hAnsi="Times New Roman" w:eastAsia="宋体" w:cs="Times New Roman"/>
                      <w:b w:val="0"/>
                      <w:bCs/>
                      <w:u w:val="none" w:color="auto"/>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81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u w:val="none" w:color="auto"/>
                      <w:lang w:eastAsia="zh-CN"/>
                    </w:rPr>
                  </w:pPr>
                  <w:r>
                    <w:rPr>
                      <w:rFonts w:hint="default" w:ascii="Times New Roman" w:hAnsi="Times New Roman" w:cs="Times New Roman"/>
                      <w:sz w:val="21"/>
                      <w:szCs w:val="21"/>
                      <w:u w:val="none" w:color="auto"/>
                    </w:rPr>
                    <w:t>SO</w:t>
                  </w:r>
                  <w:r>
                    <w:rPr>
                      <w:rFonts w:hint="default" w:ascii="Times New Roman" w:hAnsi="Times New Roman" w:cs="Times New Roman"/>
                      <w:sz w:val="21"/>
                      <w:szCs w:val="21"/>
                      <w:u w:val="none" w:color="auto"/>
                      <w:vertAlign w:val="subscript"/>
                    </w:rPr>
                    <w:t>2</w:t>
                  </w:r>
                </w:p>
              </w:tc>
              <w:tc>
                <w:tcPr>
                  <w:tcW w:w="820" w:type="pct"/>
                  <w:vMerge w:val="restart"/>
                  <w:tcBorders>
                    <w:tl2br w:val="nil"/>
                    <w:tr2bl w:val="nil"/>
                  </w:tcBorders>
                  <w:vAlign w:val="center"/>
                </w:tcPr>
                <w:p>
                  <w:pPr>
                    <w:pStyle w:val="39"/>
                    <w:bidi w:val="0"/>
                    <w:jc w:val="center"/>
                    <w:rPr>
                      <w:rFonts w:hint="default" w:ascii="Times New Roman" w:hAnsi="Times New Roman" w:eastAsia="宋体" w:cs="Times New Roman"/>
                      <w:b w:val="0"/>
                      <w:bCs/>
                      <w:u w:val="none" w:color="auto"/>
                      <w:lang w:eastAsia="zh-CN"/>
                    </w:rPr>
                  </w:pPr>
                  <w:r>
                    <w:rPr>
                      <w:rFonts w:hint="default" w:ascii="Times New Roman" w:hAnsi="Times New Roman" w:cs="Times New Roman"/>
                      <w:bCs/>
                      <w:color w:val="000000"/>
                      <w:szCs w:val="21"/>
                      <w:u w:val="none" w:color="auto"/>
                    </w:rPr>
                    <w:t>《锅炉大气污染物排放标准》（</w:t>
                  </w:r>
                  <w:r>
                    <w:rPr>
                      <w:rFonts w:ascii="Times New Roman" w:hAnsi="Times New Roman" w:cs="Times New Roman"/>
                      <w:bCs/>
                      <w:color w:val="000000"/>
                      <w:szCs w:val="21"/>
                      <w:u w:val="none" w:color="auto"/>
                    </w:rPr>
                    <w:t>GB13271-2014</w:t>
                  </w:r>
                  <w:r>
                    <w:rPr>
                      <w:rFonts w:hint="default" w:ascii="Times New Roman" w:hAnsi="Times New Roman" w:cs="Times New Roman"/>
                      <w:bCs/>
                      <w:color w:val="000000"/>
                      <w:szCs w:val="21"/>
                      <w:u w:val="none" w:color="auto"/>
                    </w:rPr>
                    <w:t>）</w:t>
                  </w:r>
                </w:p>
              </w:tc>
              <w:tc>
                <w:tcPr>
                  <w:tcW w:w="820" w:type="pct"/>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u w:val="none" w:color="auto"/>
                      <w:lang w:val="en-US" w:eastAsia="zh-CN"/>
                    </w:rPr>
                  </w:pPr>
                  <w:r>
                    <w:rPr>
                      <w:rFonts w:hint="default" w:ascii="Times New Roman" w:hAnsi="Times New Roman" w:cs="Times New Roman"/>
                      <w:b w:val="0"/>
                      <w:bCs/>
                      <w:szCs w:val="21"/>
                      <w:u w:val="none" w:color="auto"/>
                      <w:lang w:val="en-US" w:eastAsia="zh-CN"/>
                    </w:rPr>
                    <w:t>300</w:t>
                  </w:r>
                  <w:r>
                    <w:rPr>
                      <w:rFonts w:hint="default" w:ascii="Times New Roman" w:hAnsi="Times New Roman" w:eastAsia="宋体" w:cs="Times New Roman"/>
                      <w:b w:val="0"/>
                      <w:bCs/>
                      <w:szCs w:val="21"/>
                      <w:u w:val="none" w:color="auto"/>
                    </w:rPr>
                    <w:t>mg/m³</w:t>
                  </w:r>
                </w:p>
              </w:tc>
              <w:tc>
                <w:tcPr>
                  <w:tcW w:w="159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u w:val="none" w:color="auto"/>
                      <w:lang w:val="en-US" w:eastAsia="zh-CN"/>
                    </w:rPr>
                  </w:pPr>
                  <w:r>
                    <w:rPr>
                      <w:rFonts w:hint="default" w:ascii="Times New Roman" w:hAnsi="Times New Roman" w:cs="Times New Roman"/>
                      <w:sz w:val="21"/>
                      <w:szCs w:val="21"/>
                      <w:u w:val="none" w:color="auto"/>
                      <w:lang w:val="en-US" w:eastAsia="zh-CN"/>
                    </w:rPr>
                    <w:t>24.08</w:t>
                  </w:r>
                  <w:r>
                    <w:rPr>
                      <w:rFonts w:ascii="Times New Roman" w:hAnsi="Times New Roman" w:cs="Times New Roman"/>
                      <w:sz w:val="21"/>
                      <w:szCs w:val="21"/>
                      <w:u w:val="none" w:color="auto"/>
                    </w:rPr>
                    <w:t>mg/m³</w:t>
                  </w:r>
                </w:p>
              </w:tc>
              <w:tc>
                <w:tcPr>
                  <w:tcW w:w="141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u w:val="none" w:color="auto"/>
                      <w:lang w:val="en-US" w:eastAsia="zh-CN"/>
                    </w:rPr>
                  </w:pPr>
                  <w:r>
                    <w:rPr>
                      <w:rFonts w:hint="default" w:ascii="Times New Roman" w:hAnsi="Times New Roman" w:cs="Times New Roman"/>
                      <w:sz w:val="21"/>
                      <w:szCs w:val="21"/>
                      <w:u w:val="none" w:color="auto"/>
                      <w:lang w:val="en-US" w:eastAsia="zh-CN"/>
                    </w:rPr>
                    <w:t>0.072</w:t>
                  </w:r>
                  <w:r>
                    <w:rPr>
                      <w:rFonts w:ascii="Times New Roman" w:hAnsi="Times New Roman" w:cs="Times New Roman"/>
                      <w:sz w:val="21"/>
                      <w:szCs w:val="21"/>
                      <w:u w:val="none" w:color="auto"/>
                    </w:rPr>
                    <w:t>kg/h</w:t>
                  </w:r>
                </w:p>
              </w:tc>
              <w:tc>
                <w:tcPr>
                  <w:tcW w:w="733" w:type="pct"/>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u w:val="none" w:color="auto"/>
                      <w:lang w:eastAsia="zh-CN"/>
                    </w:rPr>
                  </w:pPr>
                  <w:r>
                    <w:rPr>
                      <w:rFonts w:hint="default" w:ascii="Times New Roman" w:hAnsi="Times New Roman" w:eastAsia="宋体" w:cs="Times New Roman"/>
                      <w:b w:val="0"/>
                      <w:bCs/>
                      <w:u w:val="none" w:color="auto"/>
                      <w:lang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jc w:val="center"/>
              </w:trPr>
              <w:tc>
                <w:tcPr>
                  <w:tcW w:w="81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sz w:val="21"/>
                      <w:szCs w:val="21"/>
                      <w:u w:val="none" w:color="auto"/>
                      <w:lang w:val="zh-CN" w:eastAsia="zh-CN" w:bidi="zh-CN"/>
                    </w:rPr>
                  </w:pPr>
                  <w:r>
                    <w:rPr>
                      <w:rFonts w:hint="default" w:ascii="Times New Roman" w:hAnsi="Times New Roman" w:cs="Times New Roman"/>
                      <w:sz w:val="21"/>
                      <w:szCs w:val="21"/>
                      <w:u w:val="none" w:color="auto"/>
                      <w:lang w:val="en-US" w:eastAsia="zh-CN"/>
                    </w:rPr>
                    <w:t>颗粒物</w:t>
                  </w:r>
                </w:p>
              </w:tc>
              <w:tc>
                <w:tcPr>
                  <w:tcW w:w="820" w:type="pct"/>
                  <w:vMerge w:val="continue"/>
                  <w:tcBorders>
                    <w:tl2br w:val="nil"/>
                    <w:tr2bl w:val="nil"/>
                  </w:tcBorders>
                  <w:vAlign w:val="center"/>
                </w:tcPr>
                <w:p>
                  <w:pPr>
                    <w:pStyle w:val="39"/>
                    <w:bidi w:val="0"/>
                    <w:jc w:val="center"/>
                    <w:rPr>
                      <w:rFonts w:hint="default" w:ascii="Times New Roman" w:hAnsi="Times New Roman" w:eastAsia="宋体" w:cs="Times New Roman"/>
                      <w:b w:val="0"/>
                      <w:bCs/>
                      <w:u w:val="none" w:color="auto"/>
                      <w:lang w:eastAsia="zh-CN"/>
                    </w:rPr>
                  </w:pPr>
                </w:p>
              </w:tc>
              <w:tc>
                <w:tcPr>
                  <w:tcW w:w="820" w:type="pct"/>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u w:val="none" w:color="auto"/>
                      <w:lang w:val="en-US" w:eastAsia="zh-CN"/>
                    </w:rPr>
                  </w:pPr>
                  <w:r>
                    <w:rPr>
                      <w:rFonts w:hint="default" w:ascii="Times New Roman" w:hAnsi="Times New Roman" w:cs="Times New Roman"/>
                      <w:b w:val="0"/>
                      <w:bCs/>
                      <w:szCs w:val="21"/>
                      <w:u w:val="none" w:color="auto"/>
                      <w:lang w:val="en-US" w:eastAsia="zh-CN"/>
                    </w:rPr>
                    <w:t>50</w:t>
                  </w:r>
                  <w:r>
                    <w:rPr>
                      <w:rFonts w:hint="default" w:ascii="Times New Roman" w:hAnsi="Times New Roman" w:eastAsia="宋体" w:cs="Times New Roman"/>
                      <w:b w:val="0"/>
                      <w:bCs/>
                      <w:szCs w:val="21"/>
                      <w:u w:val="none" w:color="auto"/>
                    </w:rPr>
                    <w:t>mg/m³</w:t>
                  </w:r>
                </w:p>
              </w:tc>
              <w:tc>
                <w:tcPr>
                  <w:tcW w:w="159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u w:val="none" w:color="auto"/>
                      <w:lang w:eastAsia="zh-CN"/>
                    </w:rPr>
                  </w:pPr>
                  <w:r>
                    <w:rPr>
                      <w:rFonts w:hint="default" w:ascii="Times New Roman" w:hAnsi="Times New Roman" w:cs="Times New Roman"/>
                      <w:sz w:val="21"/>
                      <w:szCs w:val="21"/>
                      <w:u w:val="none" w:color="auto"/>
                      <w:lang w:val="en-US" w:eastAsia="zh-CN"/>
                    </w:rPr>
                    <w:t>3.61</w:t>
                  </w:r>
                  <w:r>
                    <w:rPr>
                      <w:rFonts w:ascii="Times New Roman" w:hAnsi="Times New Roman" w:cs="Times New Roman"/>
                      <w:sz w:val="21"/>
                      <w:szCs w:val="21"/>
                      <w:u w:val="none" w:color="auto"/>
                    </w:rPr>
                    <w:t>mg/m³</w:t>
                  </w:r>
                </w:p>
              </w:tc>
              <w:tc>
                <w:tcPr>
                  <w:tcW w:w="141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u w:val="none" w:color="auto"/>
                      <w:lang w:eastAsia="zh-CN"/>
                    </w:rPr>
                  </w:pPr>
                  <w:r>
                    <w:rPr>
                      <w:rFonts w:hint="default" w:ascii="Times New Roman" w:hAnsi="Times New Roman" w:cs="Times New Roman"/>
                      <w:sz w:val="21"/>
                      <w:szCs w:val="21"/>
                      <w:u w:val="none" w:color="auto"/>
                      <w:lang w:val="en-US" w:eastAsia="zh-CN"/>
                    </w:rPr>
                    <w:t>0.0108</w:t>
                  </w:r>
                  <w:r>
                    <w:rPr>
                      <w:rFonts w:ascii="Times New Roman" w:hAnsi="Times New Roman" w:cs="Times New Roman"/>
                      <w:sz w:val="21"/>
                      <w:szCs w:val="21"/>
                      <w:u w:val="none" w:color="auto"/>
                    </w:rPr>
                    <w:t>kg/h</w:t>
                  </w:r>
                </w:p>
              </w:tc>
              <w:tc>
                <w:tcPr>
                  <w:tcW w:w="733" w:type="pct"/>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u w:val="none" w:color="auto"/>
                      <w:lang w:eastAsia="zh-CN"/>
                    </w:rPr>
                  </w:pPr>
                  <w:r>
                    <w:rPr>
                      <w:rFonts w:hint="default" w:ascii="Times New Roman" w:hAnsi="Times New Roman" w:eastAsia="宋体" w:cs="Times New Roman"/>
                      <w:b w:val="0"/>
                      <w:bCs/>
                      <w:u w:val="none" w:color="auto"/>
                      <w:lang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9" w:hRule="atLeast"/>
                <w:jc w:val="center"/>
              </w:trPr>
              <w:tc>
                <w:tcPr>
                  <w:tcW w:w="81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sz w:val="21"/>
                      <w:szCs w:val="21"/>
                      <w:u w:val="none" w:color="auto"/>
                      <w:lang w:val="zh-CN" w:eastAsia="zh-CN" w:bidi="zh-CN"/>
                    </w:rPr>
                  </w:pPr>
                  <w:r>
                    <w:rPr>
                      <w:rFonts w:hint="default" w:ascii="Times New Roman" w:hAnsi="Times New Roman" w:cs="Times New Roman"/>
                      <w:sz w:val="21"/>
                      <w:szCs w:val="21"/>
                      <w:u w:val="none" w:color="auto"/>
                    </w:rPr>
                    <w:t>NOx</w:t>
                  </w:r>
                </w:p>
              </w:tc>
              <w:tc>
                <w:tcPr>
                  <w:tcW w:w="820" w:type="pct"/>
                  <w:vMerge w:val="continue"/>
                  <w:tcBorders>
                    <w:tl2br w:val="nil"/>
                    <w:tr2bl w:val="nil"/>
                  </w:tcBorders>
                  <w:vAlign w:val="center"/>
                </w:tcPr>
                <w:p>
                  <w:pPr>
                    <w:pStyle w:val="39"/>
                    <w:bidi w:val="0"/>
                    <w:jc w:val="center"/>
                    <w:rPr>
                      <w:rFonts w:hint="default" w:ascii="Times New Roman" w:hAnsi="Times New Roman" w:eastAsia="宋体" w:cs="Times New Roman"/>
                      <w:b w:val="0"/>
                      <w:bCs/>
                      <w:u w:val="none" w:color="auto"/>
                      <w:lang w:eastAsia="zh-CN"/>
                    </w:rPr>
                  </w:pPr>
                </w:p>
              </w:tc>
              <w:tc>
                <w:tcPr>
                  <w:tcW w:w="820" w:type="pct"/>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u w:val="none" w:color="auto"/>
                      <w:lang w:val="en-US" w:eastAsia="zh-CN"/>
                    </w:rPr>
                  </w:pPr>
                  <w:r>
                    <w:rPr>
                      <w:rFonts w:hint="default" w:ascii="Times New Roman" w:hAnsi="Times New Roman" w:cs="Times New Roman"/>
                      <w:b w:val="0"/>
                      <w:bCs/>
                      <w:szCs w:val="21"/>
                      <w:u w:val="none" w:color="auto"/>
                      <w:lang w:val="en-US" w:eastAsia="zh-CN"/>
                    </w:rPr>
                    <w:t>300</w:t>
                  </w:r>
                  <w:r>
                    <w:rPr>
                      <w:rFonts w:hint="default" w:ascii="Times New Roman" w:hAnsi="Times New Roman" w:eastAsia="宋体" w:cs="Times New Roman"/>
                      <w:b w:val="0"/>
                      <w:bCs/>
                      <w:szCs w:val="21"/>
                      <w:u w:val="none" w:color="auto"/>
                    </w:rPr>
                    <w:t>mg/m³</w:t>
                  </w:r>
                </w:p>
              </w:tc>
              <w:tc>
                <w:tcPr>
                  <w:tcW w:w="159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u w:val="none" w:color="auto"/>
                      <w:lang w:eastAsia="zh-CN"/>
                    </w:rPr>
                  </w:pPr>
                  <w:r>
                    <w:rPr>
                      <w:rFonts w:hint="default" w:ascii="Times New Roman" w:hAnsi="Times New Roman" w:cs="Times New Roman"/>
                      <w:sz w:val="21"/>
                      <w:szCs w:val="21"/>
                      <w:u w:val="none" w:color="auto"/>
                      <w:lang w:val="en-US" w:eastAsia="zh-CN"/>
                    </w:rPr>
                    <w:t>39.67</w:t>
                  </w:r>
                  <w:r>
                    <w:rPr>
                      <w:rFonts w:ascii="Times New Roman" w:hAnsi="Times New Roman" w:cs="Times New Roman"/>
                      <w:sz w:val="21"/>
                      <w:szCs w:val="21"/>
                      <w:u w:val="none" w:color="auto"/>
                    </w:rPr>
                    <w:t>mg/m³</w:t>
                  </w:r>
                </w:p>
              </w:tc>
              <w:tc>
                <w:tcPr>
                  <w:tcW w:w="141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u w:val="none" w:color="auto"/>
                      <w:lang w:eastAsia="zh-CN"/>
                    </w:rPr>
                  </w:pPr>
                  <w:r>
                    <w:rPr>
                      <w:rFonts w:hint="default" w:ascii="Times New Roman" w:hAnsi="Times New Roman" w:cs="Times New Roman"/>
                      <w:sz w:val="21"/>
                      <w:szCs w:val="21"/>
                      <w:u w:val="none" w:color="auto"/>
                      <w:lang w:val="en-US" w:eastAsia="zh-CN"/>
                    </w:rPr>
                    <w:t>0.119</w:t>
                  </w:r>
                  <w:r>
                    <w:rPr>
                      <w:rFonts w:ascii="Times New Roman" w:hAnsi="Times New Roman" w:cs="Times New Roman"/>
                      <w:sz w:val="21"/>
                      <w:szCs w:val="21"/>
                      <w:u w:val="none" w:color="auto"/>
                    </w:rPr>
                    <w:t>kg/h</w:t>
                  </w:r>
                </w:p>
              </w:tc>
              <w:tc>
                <w:tcPr>
                  <w:tcW w:w="733" w:type="pct"/>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val="0"/>
                      <w:bCs/>
                      <w:u w:val="none" w:color="auto"/>
                      <w:lang w:eastAsia="zh-CN"/>
                    </w:rPr>
                  </w:pPr>
                  <w:r>
                    <w:rPr>
                      <w:rFonts w:hint="default" w:ascii="Times New Roman" w:hAnsi="Times New Roman" w:eastAsia="宋体" w:cs="Times New Roman"/>
                      <w:b w:val="0"/>
                      <w:bCs/>
                      <w:u w:val="none" w:color="auto"/>
                      <w:lang w:eastAsia="zh-CN"/>
                    </w:rPr>
                    <w:t>达标</w:t>
                  </w:r>
                </w:p>
              </w:tc>
            </w:tr>
          </w:tbl>
          <w:p>
            <w:pPr>
              <w:pStyle w:val="71"/>
              <w:widowControl w:val="0"/>
              <w:bidi w:val="0"/>
              <w:rPr>
                <w:rFonts w:hint="default" w:ascii="Times New Roman" w:hAnsi="Times New Roman" w:eastAsia="宋体" w:cs="Times New Roman"/>
                <w:u w:val="none" w:color="auto"/>
                <w:lang w:eastAsia="zh-CN"/>
              </w:rPr>
            </w:pPr>
            <w:r>
              <w:rPr>
                <w:rFonts w:hint="default" w:ascii="Times New Roman" w:hAnsi="Times New Roman" w:eastAsia="宋体" w:cs="Times New Roman"/>
                <w:u w:val="none" w:color="auto"/>
              </w:rPr>
              <w:t>表</w:t>
            </w:r>
            <w:r>
              <w:rPr>
                <w:rFonts w:hint="default" w:ascii="Times New Roman" w:hAnsi="Times New Roman" w:eastAsia="宋体" w:cs="Times New Roman"/>
                <w:u w:val="none" w:color="auto"/>
                <w:lang w:val="en-US" w:eastAsia="zh-CN"/>
              </w:rPr>
              <w:t>4.2-</w:t>
            </w:r>
            <w:r>
              <w:rPr>
                <w:rFonts w:hint="eastAsia" w:ascii="Times New Roman" w:hAnsi="Times New Roman" w:cs="Times New Roman"/>
                <w:u w:val="none" w:color="auto"/>
                <w:lang w:val="en-US" w:eastAsia="zh-CN"/>
              </w:rPr>
              <w:t>1</w:t>
            </w:r>
            <w:r>
              <w:rPr>
                <w:rFonts w:hint="eastAsia" w:cs="Times New Roman"/>
                <w:u w:val="none" w:color="auto"/>
                <w:lang w:val="en-US" w:eastAsia="zh-CN"/>
              </w:rPr>
              <w:t>3</w:t>
            </w:r>
            <w:r>
              <w:rPr>
                <w:rFonts w:hint="default" w:ascii="Times New Roman" w:hAnsi="Times New Roman" w:eastAsia="宋体" w:cs="Times New Roman"/>
                <w:u w:val="none" w:color="auto"/>
              </w:rPr>
              <w:t>：</w:t>
            </w:r>
            <w:r>
              <w:rPr>
                <w:rFonts w:hint="default" w:ascii="Times New Roman" w:hAnsi="Times New Roman" w:eastAsia="宋体" w:cs="Times New Roman"/>
                <w:u w:val="none" w:color="auto"/>
                <w:lang w:val="en-US" w:eastAsia="zh-CN"/>
              </w:rPr>
              <w:t>无组织</w:t>
            </w:r>
            <w:r>
              <w:rPr>
                <w:rFonts w:hint="default" w:ascii="Times New Roman" w:hAnsi="Times New Roman" w:eastAsia="宋体" w:cs="Times New Roman"/>
                <w:u w:val="none" w:color="auto"/>
              </w:rPr>
              <w:t>废气产排污情况一览表</w:t>
            </w:r>
          </w:p>
          <w:tbl>
            <w:tblPr>
              <w:tblStyle w:val="28"/>
              <w:tblW w:w="82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580"/>
              <w:gridCol w:w="640"/>
              <w:gridCol w:w="716"/>
              <w:gridCol w:w="782"/>
              <w:gridCol w:w="826"/>
              <w:gridCol w:w="636"/>
              <w:gridCol w:w="661"/>
              <w:gridCol w:w="765"/>
              <w:gridCol w:w="660"/>
              <w:gridCol w:w="769"/>
              <w:gridCol w:w="6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43" w:type="dxa"/>
                  <w:vMerge w:val="restart"/>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产污</w:t>
                  </w:r>
                </w:p>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工序</w:t>
                  </w:r>
                </w:p>
              </w:tc>
              <w:tc>
                <w:tcPr>
                  <w:tcW w:w="581" w:type="dxa"/>
                  <w:vMerge w:val="restart"/>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污染物</w:t>
                  </w:r>
                </w:p>
              </w:tc>
              <w:tc>
                <w:tcPr>
                  <w:tcW w:w="640" w:type="dxa"/>
                  <w:vMerge w:val="restart"/>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排气量</w:t>
                  </w:r>
                </w:p>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（m</w:t>
                  </w:r>
                  <w:r>
                    <w:rPr>
                      <w:rFonts w:hint="default" w:ascii="Times New Roman" w:hAnsi="Times New Roman" w:eastAsia="宋体" w:cs="Times New Roman"/>
                      <w:b/>
                      <w:bCs w:val="0"/>
                      <w:color w:val="auto"/>
                      <w:sz w:val="21"/>
                      <w:szCs w:val="21"/>
                      <w:highlight w:val="none"/>
                      <w:u w:val="none" w:color="auto"/>
                      <w:vertAlign w:val="superscript"/>
                    </w:rPr>
                    <w:t>3</w:t>
                  </w:r>
                  <w:r>
                    <w:rPr>
                      <w:rFonts w:hint="default" w:ascii="Times New Roman" w:hAnsi="Times New Roman" w:eastAsia="宋体" w:cs="Times New Roman"/>
                      <w:b/>
                      <w:bCs w:val="0"/>
                      <w:color w:val="auto"/>
                      <w:sz w:val="21"/>
                      <w:szCs w:val="21"/>
                      <w:highlight w:val="none"/>
                      <w:u w:val="none" w:color="auto"/>
                    </w:rPr>
                    <w:t>/h）</w:t>
                  </w:r>
                </w:p>
              </w:tc>
              <w:tc>
                <w:tcPr>
                  <w:tcW w:w="2327" w:type="dxa"/>
                  <w:gridSpan w:val="3"/>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产生状况</w:t>
                  </w:r>
                </w:p>
              </w:tc>
              <w:tc>
                <w:tcPr>
                  <w:tcW w:w="628" w:type="dxa"/>
                  <w:vMerge w:val="restart"/>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治理</w:t>
                  </w:r>
                </w:p>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措施</w:t>
                  </w:r>
                </w:p>
              </w:tc>
              <w:tc>
                <w:tcPr>
                  <w:tcW w:w="662" w:type="dxa"/>
                  <w:vMerge w:val="restart"/>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lang w:val="en-US" w:eastAsia="zh-CN"/>
                    </w:rPr>
                  </w:pPr>
                  <w:r>
                    <w:rPr>
                      <w:rFonts w:hint="default" w:ascii="Times New Roman" w:hAnsi="Times New Roman" w:eastAsia="宋体" w:cs="Times New Roman"/>
                      <w:b/>
                      <w:bCs w:val="0"/>
                      <w:color w:val="auto"/>
                      <w:sz w:val="21"/>
                      <w:szCs w:val="21"/>
                      <w:highlight w:val="none"/>
                      <w:u w:val="none" w:color="auto"/>
                      <w:lang w:eastAsia="zh-CN"/>
                    </w:rPr>
                    <w:t>处理效率</w:t>
                  </w:r>
                  <w:r>
                    <w:rPr>
                      <w:rFonts w:hint="default" w:ascii="Times New Roman" w:hAnsi="Times New Roman" w:eastAsia="宋体" w:cs="Times New Roman"/>
                      <w:b/>
                      <w:bCs w:val="0"/>
                      <w:color w:val="auto"/>
                      <w:sz w:val="21"/>
                      <w:szCs w:val="21"/>
                      <w:highlight w:val="none"/>
                      <w:u w:val="none" w:color="auto"/>
                      <w:lang w:val="en-US" w:eastAsia="zh-CN"/>
                    </w:rPr>
                    <w:t>/%</w:t>
                  </w:r>
                </w:p>
              </w:tc>
              <w:tc>
                <w:tcPr>
                  <w:tcW w:w="2196" w:type="dxa"/>
                  <w:gridSpan w:val="3"/>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排放状况</w:t>
                  </w:r>
                </w:p>
              </w:tc>
              <w:tc>
                <w:tcPr>
                  <w:tcW w:w="658" w:type="dxa"/>
                  <w:vMerge w:val="restart"/>
                  <w:tcBorders>
                    <w:tl2br w:val="nil"/>
                    <w:tr2bl w:val="nil"/>
                  </w:tcBorders>
                  <w:noWrap w:val="0"/>
                  <w:vAlign w:val="center"/>
                </w:tcPr>
                <w:p>
                  <w:pPr>
                    <w:pStyle w:val="39"/>
                    <w:bidi w:val="0"/>
                    <w:rPr>
                      <w:rFonts w:hint="default" w:ascii="Times New Roman" w:hAnsi="Times New Roman"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排放</w:t>
                  </w:r>
                </w:p>
                <w:p>
                  <w:pPr>
                    <w:pStyle w:val="39"/>
                    <w:bidi w:val="0"/>
                    <w:rPr>
                      <w:rFonts w:hint="default" w:ascii="Times New Roman" w:hAnsi="Times New Roman"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43" w:type="dxa"/>
                  <w:vMerge w:val="continue"/>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rPr>
                  </w:pPr>
                </w:p>
              </w:tc>
              <w:tc>
                <w:tcPr>
                  <w:tcW w:w="581" w:type="dxa"/>
                  <w:vMerge w:val="continue"/>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rPr>
                  </w:pPr>
                </w:p>
              </w:tc>
              <w:tc>
                <w:tcPr>
                  <w:tcW w:w="640" w:type="dxa"/>
                  <w:vMerge w:val="continue"/>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rPr>
                  </w:pPr>
                </w:p>
              </w:tc>
              <w:tc>
                <w:tcPr>
                  <w:tcW w:w="717" w:type="dxa"/>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浓度</w:t>
                  </w:r>
                </w:p>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（mg/m</w:t>
                  </w:r>
                  <w:r>
                    <w:rPr>
                      <w:rFonts w:hint="default" w:ascii="Times New Roman" w:hAnsi="Times New Roman" w:eastAsia="宋体" w:cs="Times New Roman"/>
                      <w:b/>
                      <w:bCs w:val="0"/>
                      <w:color w:val="auto"/>
                      <w:sz w:val="21"/>
                      <w:szCs w:val="21"/>
                      <w:highlight w:val="none"/>
                      <w:u w:val="none" w:color="auto"/>
                      <w:vertAlign w:val="superscript"/>
                    </w:rPr>
                    <w:t>3</w:t>
                  </w:r>
                  <w:r>
                    <w:rPr>
                      <w:rFonts w:hint="default" w:ascii="Times New Roman" w:hAnsi="Times New Roman" w:eastAsia="宋体" w:cs="Times New Roman"/>
                      <w:b/>
                      <w:bCs w:val="0"/>
                      <w:color w:val="auto"/>
                      <w:sz w:val="21"/>
                      <w:szCs w:val="21"/>
                      <w:highlight w:val="none"/>
                      <w:u w:val="none" w:color="auto"/>
                    </w:rPr>
                    <w:t>）</w:t>
                  </w:r>
                </w:p>
              </w:tc>
              <w:tc>
                <w:tcPr>
                  <w:tcW w:w="783" w:type="dxa"/>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速率</w:t>
                  </w:r>
                </w:p>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（kg/h）</w:t>
                  </w:r>
                </w:p>
              </w:tc>
              <w:tc>
                <w:tcPr>
                  <w:tcW w:w="827" w:type="dxa"/>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产生量（</w:t>
                  </w:r>
                  <w:r>
                    <w:rPr>
                      <w:rFonts w:hint="default" w:ascii="Times New Roman" w:hAnsi="Times New Roman" w:eastAsia="宋体" w:cs="Times New Roman"/>
                      <w:b/>
                      <w:bCs w:val="0"/>
                      <w:color w:val="auto"/>
                      <w:sz w:val="21"/>
                      <w:szCs w:val="21"/>
                      <w:highlight w:val="none"/>
                      <w:u w:val="none" w:color="auto"/>
                      <w:lang w:val="en-US" w:eastAsia="zh-CN"/>
                    </w:rPr>
                    <w:t>kg/a</w:t>
                  </w:r>
                  <w:r>
                    <w:rPr>
                      <w:rFonts w:hint="default" w:ascii="Times New Roman" w:hAnsi="Times New Roman" w:eastAsia="宋体" w:cs="Times New Roman"/>
                      <w:b/>
                      <w:bCs w:val="0"/>
                      <w:color w:val="auto"/>
                      <w:sz w:val="21"/>
                      <w:szCs w:val="21"/>
                      <w:highlight w:val="none"/>
                      <w:u w:val="none" w:color="auto"/>
                    </w:rPr>
                    <w:t>）</w:t>
                  </w:r>
                </w:p>
              </w:tc>
              <w:tc>
                <w:tcPr>
                  <w:tcW w:w="628" w:type="dxa"/>
                  <w:vMerge w:val="continue"/>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p>
              </w:tc>
              <w:tc>
                <w:tcPr>
                  <w:tcW w:w="662" w:type="dxa"/>
                  <w:vMerge w:val="continue"/>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p>
              </w:tc>
              <w:tc>
                <w:tcPr>
                  <w:tcW w:w="766" w:type="dxa"/>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浓度</w:t>
                  </w:r>
                </w:p>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（mg/m</w:t>
                  </w:r>
                  <w:r>
                    <w:rPr>
                      <w:rFonts w:hint="default" w:ascii="Times New Roman" w:hAnsi="Times New Roman" w:eastAsia="宋体" w:cs="Times New Roman"/>
                      <w:b/>
                      <w:bCs w:val="0"/>
                      <w:color w:val="auto"/>
                      <w:sz w:val="21"/>
                      <w:szCs w:val="21"/>
                      <w:highlight w:val="none"/>
                      <w:u w:val="none" w:color="auto"/>
                      <w:vertAlign w:val="superscript"/>
                    </w:rPr>
                    <w:t>3</w:t>
                  </w:r>
                  <w:r>
                    <w:rPr>
                      <w:rFonts w:hint="default" w:ascii="Times New Roman" w:hAnsi="Times New Roman" w:eastAsia="宋体" w:cs="Times New Roman"/>
                      <w:b/>
                      <w:bCs w:val="0"/>
                      <w:color w:val="auto"/>
                      <w:sz w:val="21"/>
                      <w:szCs w:val="21"/>
                      <w:highlight w:val="none"/>
                      <w:u w:val="none" w:color="auto"/>
                    </w:rPr>
                    <w:t>）</w:t>
                  </w:r>
                </w:p>
              </w:tc>
              <w:tc>
                <w:tcPr>
                  <w:tcW w:w="660" w:type="dxa"/>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速率</w:t>
                  </w:r>
                </w:p>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（kg/h）</w:t>
                  </w:r>
                </w:p>
              </w:tc>
              <w:tc>
                <w:tcPr>
                  <w:tcW w:w="770" w:type="dxa"/>
                  <w:tcBorders>
                    <w:tl2br w:val="nil"/>
                    <w:tr2bl w:val="nil"/>
                  </w:tcBorders>
                  <w:noWrap w:val="0"/>
                  <w:vAlign w:val="center"/>
                </w:tcPr>
                <w:p>
                  <w:pPr>
                    <w:pStyle w:val="39"/>
                    <w:bidi w:val="0"/>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排放量（</w:t>
                  </w:r>
                  <w:r>
                    <w:rPr>
                      <w:rFonts w:hint="default" w:ascii="Times New Roman" w:hAnsi="Times New Roman" w:eastAsia="宋体" w:cs="Times New Roman"/>
                      <w:b/>
                      <w:bCs w:val="0"/>
                      <w:color w:val="auto"/>
                      <w:sz w:val="21"/>
                      <w:szCs w:val="21"/>
                      <w:highlight w:val="none"/>
                      <w:u w:val="none" w:color="auto"/>
                      <w:lang w:val="en-US" w:eastAsia="zh-CN"/>
                    </w:rPr>
                    <w:t>kg</w:t>
                  </w:r>
                  <w:r>
                    <w:rPr>
                      <w:rFonts w:hint="default" w:ascii="Times New Roman" w:hAnsi="Times New Roman" w:eastAsia="宋体" w:cs="Times New Roman"/>
                      <w:b/>
                      <w:bCs w:val="0"/>
                      <w:color w:val="auto"/>
                      <w:sz w:val="21"/>
                      <w:szCs w:val="21"/>
                      <w:highlight w:val="none"/>
                      <w:u w:val="none" w:color="auto"/>
                    </w:rPr>
                    <w:t>/a）</w:t>
                  </w:r>
                </w:p>
              </w:tc>
              <w:tc>
                <w:tcPr>
                  <w:tcW w:w="658" w:type="dxa"/>
                  <w:vMerge w:val="continue"/>
                  <w:tcBorders>
                    <w:tl2br w:val="nil"/>
                    <w:tr2bl w:val="nil"/>
                  </w:tcBorders>
                  <w:noWrap w:val="0"/>
                  <w:vAlign w:val="center"/>
                </w:tcPr>
                <w:p>
                  <w:pPr>
                    <w:pStyle w:val="39"/>
                    <w:bidi w:val="0"/>
                    <w:rPr>
                      <w:rFonts w:hint="default" w:ascii="Times New Roman" w:hAnsi="Times New Roman" w:cs="Times New Roman"/>
                      <w:b w:val="0"/>
                      <w:bCs/>
                      <w:color w:val="auto"/>
                      <w:sz w:val="21"/>
                      <w:szCs w:val="21"/>
                      <w:highlight w:val="none"/>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43" w:type="dxa"/>
                  <w:tcBorders>
                    <w:tl2br w:val="nil"/>
                    <w:tr2bl w:val="nil"/>
                  </w:tcBorders>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color w:val="auto"/>
                      <w:u w:val="none" w:color="auto"/>
                      <w:lang w:val="en-US"/>
                    </w:rPr>
                    <w:t>投料过程</w:t>
                  </w:r>
                </w:p>
              </w:tc>
              <w:tc>
                <w:tcPr>
                  <w:tcW w:w="581" w:type="dxa"/>
                  <w:tcBorders>
                    <w:tl2br w:val="nil"/>
                    <w:tr2bl w:val="nil"/>
                  </w:tcBorders>
                  <w:noWrap w:val="0"/>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color w:val="auto"/>
                      <w:u w:val="none" w:color="auto"/>
                      <w:lang w:val="en-US"/>
                    </w:rPr>
                    <w:t>颗粒物</w:t>
                  </w:r>
                </w:p>
              </w:tc>
              <w:tc>
                <w:tcPr>
                  <w:tcW w:w="640" w:type="dxa"/>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717" w:type="dxa"/>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783"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0.158</w:t>
                  </w:r>
                </w:p>
              </w:tc>
              <w:tc>
                <w:tcPr>
                  <w:tcW w:w="827" w:type="dxa"/>
                  <w:tcBorders>
                    <w:tl2br w:val="nil"/>
                    <w:tr2bl w:val="nil"/>
                  </w:tcBorders>
                  <w:noWrap w:val="0"/>
                  <w:vAlign w:val="center"/>
                </w:tcPr>
                <w:p>
                  <w:pPr>
                    <w:pStyle w:val="39"/>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455</w:t>
                  </w:r>
                </w:p>
              </w:tc>
              <w:tc>
                <w:tcPr>
                  <w:tcW w:w="628" w:type="dxa"/>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自然沉降，加强密闭</w:t>
                  </w:r>
                </w:p>
              </w:tc>
              <w:tc>
                <w:tcPr>
                  <w:tcW w:w="662" w:type="dxa"/>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60</w:t>
                  </w:r>
                </w:p>
              </w:tc>
              <w:tc>
                <w:tcPr>
                  <w:tcW w:w="766"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660"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0.063</w:t>
                  </w:r>
                </w:p>
              </w:tc>
              <w:tc>
                <w:tcPr>
                  <w:tcW w:w="770" w:type="dxa"/>
                  <w:tcBorders>
                    <w:tl2br w:val="nil"/>
                    <w:tr2bl w:val="nil"/>
                  </w:tcBorders>
                  <w:noWrap w:val="0"/>
                  <w:vAlign w:val="center"/>
                </w:tcPr>
                <w:p>
                  <w:pPr>
                    <w:pStyle w:val="39"/>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182</w:t>
                  </w:r>
                </w:p>
              </w:tc>
              <w:tc>
                <w:tcPr>
                  <w:tcW w:w="658" w:type="dxa"/>
                  <w:vMerge w:val="restart"/>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highlight w:val="none"/>
                      <w:u w:val="none" w:color="auto"/>
                      <w:lang w:val="en-US" w:eastAsia="zh-CN"/>
                    </w:rPr>
                    <w:t>无</w:t>
                  </w:r>
                  <w:r>
                    <w:rPr>
                      <w:rFonts w:hint="default" w:ascii="Times New Roman" w:hAnsi="Times New Roman" w:eastAsia="宋体" w:cs="Times New Roman"/>
                      <w:b w:val="0"/>
                      <w:bCs/>
                      <w:color w:val="auto"/>
                      <w:highlight w:val="none"/>
                      <w:u w:val="none" w:color="auto"/>
                      <w:lang w:eastAsia="zh-CN"/>
                    </w:rPr>
                    <w:t>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43" w:type="dxa"/>
                  <w:vMerge w:val="restart"/>
                  <w:tcBorders>
                    <w:tl2br w:val="nil"/>
                    <w:tr2bl w:val="nil"/>
                  </w:tcBorders>
                  <w:noWrap w:val="0"/>
                  <w:vAlign w:val="center"/>
                </w:tcPr>
                <w:p>
                  <w:pPr>
                    <w:pStyle w:val="39"/>
                    <w:bidi w:val="0"/>
                    <w:ind w:firstLine="0" w:firstLineChars="0"/>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auto"/>
                      <w:u w:val="none" w:color="auto"/>
                      <w:lang w:val="en-US"/>
                    </w:rPr>
                    <w:t>自建污水处理</w:t>
                  </w:r>
                  <w:r>
                    <w:rPr>
                      <w:rFonts w:hint="default" w:ascii="Times New Roman" w:hAnsi="Times New Roman" w:eastAsia="宋体" w:cs="Times New Roman"/>
                      <w:color w:val="auto"/>
                      <w:u w:val="none" w:color="auto"/>
                      <w:lang w:val="en-US" w:eastAsia="zh-CN"/>
                    </w:rPr>
                    <w:t>设施</w:t>
                  </w:r>
                </w:p>
              </w:tc>
              <w:tc>
                <w:tcPr>
                  <w:tcW w:w="581" w:type="dxa"/>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none" w:color="auto"/>
                      <w:vertAlign w:val="baseline"/>
                    </w:rPr>
                  </w:pPr>
                  <w:r>
                    <w:rPr>
                      <w:rFonts w:hint="default" w:ascii="Times New Roman" w:hAnsi="Times New Roman" w:eastAsia="宋体" w:cs="Times New Roman"/>
                      <w:color w:val="auto"/>
                      <w:sz w:val="21"/>
                      <w:szCs w:val="21"/>
                      <w:u w:val="none" w:color="auto"/>
                      <w:lang w:val="en-US"/>
                    </w:rPr>
                    <w:t>NH</w:t>
                  </w:r>
                  <w:r>
                    <w:rPr>
                      <w:rFonts w:hint="default" w:ascii="Times New Roman" w:hAnsi="Times New Roman" w:eastAsia="宋体" w:cs="Times New Roman"/>
                      <w:color w:val="auto"/>
                      <w:sz w:val="21"/>
                      <w:szCs w:val="21"/>
                      <w:u w:val="none" w:color="auto"/>
                      <w:vertAlign w:val="subscript"/>
                      <w:lang w:val="en-US"/>
                    </w:rPr>
                    <w:t>3</w:t>
                  </w:r>
                </w:p>
              </w:tc>
              <w:tc>
                <w:tcPr>
                  <w:tcW w:w="640"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717"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783"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0.0058</w:t>
                  </w:r>
                </w:p>
              </w:tc>
              <w:tc>
                <w:tcPr>
                  <w:tcW w:w="827" w:type="dxa"/>
                  <w:tcBorders>
                    <w:tl2br w:val="nil"/>
                    <w:tr2bl w:val="nil"/>
                  </w:tcBorders>
                  <w:noWrap w:val="0"/>
                  <w:vAlign w:val="center"/>
                </w:tcPr>
                <w:p>
                  <w:pPr>
                    <w:pStyle w:val="39"/>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16.57</w:t>
                  </w:r>
                </w:p>
              </w:tc>
              <w:tc>
                <w:tcPr>
                  <w:tcW w:w="628" w:type="dxa"/>
                  <w:vMerge w:val="restart"/>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u w:val="none" w:color="auto"/>
                      <w:lang w:val="en-US"/>
                    </w:rPr>
                    <w:t>加盖密闭</w:t>
                  </w:r>
                  <w:r>
                    <w:rPr>
                      <w:rFonts w:hint="default" w:ascii="Times New Roman" w:hAnsi="Times New Roman" w:eastAsia="宋体" w:cs="Times New Roman"/>
                      <w:u w:val="none" w:color="auto"/>
                      <w:lang w:val="en-US" w:eastAsia="zh-CN"/>
                    </w:rPr>
                    <w:t>、</w:t>
                  </w:r>
                  <w:r>
                    <w:rPr>
                      <w:rFonts w:hint="default" w:ascii="Times New Roman" w:hAnsi="Times New Roman" w:eastAsia="宋体" w:cs="Times New Roman"/>
                      <w:u w:val="none" w:color="auto"/>
                      <w:lang w:val="en-US"/>
                    </w:rPr>
                    <w:t>喷洒除臭剂处理</w:t>
                  </w:r>
                </w:p>
              </w:tc>
              <w:tc>
                <w:tcPr>
                  <w:tcW w:w="662"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766"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660"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0.0058</w:t>
                  </w:r>
                </w:p>
              </w:tc>
              <w:tc>
                <w:tcPr>
                  <w:tcW w:w="770" w:type="dxa"/>
                  <w:tcBorders>
                    <w:tl2br w:val="nil"/>
                    <w:tr2bl w:val="nil"/>
                  </w:tcBorders>
                  <w:noWrap w:val="0"/>
                  <w:vAlign w:val="center"/>
                </w:tcPr>
                <w:p>
                  <w:pPr>
                    <w:pStyle w:val="39"/>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16.57</w:t>
                  </w:r>
                </w:p>
              </w:tc>
              <w:tc>
                <w:tcPr>
                  <w:tcW w:w="658" w:type="dxa"/>
                  <w:vMerge w:val="continue"/>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43" w:type="dxa"/>
                  <w:vMerge w:val="continue"/>
                  <w:tcBorders>
                    <w:tl2br w:val="nil"/>
                    <w:tr2bl w:val="nil"/>
                  </w:tcBorders>
                  <w:noWrap w:val="0"/>
                  <w:vAlign w:val="center"/>
                </w:tcPr>
                <w:p>
                  <w:pPr>
                    <w:pStyle w:val="39"/>
                    <w:bidi w:val="0"/>
                    <w:ind w:firstLine="0" w:firstLineChars="0"/>
                    <w:rPr>
                      <w:rFonts w:hint="default" w:ascii="Times New Roman" w:hAnsi="Times New Roman" w:eastAsia="宋体" w:cs="Times New Roman"/>
                      <w:color w:val="000000"/>
                      <w:sz w:val="21"/>
                      <w:szCs w:val="21"/>
                      <w:u w:val="none" w:color="auto"/>
                      <w:vertAlign w:val="baseline"/>
                    </w:rPr>
                  </w:pPr>
                </w:p>
              </w:tc>
              <w:tc>
                <w:tcPr>
                  <w:tcW w:w="581" w:type="dxa"/>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none" w:color="auto"/>
                      <w:vertAlign w:val="baseline"/>
                    </w:rPr>
                  </w:pPr>
                  <w:r>
                    <w:rPr>
                      <w:rFonts w:hint="default" w:ascii="Times New Roman" w:hAnsi="Times New Roman" w:eastAsia="宋体" w:cs="Times New Roman"/>
                      <w:color w:val="auto"/>
                      <w:sz w:val="21"/>
                      <w:szCs w:val="21"/>
                      <w:u w:val="none" w:color="auto"/>
                      <w:lang w:val="en-US"/>
                    </w:rPr>
                    <w:t>H</w:t>
                  </w:r>
                  <w:r>
                    <w:rPr>
                      <w:rFonts w:hint="default" w:ascii="Times New Roman" w:hAnsi="Times New Roman" w:eastAsia="宋体" w:cs="Times New Roman"/>
                      <w:color w:val="auto"/>
                      <w:sz w:val="21"/>
                      <w:szCs w:val="21"/>
                      <w:u w:val="none" w:color="auto"/>
                      <w:vertAlign w:val="subscript"/>
                      <w:lang w:val="en-US"/>
                    </w:rPr>
                    <w:t>2</w:t>
                  </w:r>
                  <w:r>
                    <w:rPr>
                      <w:rFonts w:hint="default" w:ascii="Times New Roman" w:hAnsi="Times New Roman" w:eastAsia="宋体" w:cs="Times New Roman"/>
                      <w:color w:val="auto"/>
                      <w:sz w:val="21"/>
                      <w:szCs w:val="21"/>
                      <w:u w:val="none" w:color="auto"/>
                      <w:lang w:val="en-US"/>
                    </w:rPr>
                    <w:t>S</w:t>
                  </w:r>
                </w:p>
              </w:tc>
              <w:tc>
                <w:tcPr>
                  <w:tcW w:w="640"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717"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783"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0.00022</w:t>
                  </w:r>
                </w:p>
              </w:tc>
              <w:tc>
                <w:tcPr>
                  <w:tcW w:w="827" w:type="dxa"/>
                  <w:tcBorders>
                    <w:tl2br w:val="nil"/>
                    <w:tr2bl w:val="nil"/>
                  </w:tcBorders>
                  <w:noWrap w:val="0"/>
                  <w:vAlign w:val="center"/>
                </w:tcPr>
                <w:p>
                  <w:pPr>
                    <w:pStyle w:val="39"/>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0.642</w:t>
                  </w:r>
                </w:p>
              </w:tc>
              <w:tc>
                <w:tcPr>
                  <w:tcW w:w="628" w:type="dxa"/>
                  <w:vMerge w:val="continue"/>
                  <w:tcBorders>
                    <w:tl2br w:val="nil"/>
                    <w:tr2bl w:val="nil"/>
                  </w:tcBorders>
                  <w:noWrap w:val="0"/>
                  <w:vAlign w:val="center"/>
                </w:tcPr>
                <w:p>
                  <w:pPr>
                    <w:pStyle w:val="39"/>
                    <w:bidi w:val="0"/>
                    <w:rPr>
                      <w:rFonts w:hint="default" w:ascii="Times New Roman" w:hAnsi="Times New Roman" w:eastAsia="宋体" w:cs="Times New Roman"/>
                      <w:b w:val="0"/>
                      <w:bCs/>
                      <w:color w:val="auto"/>
                      <w:sz w:val="21"/>
                      <w:szCs w:val="21"/>
                      <w:highlight w:val="none"/>
                      <w:u w:val="none" w:color="auto"/>
                      <w:lang w:val="en-US" w:eastAsia="zh-CN"/>
                    </w:rPr>
                  </w:pPr>
                </w:p>
              </w:tc>
              <w:tc>
                <w:tcPr>
                  <w:tcW w:w="662"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766"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w:t>
                  </w:r>
                </w:p>
              </w:tc>
              <w:tc>
                <w:tcPr>
                  <w:tcW w:w="660" w:type="dxa"/>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0.00022</w:t>
                  </w:r>
                </w:p>
              </w:tc>
              <w:tc>
                <w:tcPr>
                  <w:tcW w:w="770" w:type="dxa"/>
                  <w:tcBorders>
                    <w:tl2br w:val="nil"/>
                    <w:tr2bl w:val="nil"/>
                  </w:tcBorders>
                  <w:noWrap w:val="0"/>
                  <w:vAlign w:val="center"/>
                </w:tcPr>
                <w:p>
                  <w:pPr>
                    <w:pStyle w:val="39"/>
                    <w:ind w:firstLine="0" w:firstLineChars="0"/>
                    <w:rPr>
                      <w:rFonts w:hint="default" w:ascii="Times New Roman" w:hAnsi="Times New Roman" w:eastAsia="宋体" w:cs="Times New Roman"/>
                      <w:b w:val="0"/>
                      <w:bCs/>
                      <w:color w:val="auto"/>
                      <w:sz w:val="21"/>
                      <w:szCs w:val="21"/>
                      <w:highlight w:val="none"/>
                      <w:u w:val="none" w:color="auto"/>
                      <w:lang w:val="en-US" w:eastAsia="zh-CN" w:bidi="zh-CN"/>
                    </w:rPr>
                  </w:pPr>
                  <w:r>
                    <w:rPr>
                      <w:rFonts w:hint="default" w:ascii="Times New Roman" w:hAnsi="Times New Roman" w:eastAsia="宋体" w:cs="Times New Roman"/>
                      <w:b w:val="0"/>
                      <w:bCs/>
                      <w:color w:val="auto"/>
                      <w:sz w:val="21"/>
                      <w:szCs w:val="21"/>
                      <w:highlight w:val="none"/>
                      <w:u w:val="none" w:color="auto"/>
                      <w:lang w:val="en-US" w:eastAsia="zh-CN" w:bidi="zh-CN"/>
                    </w:rPr>
                    <w:t>0.642</w:t>
                  </w:r>
                </w:p>
              </w:tc>
              <w:tc>
                <w:tcPr>
                  <w:tcW w:w="658" w:type="dxa"/>
                  <w:vMerge w:val="continue"/>
                  <w:tcBorders>
                    <w:tl2br w:val="nil"/>
                    <w:tr2bl w:val="nil"/>
                  </w:tcBorders>
                  <w:noWrap w:val="0"/>
                  <w:vAlign w:val="center"/>
                </w:tcPr>
                <w:p>
                  <w:pPr>
                    <w:pStyle w:val="39"/>
                    <w:bidi w:val="0"/>
                    <w:ind w:firstLine="0" w:firstLineChars="0"/>
                    <w:rPr>
                      <w:rFonts w:hint="default" w:ascii="Times New Roman" w:hAnsi="Times New Roman" w:eastAsia="宋体" w:cs="Times New Roman"/>
                      <w:b w:val="0"/>
                      <w:bCs/>
                      <w:color w:val="auto"/>
                      <w:sz w:val="21"/>
                      <w:szCs w:val="21"/>
                      <w:highlight w:val="none"/>
                      <w:u w:val="none" w:color="auto"/>
                      <w:lang w:val="en-US" w:eastAsia="zh-CN"/>
                    </w:rPr>
                  </w:pPr>
                </w:p>
              </w:tc>
            </w:tr>
          </w:tbl>
          <w:p>
            <w:pPr>
              <w:bidi w:val="0"/>
              <w:jc w:val="both"/>
              <w:rPr>
                <w:rFonts w:hint="default" w:ascii="Times New Roman" w:hAnsi="Times New Roman" w:cs="Times New Roman"/>
                <w:u w:val="none" w:color="auto"/>
                <w:lang w:eastAsia="zh-CN"/>
              </w:rPr>
            </w:pPr>
            <w:r>
              <w:rPr>
                <w:rFonts w:hint="default" w:ascii="Times New Roman" w:hAnsi="Times New Roman" w:cs="Times New Roman"/>
                <w:u w:val="none" w:color="auto"/>
                <w:lang w:val="en-US" w:eastAsia="zh-CN"/>
              </w:rPr>
              <w:t>项目地周边最近敏感点为西南侧</w:t>
            </w:r>
            <w:r>
              <w:rPr>
                <w:rFonts w:hint="eastAsia" w:cs="Times New Roman"/>
                <w:u w:val="none" w:color="auto"/>
                <w:lang w:val="en-US" w:eastAsia="zh-CN"/>
              </w:rPr>
              <w:t>10</w:t>
            </w:r>
            <w:r>
              <w:rPr>
                <w:rFonts w:hint="default" w:ascii="Times New Roman" w:hAnsi="Times New Roman" w:cs="Times New Roman"/>
                <w:u w:val="none" w:color="auto"/>
                <w:lang w:val="en-US" w:eastAsia="zh-CN"/>
              </w:rPr>
              <w:t>m处的</w:t>
            </w:r>
            <w:r>
              <w:rPr>
                <w:rFonts w:hint="eastAsia" w:cs="Times New Roman"/>
                <w:u w:val="none" w:color="auto"/>
                <w:lang w:val="en-US" w:eastAsia="zh-CN"/>
              </w:rPr>
              <w:t>1户</w:t>
            </w:r>
            <w:r>
              <w:rPr>
                <w:rFonts w:hint="default" w:ascii="Times New Roman" w:hAnsi="Times New Roman" w:cs="Times New Roman"/>
                <w:u w:val="none" w:color="auto"/>
                <w:lang w:val="en-US" w:eastAsia="zh-CN"/>
              </w:rPr>
              <w:t>红土溪村散户，且位于下风向</w:t>
            </w:r>
            <w:r>
              <w:rPr>
                <w:rFonts w:hint="default" w:ascii="Times New Roman" w:hAnsi="Times New Roman" w:cs="Times New Roman"/>
                <w:u w:val="none" w:color="auto"/>
                <w:lang w:eastAsia="zh-CN"/>
              </w:rPr>
              <w:t>，</w:t>
            </w:r>
            <w:r>
              <w:rPr>
                <w:rFonts w:hint="default" w:ascii="Times New Roman" w:hAnsi="Times New Roman" w:cs="Times New Roman"/>
                <w:u w:val="none" w:color="auto"/>
              </w:rPr>
              <w:t>该户居民仅在春节期间有人</w:t>
            </w:r>
            <w:r>
              <w:rPr>
                <w:rFonts w:hint="eastAsia" w:cs="Times New Roman"/>
                <w:u w:val="none" w:color="auto"/>
                <w:lang w:val="en-US" w:eastAsia="zh-CN"/>
              </w:rPr>
              <w:t>短暂</w:t>
            </w:r>
            <w:r>
              <w:rPr>
                <w:rFonts w:hint="default" w:ascii="Times New Roman" w:hAnsi="Times New Roman" w:cs="Times New Roman"/>
                <w:u w:val="none" w:color="auto"/>
              </w:rPr>
              <w:t>居住，其余时间闲置</w:t>
            </w:r>
            <w:r>
              <w:rPr>
                <w:rFonts w:hint="default" w:ascii="Times New Roman" w:hAnsi="Times New Roman" w:cs="Times New Roman"/>
                <w:u w:val="none" w:color="auto"/>
                <w:lang w:val="en-US" w:eastAsia="zh-CN"/>
              </w:rPr>
              <w:t>，</w:t>
            </w:r>
            <w:r>
              <w:rPr>
                <w:rFonts w:hint="eastAsia" w:cs="Times New Roman"/>
                <w:u w:val="none" w:color="auto"/>
                <w:lang w:val="en-US" w:eastAsia="zh-CN"/>
              </w:rPr>
              <w:t>其余</w:t>
            </w:r>
            <w:r>
              <w:rPr>
                <w:rFonts w:hint="default" w:ascii="Times New Roman" w:hAnsi="Times New Roman" w:cs="Times New Roman"/>
                <w:u w:val="none" w:color="auto"/>
                <w:lang w:val="en-US" w:eastAsia="zh-CN"/>
              </w:rPr>
              <w:t>均为空房</w:t>
            </w:r>
            <w:r>
              <w:rPr>
                <w:rFonts w:hint="eastAsia" w:cs="Times New Roman"/>
                <w:u w:val="none" w:color="auto"/>
                <w:lang w:val="en-US" w:eastAsia="zh-CN"/>
              </w:rPr>
              <w:t>，因此</w:t>
            </w:r>
            <w:r>
              <w:rPr>
                <w:rFonts w:hint="default" w:ascii="Times New Roman" w:hAnsi="Times New Roman" w:cs="Times New Roman"/>
                <w:u w:val="none" w:color="auto"/>
                <w:lang w:eastAsia="zh-CN"/>
              </w:rPr>
              <w:t>项</w:t>
            </w:r>
            <w:r>
              <w:rPr>
                <w:rFonts w:hint="default" w:ascii="Times New Roman" w:hAnsi="Times New Roman" w:cs="Times New Roman"/>
                <w:highlight w:val="none"/>
                <w:u w:val="none" w:color="auto"/>
                <w:lang w:eastAsia="zh-CN"/>
              </w:rPr>
              <w:t>目采取的</w:t>
            </w:r>
            <w:r>
              <w:rPr>
                <w:rFonts w:hint="default" w:ascii="Times New Roman" w:hAnsi="Times New Roman" w:cs="Times New Roman"/>
                <w:highlight w:val="none"/>
                <w:u w:val="none" w:color="auto"/>
                <w:lang w:val="en-US" w:eastAsia="zh-CN"/>
              </w:rPr>
              <w:t>废气</w:t>
            </w:r>
            <w:r>
              <w:rPr>
                <w:rFonts w:hint="default" w:ascii="Times New Roman" w:hAnsi="Times New Roman" w:cs="Times New Roman"/>
                <w:highlight w:val="none"/>
                <w:u w:val="none" w:color="auto"/>
                <w:lang w:eastAsia="zh-CN"/>
              </w:rPr>
              <w:t>污染治理措施均为可行技术，</w:t>
            </w:r>
            <w:r>
              <w:rPr>
                <w:rFonts w:hint="default" w:ascii="Times New Roman" w:hAnsi="Times New Roman" w:cs="Times New Roman"/>
                <w:u w:val="none" w:color="auto"/>
                <w:lang w:val="en-US" w:eastAsia="zh-CN"/>
              </w:rPr>
              <w:t>绝大多数污染物可被收集集中处理后有组织达标排放，满足</w:t>
            </w:r>
            <w:r>
              <w:rPr>
                <w:rFonts w:hint="default" w:ascii="Times New Roman" w:hAnsi="Times New Roman" w:cs="Times New Roman"/>
                <w:u w:val="none" w:color="auto"/>
                <w:lang w:eastAsia="zh-CN"/>
              </w:rPr>
              <w:t>《</w:t>
            </w:r>
            <w:r>
              <w:rPr>
                <w:rFonts w:ascii="Times New Roman" w:hAnsi="Times New Roman" w:cs="Times New Roman"/>
                <w:color w:val="auto"/>
                <w:u w:val="none" w:color="auto"/>
              </w:rPr>
              <w:t>锅炉大气污染物排放标准》（GB13271-2014）</w:t>
            </w:r>
            <w:r>
              <w:rPr>
                <w:rFonts w:hint="default" w:ascii="Times New Roman" w:hAnsi="Times New Roman" w:cs="Times New Roman"/>
                <w:color w:val="auto"/>
                <w:u w:val="none" w:color="auto"/>
                <w:lang w:val="en-US" w:eastAsia="zh-CN"/>
              </w:rPr>
              <w:t>中的</w:t>
            </w:r>
            <w:r>
              <w:rPr>
                <w:rFonts w:hint="default" w:ascii="Times New Roman" w:hAnsi="Times New Roman" w:cs="Times New Roman"/>
                <w:u w:val="none" w:color="auto"/>
                <w:lang w:eastAsia="zh-CN"/>
              </w:rPr>
              <w:t>标准限值。</w:t>
            </w:r>
            <w:r>
              <w:rPr>
                <w:rFonts w:hint="default" w:ascii="Times New Roman" w:hAnsi="Times New Roman" w:cs="Times New Roman"/>
                <w:u w:val="none" w:color="auto"/>
                <w:lang w:val="en-US" w:eastAsia="zh-CN"/>
              </w:rPr>
              <w:t>少部分未被收集处理的污染物通过无组织的形式排放，</w:t>
            </w:r>
            <w:r>
              <w:rPr>
                <w:rFonts w:hint="default" w:ascii="Times New Roman" w:hAnsi="Times New Roman" w:cs="Times New Roman"/>
                <w:u w:val="none" w:color="auto"/>
                <w:lang w:eastAsia="zh-CN"/>
              </w:rPr>
              <w:t>通过</w:t>
            </w:r>
            <w:r>
              <w:rPr>
                <w:rFonts w:hint="default" w:ascii="Times New Roman" w:hAnsi="Times New Roman" w:cs="Times New Roman"/>
                <w:u w:val="none" w:color="auto"/>
                <w:lang w:val="en-US" w:eastAsia="zh-CN"/>
              </w:rPr>
              <w:t>本项目</w:t>
            </w:r>
            <w:r>
              <w:rPr>
                <w:rFonts w:hint="default" w:ascii="Times New Roman" w:hAnsi="Times New Roman" w:cs="Times New Roman"/>
                <w:u w:val="none" w:color="auto"/>
                <w:lang w:eastAsia="zh-CN"/>
              </w:rPr>
              <w:t>提出的无组织废气治理措施，无组织废气排放量极少</w:t>
            </w:r>
            <w:r>
              <w:rPr>
                <w:rFonts w:hint="default" w:ascii="Times New Roman" w:hAnsi="Times New Roman" w:cs="Times New Roman"/>
                <w:u w:val="none" w:color="auto"/>
                <w:lang w:val="en-US" w:eastAsia="zh-CN"/>
              </w:rPr>
              <w:t>，</w:t>
            </w:r>
            <w:r>
              <w:rPr>
                <w:rFonts w:hint="default" w:ascii="Times New Roman" w:hAnsi="Times New Roman" w:cs="Times New Roman"/>
                <w:u w:val="none" w:color="auto"/>
                <w:lang w:eastAsia="zh-CN"/>
              </w:rPr>
              <w:t>故对环境影响较小。</w:t>
            </w:r>
          </w:p>
          <w:p>
            <w:pPr>
              <w:pStyle w:val="6"/>
              <w:bidi w:val="0"/>
              <w:rPr>
                <w:rFonts w:hint="default" w:ascii="Times New Roman" w:hAnsi="Times New Roman" w:cs="Times New Roman"/>
                <w:u w:val="none" w:color="auto"/>
                <w:lang w:val="en-US"/>
              </w:rPr>
            </w:pPr>
            <w:r>
              <w:rPr>
                <w:rFonts w:hint="default" w:ascii="Times New Roman" w:hAnsi="Times New Roman" w:cs="Times New Roman"/>
                <w:u w:val="none" w:color="auto"/>
                <w:lang w:val="en-US" w:eastAsia="zh-CN"/>
              </w:rPr>
              <w:t>4.2.1.3</w:t>
            </w:r>
            <w:r>
              <w:rPr>
                <w:rFonts w:hint="default" w:ascii="Times New Roman" w:hAnsi="Times New Roman" w:cs="Times New Roman"/>
                <w:u w:val="none" w:color="auto"/>
                <w:lang w:val="en-US"/>
              </w:rPr>
              <w:t>大气污染物排放量核算</w:t>
            </w:r>
          </w:p>
          <w:p>
            <w:pPr>
              <w:wordWrap/>
              <w:overflowPunct w:val="0"/>
              <w:topLinePunct w:val="0"/>
              <w:autoSpaceDE w:val="0"/>
              <w:autoSpaceDN w:val="0"/>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根据工程分析</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rPr>
              <w:t>项目运营期产生的废气主要包括各产品生产线产生的粉尘</w:t>
            </w:r>
            <w:r>
              <w:rPr>
                <w:rFonts w:hint="default" w:ascii="Times New Roman" w:hAnsi="Times New Roman" w:cs="Times New Roman"/>
                <w:color w:val="auto"/>
                <w:u w:val="none" w:color="auto"/>
                <w:lang w:val="en-US" w:eastAsia="zh-CN"/>
              </w:rPr>
              <w:t>、发酵异味、</w:t>
            </w:r>
            <w:r>
              <w:rPr>
                <w:rFonts w:hint="default" w:ascii="Times New Roman" w:hAnsi="Times New Roman" w:cs="Times New Roman"/>
                <w:color w:val="auto"/>
                <w:u w:val="none" w:color="auto"/>
                <w:lang w:val="en-US"/>
              </w:rPr>
              <w:t>自建污水处理站污水处理产生的恶臭气体</w:t>
            </w:r>
            <w:r>
              <w:rPr>
                <w:rFonts w:hint="default" w:ascii="Times New Roman" w:hAnsi="Times New Roman" w:cs="Times New Roman"/>
                <w:color w:val="auto"/>
                <w:u w:val="none" w:color="auto"/>
                <w:lang w:val="en-US" w:eastAsia="zh-CN"/>
              </w:rPr>
              <w:t>、蒸汽发生器废气</w:t>
            </w:r>
            <w:r>
              <w:rPr>
                <w:rFonts w:hint="eastAsia" w:cs="Times New Roman"/>
                <w:color w:val="auto"/>
                <w:u w:val="none" w:color="auto"/>
                <w:lang w:val="en-US" w:eastAsia="zh-CN"/>
              </w:rPr>
              <w:t>、生物质燃料</w:t>
            </w:r>
            <w:r>
              <w:rPr>
                <w:rFonts w:hint="eastAsia"/>
                <w:u w:val="none" w:color="auto"/>
                <w:lang w:val="en-US" w:eastAsia="zh-CN"/>
              </w:rPr>
              <w:t>投料废气</w:t>
            </w:r>
            <w:r>
              <w:rPr>
                <w:rFonts w:hint="default" w:ascii="Times New Roman" w:hAnsi="Times New Roman" w:cs="Times New Roman"/>
                <w:color w:val="auto"/>
                <w:u w:val="none" w:color="auto"/>
                <w:lang w:val="en-US" w:eastAsia="zh-CN"/>
              </w:rPr>
              <w:t>以及备用柴油发电机废气</w:t>
            </w:r>
            <w:r>
              <w:rPr>
                <w:rFonts w:hint="default" w:ascii="Times New Roman" w:hAnsi="Times New Roman" w:cs="Times New Roman"/>
                <w:color w:val="auto"/>
                <w:u w:val="none" w:color="auto"/>
                <w:lang w:val="en-US"/>
              </w:rPr>
              <w:t>。</w:t>
            </w:r>
          </w:p>
          <w:p>
            <w:pPr>
              <w:wordWrap/>
              <w:ind w:firstLine="480"/>
              <w:rPr>
                <w:rFonts w:hint="default" w:ascii="Times New Roman" w:hAnsi="Times New Roman" w:cs="Times New Roman"/>
                <w:szCs w:val="24"/>
                <w:u w:val="none" w:color="auto"/>
                <w:lang w:val="en-US"/>
              </w:rPr>
            </w:pPr>
            <w:r>
              <w:rPr>
                <w:rFonts w:hint="default" w:ascii="Times New Roman" w:hAnsi="Times New Roman" w:cs="Times New Roman"/>
                <w:szCs w:val="24"/>
                <w:u w:val="none" w:color="auto"/>
                <w:lang w:val="en-US"/>
              </w:rPr>
              <w:t>（1）有组织排放量核算</w:t>
            </w:r>
          </w:p>
          <w:p>
            <w:pPr>
              <w:pStyle w:val="43"/>
              <w:bidi w:val="0"/>
              <w:rPr>
                <w:rFonts w:hint="default"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eastAsia="zh-CN"/>
              </w:rPr>
              <w:t>4.2-</w:t>
            </w:r>
            <w:r>
              <w:rPr>
                <w:rFonts w:hint="eastAsia" w:cs="Times New Roman"/>
                <w:u w:val="none" w:color="auto"/>
                <w:lang w:val="en-US" w:eastAsia="zh-CN"/>
              </w:rPr>
              <w:t>14</w:t>
            </w:r>
            <w:r>
              <w:rPr>
                <w:rFonts w:hint="default" w:ascii="Times New Roman" w:hAnsi="Times New Roman" w:cs="Times New Roman"/>
                <w:u w:val="none" w:color="auto"/>
                <w:lang w:val="en-US"/>
              </w:rPr>
              <w:t xml:space="preserve">  </w:t>
            </w:r>
            <w:r>
              <w:rPr>
                <w:rFonts w:hint="default" w:ascii="Times New Roman" w:hAnsi="Times New Roman" w:cs="Times New Roman"/>
                <w:u w:val="none" w:color="auto"/>
              </w:rPr>
              <w:t>大气污染物有组织排放量核算表</w:t>
            </w:r>
          </w:p>
          <w:tbl>
            <w:tblPr>
              <w:tblStyle w:val="28"/>
              <w:tblW w:w="4957"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538"/>
              <w:gridCol w:w="1288"/>
              <w:gridCol w:w="917"/>
              <w:gridCol w:w="2144"/>
              <w:gridCol w:w="1768"/>
              <w:gridCol w:w="162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6" w:hRule="atLeast"/>
                <w:jc w:val="center"/>
              </w:trPr>
              <w:tc>
                <w:tcPr>
                  <w:tcW w:w="325" w:type="pct"/>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序号</w:t>
                  </w:r>
                </w:p>
              </w:tc>
              <w:tc>
                <w:tcPr>
                  <w:tcW w:w="778" w:type="pct"/>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排放口编号</w:t>
                  </w:r>
                </w:p>
              </w:tc>
              <w:tc>
                <w:tcPr>
                  <w:tcW w:w="554" w:type="pct"/>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污染物</w:t>
                  </w:r>
                </w:p>
              </w:tc>
              <w:tc>
                <w:tcPr>
                  <w:tcW w:w="1295" w:type="pct"/>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核算排放浓度</w:t>
                  </w:r>
                </w:p>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w:t>
                  </w:r>
                  <w:r>
                    <w:rPr>
                      <w:rFonts w:hint="default" w:ascii="Times New Roman" w:hAnsi="Times New Roman" w:eastAsia="宋体" w:cs="Times New Roman"/>
                      <w:b/>
                      <w:bCs/>
                      <w:u w:val="none" w:color="auto"/>
                      <w:lang w:val="en-US" w:eastAsia="zh-CN"/>
                    </w:rPr>
                    <w:t>m</w:t>
                  </w:r>
                  <w:r>
                    <w:rPr>
                      <w:rFonts w:hint="default" w:ascii="Times New Roman" w:hAnsi="Times New Roman" w:eastAsia="宋体" w:cs="Times New Roman"/>
                      <w:b/>
                      <w:bCs/>
                      <w:u w:val="none" w:color="auto"/>
                    </w:rPr>
                    <w:t>g/m</w:t>
                  </w:r>
                  <w:r>
                    <w:rPr>
                      <w:rFonts w:hint="default" w:ascii="Times New Roman" w:hAnsi="Times New Roman" w:eastAsia="宋体" w:cs="Times New Roman"/>
                      <w:b/>
                      <w:bCs/>
                      <w:u w:val="none" w:color="auto"/>
                      <w:vertAlign w:val="superscript"/>
                    </w:rPr>
                    <w:t>3</w:t>
                  </w:r>
                  <w:r>
                    <w:rPr>
                      <w:rFonts w:hint="default" w:ascii="Times New Roman" w:hAnsi="Times New Roman" w:eastAsia="宋体" w:cs="Times New Roman"/>
                      <w:b/>
                      <w:bCs/>
                      <w:u w:val="none" w:color="auto"/>
                    </w:rPr>
                    <w:t>）</w:t>
                  </w:r>
                </w:p>
              </w:tc>
              <w:tc>
                <w:tcPr>
                  <w:tcW w:w="1068" w:type="pct"/>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核算排放速率</w:t>
                  </w:r>
                </w:p>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（kg/h）</w:t>
                  </w:r>
                </w:p>
              </w:tc>
              <w:tc>
                <w:tcPr>
                  <w:tcW w:w="978" w:type="pct"/>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核算年排放量</w:t>
                  </w:r>
                </w:p>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w:t>
                  </w:r>
                  <w:r>
                    <w:rPr>
                      <w:rFonts w:hint="default" w:ascii="Times New Roman" w:hAnsi="Times New Roman" w:eastAsia="宋体" w:cs="Times New Roman"/>
                      <w:b/>
                      <w:bCs/>
                      <w:u w:val="none" w:color="auto"/>
                      <w:lang w:val="en-US" w:eastAsia="zh-CN"/>
                    </w:rPr>
                    <w:t>kg</w:t>
                  </w:r>
                  <w:r>
                    <w:rPr>
                      <w:rFonts w:hint="default" w:ascii="Times New Roman" w:hAnsi="Times New Roman" w:eastAsia="宋体" w:cs="Times New Roman"/>
                      <w:b/>
                      <w:bCs/>
                      <w:u w:val="none" w:color="auto"/>
                    </w:rPr>
                    <w:t>/a）</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9" w:hRule="atLeast"/>
                <w:jc w:val="center"/>
              </w:trPr>
              <w:tc>
                <w:tcPr>
                  <w:tcW w:w="5000" w:type="pct"/>
                  <w:gridSpan w:val="6"/>
                  <w:tcBorders>
                    <w:tl2br w:val="nil"/>
                    <w:tr2bl w:val="nil"/>
                  </w:tcBorders>
                  <w:vAlign w:val="center"/>
                </w:tcPr>
                <w:p>
                  <w:pPr>
                    <w:pStyle w:val="39"/>
                    <w:rPr>
                      <w:rFonts w:hint="default" w:ascii="Times New Roman" w:hAnsi="Times New Roman" w:eastAsia="宋体" w:cs="Times New Roman"/>
                      <w:u w:val="none" w:color="auto"/>
                    </w:rPr>
                  </w:pPr>
                  <w:r>
                    <w:rPr>
                      <w:rFonts w:hint="default" w:ascii="Times New Roman" w:hAnsi="Times New Roman" w:eastAsia="宋体" w:cs="Times New Roman"/>
                      <w:u w:val="none" w:color="auto"/>
                    </w:rPr>
                    <w:t>主要排放口</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325" w:type="pct"/>
                  <w:vMerge w:val="restart"/>
                  <w:tcBorders>
                    <w:tl2br w:val="nil"/>
                    <w:tr2bl w:val="nil"/>
                  </w:tcBorders>
                  <w:vAlign w:val="center"/>
                </w:tcPr>
                <w:p>
                  <w:pPr>
                    <w:pStyle w:val="39"/>
                    <w:rPr>
                      <w:rFonts w:hint="default" w:ascii="Times New Roman" w:hAnsi="Times New Roman" w:eastAsia="宋体" w:cs="Times New Roman"/>
                      <w:u w:val="none" w:color="auto"/>
                    </w:rPr>
                  </w:pPr>
                  <w:r>
                    <w:rPr>
                      <w:rFonts w:hint="default" w:ascii="Times New Roman" w:hAnsi="Times New Roman" w:eastAsia="宋体" w:cs="Times New Roman"/>
                      <w:u w:val="none" w:color="auto"/>
                    </w:rPr>
                    <w:t>1</w:t>
                  </w:r>
                </w:p>
              </w:tc>
              <w:tc>
                <w:tcPr>
                  <w:tcW w:w="778" w:type="pct"/>
                  <w:vMerge w:val="restart"/>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DA001</w:t>
                  </w:r>
                </w:p>
              </w:tc>
              <w:tc>
                <w:tcPr>
                  <w:tcW w:w="9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rPr>
                  </w:pPr>
                  <w:r>
                    <w:rPr>
                      <w:rFonts w:hint="default" w:ascii="Times New Roman" w:hAnsi="Times New Roman" w:cs="Times New Roman"/>
                      <w:sz w:val="21"/>
                      <w:szCs w:val="21"/>
                      <w:u w:val="none" w:color="auto"/>
                    </w:rPr>
                    <w:t>SO</w:t>
                  </w:r>
                  <w:r>
                    <w:rPr>
                      <w:rFonts w:hint="default" w:ascii="Times New Roman" w:hAnsi="Times New Roman" w:cs="Times New Roman"/>
                      <w:sz w:val="21"/>
                      <w:szCs w:val="21"/>
                      <w:u w:val="none" w:color="auto"/>
                      <w:vertAlign w:val="subscript"/>
                    </w:rPr>
                    <w:t>2</w:t>
                  </w:r>
                </w:p>
              </w:tc>
              <w:tc>
                <w:tcPr>
                  <w:tcW w:w="216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24.08</w:t>
                  </w:r>
                </w:p>
              </w:tc>
              <w:tc>
                <w:tcPr>
                  <w:tcW w:w="178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0.072</w:t>
                  </w:r>
                </w:p>
              </w:tc>
              <w:tc>
                <w:tcPr>
                  <w:tcW w:w="163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130.05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325" w:type="pct"/>
                  <w:vMerge w:val="continue"/>
                  <w:tcBorders>
                    <w:tl2br w:val="nil"/>
                    <w:tr2bl w:val="nil"/>
                  </w:tcBorders>
                  <w:vAlign w:val="center"/>
                </w:tcPr>
                <w:p>
                  <w:pPr>
                    <w:pStyle w:val="39"/>
                    <w:rPr>
                      <w:rFonts w:hint="default" w:ascii="Times New Roman" w:hAnsi="Times New Roman" w:eastAsia="宋体" w:cs="Times New Roman"/>
                      <w:u w:val="none" w:color="auto"/>
                    </w:rPr>
                  </w:pPr>
                </w:p>
              </w:tc>
              <w:tc>
                <w:tcPr>
                  <w:tcW w:w="778" w:type="pct"/>
                  <w:vMerge w:val="continue"/>
                  <w:tcBorders>
                    <w:tl2br w:val="nil"/>
                    <w:tr2bl w:val="nil"/>
                  </w:tcBorders>
                  <w:vAlign w:val="center"/>
                </w:tcPr>
                <w:p>
                  <w:pPr>
                    <w:pStyle w:val="39"/>
                    <w:rPr>
                      <w:rFonts w:hint="default" w:ascii="Times New Roman" w:hAnsi="Times New Roman" w:eastAsia="宋体" w:cs="Times New Roman"/>
                      <w:u w:val="none" w:color="auto"/>
                      <w:lang w:val="en-US" w:eastAsia="zh-CN"/>
                    </w:rPr>
                  </w:pPr>
                </w:p>
              </w:tc>
              <w:tc>
                <w:tcPr>
                  <w:tcW w:w="9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颗粒物</w:t>
                  </w:r>
                </w:p>
              </w:tc>
              <w:tc>
                <w:tcPr>
                  <w:tcW w:w="216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3.61</w:t>
                  </w:r>
                </w:p>
              </w:tc>
              <w:tc>
                <w:tcPr>
                  <w:tcW w:w="178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0.0108</w:t>
                  </w:r>
                </w:p>
              </w:tc>
              <w:tc>
                <w:tcPr>
                  <w:tcW w:w="163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325" w:type="pct"/>
                  <w:vMerge w:val="continue"/>
                  <w:tcBorders>
                    <w:tl2br w:val="nil"/>
                    <w:tr2bl w:val="nil"/>
                  </w:tcBorders>
                  <w:vAlign w:val="center"/>
                </w:tcPr>
                <w:p>
                  <w:pPr>
                    <w:pStyle w:val="39"/>
                    <w:rPr>
                      <w:rFonts w:hint="default" w:ascii="Times New Roman" w:hAnsi="Times New Roman" w:eastAsia="宋体" w:cs="Times New Roman"/>
                      <w:u w:val="none" w:color="auto"/>
                      <w:lang w:val="en-US" w:eastAsia="zh-CN"/>
                    </w:rPr>
                  </w:pPr>
                </w:p>
              </w:tc>
              <w:tc>
                <w:tcPr>
                  <w:tcW w:w="778" w:type="pct"/>
                  <w:vMerge w:val="continue"/>
                  <w:tcBorders>
                    <w:tl2br w:val="nil"/>
                    <w:tr2bl w:val="nil"/>
                  </w:tcBorders>
                  <w:vAlign w:val="center"/>
                </w:tcPr>
                <w:p>
                  <w:pPr>
                    <w:pStyle w:val="39"/>
                    <w:rPr>
                      <w:rFonts w:hint="default" w:ascii="Times New Roman" w:hAnsi="Times New Roman" w:eastAsia="宋体" w:cs="Times New Roman"/>
                      <w:u w:val="none" w:color="auto"/>
                      <w:lang w:val="en-US" w:eastAsia="zh-CN"/>
                    </w:rPr>
                  </w:pPr>
                </w:p>
              </w:tc>
              <w:tc>
                <w:tcPr>
                  <w:tcW w:w="926"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rPr>
                    <w:t>NOx</w:t>
                  </w:r>
                </w:p>
              </w:tc>
              <w:tc>
                <w:tcPr>
                  <w:tcW w:w="216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39.67</w:t>
                  </w:r>
                </w:p>
              </w:tc>
              <w:tc>
                <w:tcPr>
                  <w:tcW w:w="178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0.119</w:t>
                  </w:r>
                </w:p>
              </w:tc>
              <w:tc>
                <w:tcPr>
                  <w:tcW w:w="163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lang w:val="en-US" w:eastAsia="zh-CN"/>
                    </w:rPr>
                  </w:pPr>
                  <w:r>
                    <w:rPr>
                      <w:rFonts w:hint="default" w:ascii="Times New Roman" w:hAnsi="Times New Roman" w:cs="Times New Roman"/>
                      <w:sz w:val="21"/>
                      <w:szCs w:val="21"/>
                      <w:u w:val="none" w:color="auto"/>
                      <w:lang w:val="en-US" w:eastAsia="zh-CN"/>
                    </w:rPr>
                    <w:t>214.2</w:t>
                  </w:r>
                </w:p>
              </w:tc>
            </w:tr>
          </w:tbl>
          <w:p>
            <w:pPr>
              <w:pStyle w:val="25"/>
              <w:bidi w:val="0"/>
              <w:rPr>
                <w:rFonts w:hint="default" w:ascii="Times New Roman" w:hAnsi="Times New Roman" w:eastAsia="宋体" w:cs="Times New Roman"/>
                <w:b/>
                <w:bCs w:val="0"/>
                <w:color w:val="auto"/>
                <w:spacing w:val="-11"/>
                <w:kern w:val="0"/>
                <w:sz w:val="21"/>
                <w:szCs w:val="21"/>
                <w:u w:val="none" w:color="auto"/>
                <w:lang w:val="en-US" w:eastAsia="zh-CN" w:bidi="zh-CN"/>
              </w:rPr>
            </w:pPr>
            <w:bookmarkStart w:id="137" w:name="_Toc14328"/>
            <w:r>
              <w:rPr>
                <w:rFonts w:hint="default" w:ascii="Times New Roman" w:hAnsi="Times New Roman" w:eastAsia="宋体" w:cs="Times New Roman"/>
                <w:b/>
                <w:bCs w:val="0"/>
                <w:color w:val="auto"/>
                <w:spacing w:val="-11"/>
                <w:kern w:val="0"/>
                <w:sz w:val="21"/>
                <w:szCs w:val="21"/>
                <w:u w:val="none" w:color="auto"/>
                <w:lang w:val="zh-CN" w:eastAsia="zh-CN" w:bidi="zh-CN"/>
              </w:rPr>
              <w:t>表</w:t>
            </w:r>
            <w:r>
              <w:rPr>
                <w:rFonts w:hint="default" w:ascii="Times New Roman" w:hAnsi="Times New Roman" w:eastAsia="宋体" w:cs="Times New Roman"/>
                <w:b/>
                <w:bCs w:val="0"/>
                <w:color w:val="auto"/>
                <w:spacing w:val="-11"/>
                <w:kern w:val="0"/>
                <w:sz w:val="21"/>
                <w:szCs w:val="21"/>
                <w:u w:val="none" w:color="auto"/>
                <w:lang w:val="en-US" w:eastAsia="zh-CN" w:bidi="zh-CN"/>
              </w:rPr>
              <w:t>4.2-</w:t>
            </w:r>
            <w:r>
              <w:rPr>
                <w:rFonts w:hint="eastAsia" w:cs="Times New Roman"/>
                <w:b/>
                <w:bCs w:val="0"/>
                <w:color w:val="auto"/>
                <w:spacing w:val="-11"/>
                <w:kern w:val="0"/>
                <w:sz w:val="21"/>
                <w:szCs w:val="21"/>
                <w:u w:val="none" w:color="auto"/>
                <w:lang w:val="en-US" w:eastAsia="zh-CN" w:bidi="zh-CN"/>
              </w:rPr>
              <w:t>15</w:t>
            </w:r>
            <w:r>
              <w:rPr>
                <w:rFonts w:hint="default" w:ascii="Times New Roman" w:hAnsi="Times New Roman" w:eastAsia="宋体" w:cs="Times New Roman"/>
                <w:b/>
                <w:bCs w:val="0"/>
                <w:color w:val="auto"/>
                <w:spacing w:val="-11"/>
                <w:kern w:val="0"/>
                <w:sz w:val="21"/>
                <w:szCs w:val="21"/>
                <w:u w:val="none" w:color="auto"/>
                <w:lang w:val="en-US" w:eastAsia="zh-CN" w:bidi="zh-CN"/>
              </w:rPr>
              <w:t>排放口基本情况</w:t>
            </w:r>
            <w:bookmarkEnd w:id="137"/>
          </w:p>
          <w:tbl>
            <w:tblPr>
              <w:tblStyle w:val="29"/>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103"/>
              <w:gridCol w:w="1539"/>
              <w:gridCol w:w="1525"/>
              <w:gridCol w:w="1043"/>
              <w:gridCol w:w="11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Merge w:val="restart"/>
                  <w:tcBorders>
                    <w:tl2br w:val="nil"/>
                    <w:tr2bl w:val="nil"/>
                  </w:tcBorders>
                  <w:vAlign w:val="center"/>
                </w:tcPr>
                <w:p>
                  <w:pPr>
                    <w:pStyle w:val="39"/>
                    <w:bidi w:val="0"/>
                    <w:jc w:val="center"/>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lang w:eastAsia="zh-CN"/>
                    </w:rPr>
                    <w:t>排放口编号</w:t>
                  </w:r>
                </w:p>
              </w:tc>
              <w:tc>
                <w:tcPr>
                  <w:tcW w:w="1103" w:type="dxa"/>
                  <w:vMerge w:val="restart"/>
                  <w:tcBorders>
                    <w:tl2br w:val="nil"/>
                    <w:tr2bl w:val="nil"/>
                  </w:tcBorders>
                  <w:vAlign w:val="center"/>
                </w:tcPr>
                <w:p>
                  <w:pPr>
                    <w:pStyle w:val="39"/>
                    <w:bidi w:val="0"/>
                    <w:jc w:val="center"/>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lang w:eastAsia="zh-CN"/>
                    </w:rPr>
                    <w:t>污染物种类</w:t>
                  </w:r>
                </w:p>
              </w:tc>
              <w:tc>
                <w:tcPr>
                  <w:tcW w:w="3064" w:type="dxa"/>
                  <w:gridSpan w:val="2"/>
                  <w:tcBorders>
                    <w:tl2br w:val="nil"/>
                    <w:tr2bl w:val="nil"/>
                  </w:tcBorders>
                  <w:vAlign w:val="center"/>
                </w:tcPr>
                <w:p>
                  <w:pPr>
                    <w:pStyle w:val="39"/>
                    <w:bidi w:val="0"/>
                    <w:jc w:val="center"/>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lang w:eastAsia="zh-CN"/>
                    </w:rPr>
                    <w:t>排放口地理坐标</w:t>
                  </w:r>
                </w:p>
              </w:tc>
              <w:tc>
                <w:tcPr>
                  <w:tcW w:w="1043" w:type="dxa"/>
                  <w:vMerge w:val="restart"/>
                  <w:tcBorders>
                    <w:tl2br w:val="nil"/>
                    <w:tr2bl w:val="nil"/>
                  </w:tcBorders>
                  <w:vAlign w:val="center"/>
                </w:tcPr>
                <w:p>
                  <w:pPr>
                    <w:pStyle w:val="39"/>
                    <w:bidi w:val="0"/>
                    <w:jc w:val="center"/>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lang w:eastAsia="zh-CN"/>
                    </w:rPr>
                    <w:t>排气筒高度（</w:t>
                  </w:r>
                  <w:r>
                    <w:rPr>
                      <w:rFonts w:hint="default" w:ascii="Times New Roman" w:hAnsi="Times New Roman" w:eastAsia="宋体" w:cs="Times New Roman"/>
                      <w:b/>
                      <w:bCs/>
                      <w:u w:val="none" w:color="auto"/>
                      <w:lang w:val="en-US" w:eastAsia="zh-CN"/>
                    </w:rPr>
                    <w:t>m</w:t>
                  </w:r>
                  <w:r>
                    <w:rPr>
                      <w:rFonts w:hint="default" w:ascii="Times New Roman" w:hAnsi="Times New Roman" w:eastAsia="宋体" w:cs="Times New Roman"/>
                      <w:b/>
                      <w:bCs/>
                      <w:u w:val="none" w:color="auto"/>
                      <w:lang w:eastAsia="zh-CN"/>
                    </w:rPr>
                    <w:t>）</w:t>
                  </w:r>
                </w:p>
              </w:tc>
              <w:tc>
                <w:tcPr>
                  <w:tcW w:w="1175" w:type="dxa"/>
                  <w:vMerge w:val="restart"/>
                  <w:tcBorders>
                    <w:tl2br w:val="nil"/>
                    <w:tr2bl w:val="nil"/>
                  </w:tcBorders>
                  <w:vAlign w:val="center"/>
                </w:tcPr>
                <w:p>
                  <w:pPr>
                    <w:pStyle w:val="39"/>
                    <w:bidi w:val="0"/>
                    <w:jc w:val="center"/>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lang w:eastAsia="zh-CN"/>
                    </w:rPr>
                    <w:t>排气筒出口内径（</w:t>
                  </w:r>
                  <w:r>
                    <w:rPr>
                      <w:rFonts w:hint="default" w:ascii="Times New Roman" w:hAnsi="Times New Roman" w:eastAsia="宋体" w:cs="Times New Roman"/>
                      <w:b/>
                      <w:bCs/>
                      <w:u w:val="none" w:color="auto"/>
                      <w:lang w:val="en-US" w:eastAsia="zh-CN"/>
                    </w:rPr>
                    <w:t>m</w:t>
                  </w:r>
                  <w:r>
                    <w:rPr>
                      <w:rFonts w:hint="default" w:ascii="Times New Roman" w:hAnsi="Times New Roman" w:eastAsia="宋体" w:cs="Times New Roman"/>
                      <w:b/>
                      <w:bCs/>
                      <w:u w:val="none" w:color="auto"/>
                      <w:lang w:eastAsia="zh-CN"/>
                    </w:rPr>
                    <w:t>）</w:t>
                  </w:r>
                </w:p>
              </w:tc>
              <w:tc>
                <w:tcPr>
                  <w:tcW w:w="975" w:type="dxa"/>
                  <w:vMerge w:val="restart"/>
                  <w:tcBorders>
                    <w:tl2br w:val="nil"/>
                    <w:tr2bl w:val="nil"/>
                  </w:tcBorders>
                  <w:vAlign w:val="center"/>
                </w:tcPr>
                <w:p>
                  <w:pPr>
                    <w:pStyle w:val="39"/>
                    <w:bidi w:val="0"/>
                    <w:jc w:val="center"/>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lang w:eastAsia="zh-CN"/>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77" w:type="dxa"/>
                  <w:vMerge w:val="continue"/>
                  <w:tcBorders>
                    <w:tl2br w:val="nil"/>
                    <w:tr2bl w:val="nil"/>
                  </w:tcBorders>
                  <w:vAlign w:val="center"/>
                </w:tcPr>
                <w:p>
                  <w:pPr>
                    <w:pStyle w:val="39"/>
                    <w:bidi w:val="0"/>
                    <w:jc w:val="center"/>
                    <w:rPr>
                      <w:rFonts w:hint="default" w:ascii="Times New Roman" w:hAnsi="Times New Roman" w:eastAsia="宋体" w:cs="Times New Roman"/>
                      <w:u w:val="none" w:color="auto"/>
                      <w:lang w:eastAsia="zh-CN"/>
                    </w:rPr>
                  </w:pPr>
                </w:p>
              </w:tc>
              <w:tc>
                <w:tcPr>
                  <w:tcW w:w="1103" w:type="dxa"/>
                  <w:vMerge w:val="continue"/>
                  <w:tcBorders>
                    <w:tl2br w:val="nil"/>
                    <w:tr2bl w:val="nil"/>
                  </w:tcBorders>
                  <w:vAlign w:val="center"/>
                </w:tcPr>
                <w:p>
                  <w:pPr>
                    <w:pStyle w:val="39"/>
                    <w:bidi w:val="0"/>
                    <w:jc w:val="center"/>
                    <w:rPr>
                      <w:rFonts w:hint="default" w:ascii="Times New Roman" w:hAnsi="Times New Roman" w:eastAsia="宋体" w:cs="Times New Roman"/>
                      <w:u w:val="none" w:color="auto"/>
                      <w:lang w:eastAsia="zh-CN"/>
                    </w:rPr>
                  </w:pPr>
                </w:p>
              </w:tc>
              <w:tc>
                <w:tcPr>
                  <w:tcW w:w="1539" w:type="dxa"/>
                  <w:tcBorders>
                    <w:tl2br w:val="nil"/>
                    <w:tr2bl w:val="nil"/>
                  </w:tcBorders>
                  <w:vAlign w:val="center"/>
                </w:tcPr>
                <w:p>
                  <w:pPr>
                    <w:pStyle w:val="39"/>
                    <w:bidi w:val="0"/>
                    <w:jc w:val="center"/>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lang w:eastAsia="zh-CN"/>
                    </w:rPr>
                    <w:t>经度</w:t>
                  </w:r>
                </w:p>
              </w:tc>
              <w:tc>
                <w:tcPr>
                  <w:tcW w:w="1525" w:type="dxa"/>
                  <w:tcBorders>
                    <w:tl2br w:val="nil"/>
                    <w:tr2bl w:val="nil"/>
                  </w:tcBorders>
                  <w:vAlign w:val="center"/>
                </w:tcPr>
                <w:p>
                  <w:pPr>
                    <w:pStyle w:val="39"/>
                    <w:bidi w:val="0"/>
                    <w:jc w:val="center"/>
                    <w:rPr>
                      <w:rFonts w:hint="default" w:ascii="Times New Roman" w:hAnsi="Times New Roman" w:eastAsia="宋体" w:cs="Times New Roman"/>
                      <w:b/>
                      <w:bCs/>
                      <w:u w:val="none" w:color="auto"/>
                      <w:lang w:eastAsia="zh-CN"/>
                    </w:rPr>
                  </w:pPr>
                  <w:r>
                    <w:rPr>
                      <w:rFonts w:hint="default" w:ascii="Times New Roman" w:hAnsi="Times New Roman" w:eastAsia="宋体" w:cs="Times New Roman"/>
                      <w:b/>
                      <w:bCs/>
                      <w:u w:val="none" w:color="auto"/>
                      <w:lang w:eastAsia="zh-CN"/>
                    </w:rPr>
                    <w:t>纬度</w:t>
                  </w:r>
                </w:p>
              </w:tc>
              <w:tc>
                <w:tcPr>
                  <w:tcW w:w="1043" w:type="dxa"/>
                  <w:vMerge w:val="continue"/>
                  <w:tcBorders>
                    <w:tl2br w:val="nil"/>
                    <w:tr2bl w:val="nil"/>
                  </w:tcBorders>
                  <w:vAlign w:val="center"/>
                </w:tcPr>
                <w:p>
                  <w:pPr>
                    <w:pStyle w:val="39"/>
                    <w:bidi w:val="0"/>
                    <w:jc w:val="center"/>
                    <w:rPr>
                      <w:rFonts w:hint="default" w:ascii="Times New Roman" w:hAnsi="Times New Roman" w:eastAsia="宋体" w:cs="Times New Roman"/>
                      <w:u w:val="none" w:color="auto"/>
                    </w:rPr>
                  </w:pPr>
                </w:p>
              </w:tc>
              <w:tc>
                <w:tcPr>
                  <w:tcW w:w="1175" w:type="dxa"/>
                  <w:vMerge w:val="continue"/>
                  <w:tcBorders>
                    <w:tl2br w:val="nil"/>
                    <w:tr2bl w:val="nil"/>
                  </w:tcBorders>
                  <w:vAlign w:val="center"/>
                </w:tcPr>
                <w:p>
                  <w:pPr>
                    <w:pStyle w:val="39"/>
                    <w:bidi w:val="0"/>
                    <w:jc w:val="center"/>
                    <w:rPr>
                      <w:rFonts w:hint="default" w:ascii="Times New Roman" w:hAnsi="Times New Roman" w:eastAsia="宋体" w:cs="Times New Roman"/>
                      <w:u w:val="none" w:color="auto"/>
                    </w:rPr>
                  </w:pPr>
                </w:p>
              </w:tc>
              <w:tc>
                <w:tcPr>
                  <w:tcW w:w="975" w:type="dxa"/>
                  <w:vMerge w:val="continue"/>
                  <w:tcBorders>
                    <w:tl2br w:val="nil"/>
                    <w:tr2bl w:val="nil"/>
                  </w:tcBorders>
                  <w:vAlign w:val="center"/>
                </w:tcPr>
                <w:p>
                  <w:pPr>
                    <w:pStyle w:val="39"/>
                    <w:bidi w:val="0"/>
                    <w:jc w:val="center"/>
                    <w:rPr>
                      <w:rFonts w:hint="default" w:ascii="Times New Roman" w:hAnsi="Times New Roman" w:eastAsia="宋体" w:cs="Times New Roman"/>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77" w:type="dxa"/>
                  <w:tcBorders>
                    <w:tl2br w:val="nil"/>
                    <w:tr2bl w:val="nil"/>
                  </w:tcBorders>
                  <w:vAlign w:val="center"/>
                </w:tcPr>
                <w:p>
                  <w:pPr>
                    <w:pStyle w:val="39"/>
                    <w:bidi w:val="0"/>
                    <w:jc w:val="center"/>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DA001</w:t>
                  </w:r>
                </w:p>
              </w:tc>
              <w:tc>
                <w:tcPr>
                  <w:tcW w:w="1103" w:type="dxa"/>
                  <w:tcBorders>
                    <w:tl2br w:val="nil"/>
                    <w:tr2bl w:val="nil"/>
                  </w:tcBorders>
                  <w:vAlign w:val="center"/>
                </w:tcPr>
                <w:p>
                  <w:pPr>
                    <w:pStyle w:val="39"/>
                    <w:bidi w:val="0"/>
                    <w:jc w:val="center"/>
                    <w:rPr>
                      <w:rFonts w:hint="default" w:ascii="Times New Roman" w:hAnsi="Times New Roman" w:eastAsia="宋体" w:cs="Times New Roman"/>
                      <w:u w:val="none" w:color="auto"/>
                      <w:vertAlign w:val="baseline"/>
                      <w:lang w:val="en-US" w:eastAsia="zh-CN"/>
                    </w:rPr>
                  </w:pPr>
                  <w:r>
                    <w:rPr>
                      <w:rFonts w:hint="default" w:ascii="Times New Roman" w:hAnsi="Times New Roman" w:cs="Times New Roman"/>
                      <w:sz w:val="21"/>
                      <w:szCs w:val="21"/>
                      <w:u w:val="none" w:color="auto"/>
                    </w:rPr>
                    <w:t>SO</w:t>
                  </w:r>
                  <w:r>
                    <w:rPr>
                      <w:rFonts w:hint="default" w:ascii="Times New Roman" w:hAnsi="Times New Roman" w:cs="Times New Roman"/>
                      <w:sz w:val="21"/>
                      <w:szCs w:val="21"/>
                      <w:u w:val="none" w:color="auto"/>
                      <w:vertAlign w:val="subscript"/>
                    </w:rPr>
                    <w:t>2</w:t>
                  </w:r>
                  <w:r>
                    <w:rPr>
                      <w:rFonts w:hint="default" w:ascii="Times New Roman" w:hAnsi="Times New Roman" w:cs="Times New Roman"/>
                      <w:sz w:val="21"/>
                      <w:szCs w:val="21"/>
                      <w:u w:val="none" w:color="auto"/>
                      <w:vertAlign w:val="baseline"/>
                      <w:lang w:eastAsia="zh-CN"/>
                    </w:rPr>
                    <w:t>、</w:t>
                  </w:r>
                  <w:r>
                    <w:rPr>
                      <w:rFonts w:hint="default" w:ascii="Times New Roman" w:hAnsi="Times New Roman" w:cs="Times New Roman"/>
                      <w:sz w:val="21"/>
                      <w:szCs w:val="21"/>
                      <w:u w:val="none" w:color="auto"/>
                      <w:vertAlign w:val="baseline"/>
                      <w:lang w:val="en-US" w:eastAsia="zh-CN"/>
                    </w:rPr>
                    <w:t>颗粒物、</w:t>
                  </w:r>
                  <w:r>
                    <w:rPr>
                      <w:rFonts w:hint="default" w:ascii="Times New Roman" w:hAnsi="Times New Roman" w:cs="Times New Roman"/>
                      <w:sz w:val="21"/>
                      <w:szCs w:val="21"/>
                      <w:u w:val="none" w:color="auto"/>
                    </w:rPr>
                    <w:t>NOx</w:t>
                  </w:r>
                </w:p>
              </w:tc>
              <w:tc>
                <w:tcPr>
                  <w:tcW w:w="1539" w:type="dxa"/>
                  <w:tcBorders>
                    <w:tl2br w:val="nil"/>
                    <w:tr2bl w:val="nil"/>
                  </w:tcBorders>
                  <w:vAlign w:val="center"/>
                </w:tcPr>
                <w:p>
                  <w:pPr>
                    <w:pStyle w:val="39"/>
                    <w:bidi w:val="0"/>
                    <w:jc w:val="center"/>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110°11′1.1661″</w:t>
                  </w:r>
                </w:p>
              </w:tc>
              <w:tc>
                <w:tcPr>
                  <w:tcW w:w="1525" w:type="dxa"/>
                  <w:tcBorders>
                    <w:tl2br w:val="nil"/>
                    <w:tr2bl w:val="nil"/>
                  </w:tcBorders>
                  <w:vAlign w:val="center"/>
                </w:tcPr>
                <w:p>
                  <w:pPr>
                    <w:pStyle w:val="39"/>
                    <w:bidi w:val="0"/>
                    <w:jc w:val="center"/>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28°11′30.4</w:t>
                  </w:r>
                  <w:r>
                    <w:rPr>
                      <w:rFonts w:hint="default" w:ascii="Times New Roman" w:hAnsi="Times New Roman" w:cs="Times New Roman"/>
                      <w:u w:val="none" w:color="auto"/>
                      <w:lang w:val="en-US" w:eastAsia="zh-CN"/>
                    </w:rPr>
                    <w:t>10</w:t>
                  </w:r>
                  <w:r>
                    <w:rPr>
                      <w:rFonts w:hint="default" w:ascii="Times New Roman" w:hAnsi="Times New Roman" w:eastAsia="宋体" w:cs="Times New Roman"/>
                      <w:u w:val="none" w:color="auto"/>
                      <w:lang w:val="en-US" w:eastAsia="zh-CN"/>
                    </w:rPr>
                    <w:t>″</w:t>
                  </w:r>
                </w:p>
              </w:tc>
              <w:tc>
                <w:tcPr>
                  <w:tcW w:w="1043" w:type="dxa"/>
                  <w:tcBorders>
                    <w:tl2br w:val="nil"/>
                    <w:tr2bl w:val="nil"/>
                  </w:tcBorders>
                  <w:vAlign w:val="center"/>
                </w:tcPr>
                <w:p>
                  <w:pPr>
                    <w:pStyle w:val="39"/>
                    <w:bidi w:val="0"/>
                    <w:jc w:val="center"/>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20</w:t>
                  </w:r>
                </w:p>
              </w:tc>
              <w:tc>
                <w:tcPr>
                  <w:tcW w:w="1175" w:type="dxa"/>
                  <w:tcBorders>
                    <w:tl2br w:val="nil"/>
                    <w:tr2bl w:val="nil"/>
                  </w:tcBorders>
                  <w:vAlign w:val="center"/>
                </w:tcPr>
                <w:p>
                  <w:pPr>
                    <w:pStyle w:val="39"/>
                    <w:bidi w:val="0"/>
                    <w:jc w:val="center"/>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0.2</w:t>
                  </w:r>
                </w:p>
              </w:tc>
              <w:tc>
                <w:tcPr>
                  <w:tcW w:w="975" w:type="dxa"/>
                  <w:tcBorders>
                    <w:tl2br w:val="nil"/>
                    <w:tr2bl w:val="nil"/>
                  </w:tcBorders>
                  <w:vAlign w:val="center"/>
                </w:tcPr>
                <w:p>
                  <w:pPr>
                    <w:pStyle w:val="39"/>
                    <w:bidi w:val="0"/>
                    <w:jc w:val="center"/>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25</w:t>
                  </w:r>
                </w:p>
              </w:tc>
            </w:tr>
          </w:tbl>
          <w:p>
            <w:pPr>
              <w:keepNext w:val="0"/>
              <w:keepLines w:val="0"/>
              <w:pageBreakBefore w:val="0"/>
              <w:widowControl w:val="0"/>
              <w:kinsoku/>
              <w:wordWrap w:val="0"/>
              <w:overflowPunct/>
              <w:topLinePunct w:val="0"/>
              <w:autoSpaceDE w:val="0"/>
              <w:autoSpaceDN w:val="0"/>
              <w:bidi w:val="0"/>
              <w:adjustRightInd/>
              <w:snapToGrid/>
              <w:spacing w:before="0" w:beforeLines="100"/>
              <w:textAlignment w:val="auto"/>
              <w:rPr>
                <w:rFonts w:hint="default" w:ascii="Times New Roman" w:hAnsi="Times New Roman" w:cs="Times New Roman"/>
                <w:u w:val="none" w:color="auto"/>
              </w:rPr>
            </w:pPr>
            <w:r>
              <w:rPr>
                <w:rFonts w:hint="default" w:ascii="Times New Roman" w:hAnsi="Times New Roman" w:cs="Times New Roman"/>
                <w:u w:val="none" w:color="auto"/>
              </w:rPr>
              <w:t>（2）无组织排放量核算</w:t>
            </w:r>
          </w:p>
          <w:p>
            <w:pPr>
              <w:pStyle w:val="43"/>
              <w:bidi w:val="0"/>
              <w:rPr>
                <w:rFonts w:hint="default"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eastAsia="zh-CN"/>
              </w:rPr>
              <w:t>4.2-</w:t>
            </w:r>
            <w:r>
              <w:rPr>
                <w:rFonts w:hint="eastAsia" w:cs="Times New Roman"/>
                <w:u w:val="none" w:color="auto"/>
                <w:lang w:val="en-US" w:eastAsia="zh-CN"/>
              </w:rPr>
              <w:t>16</w:t>
            </w:r>
            <w:r>
              <w:rPr>
                <w:rFonts w:hint="default" w:ascii="Times New Roman" w:hAnsi="Times New Roman" w:cs="Times New Roman"/>
                <w:u w:val="none" w:color="auto"/>
              </w:rPr>
              <w:t>大气污染物无组织排放量核算表</w:t>
            </w:r>
          </w:p>
          <w:tbl>
            <w:tblPr>
              <w:tblStyle w:val="28"/>
              <w:tblW w:w="8275"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797"/>
              <w:gridCol w:w="908"/>
              <w:gridCol w:w="956"/>
              <w:gridCol w:w="922"/>
              <w:gridCol w:w="1952"/>
              <w:gridCol w:w="1389"/>
              <w:gridCol w:w="924"/>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2" w:hRule="atLeast"/>
                <w:jc w:val="center"/>
              </w:trPr>
              <w:tc>
                <w:tcPr>
                  <w:tcW w:w="427" w:type="dxa"/>
                  <w:vMerge w:val="restart"/>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序号</w:t>
                  </w:r>
                </w:p>
              </w:tc>
              <w:tc>
                <w:tcPr>
                  <w:tcW w:w="797" w:type="dxa"/>
                  <w:vMerge w:val="restart"/>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排放口编号</w:t>
                  </w:r>
                </w:p>
              </w:tc>
              <w:tc>
                <w:tcPr>
                  <w:tcW w:w="908" w:type="dxa"/>
                  <w:vMerge w:val="restart"/>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产污环节</w:t>
                  </w:r>
                </w:p>
              </w:tc>
              <w:tc>
                <w:tcPr>
                  <w:tcW w:w="956" w:type="dxa"/>
                  <w:vMerge w:val="restart"/>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污染物</w:t>
                  </w:r>
                </w:p>
              </w:tc>
              <w:tc>
                <w:tcPr>
                  <w:tcW w:w="922" w:type="dxa"/>
                  <w:vMerge w:val="restart"/>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主要污染防治措施</w:t>
                  </w:r>
                </w:p>
              </w:tc>
              <w:tc>
                <w:tcPr>
                  <w:tcW w:w="3341" w:type="dxa"/>
                  <w:gridSpan w:val="2"/>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国家或地方污染物排放标准</w:t>
                  </w:r>
                </w:p>
              </w:tc>
              <w:tc>
                <w:tcPr>
                  <w:tcW w:w="924" w:type="dxa"/>
                  <w:vMerge w:val="restart"/>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年排放量（</w:t>
                  </w:r>
                  <w:r>
                    <w:rPr>
                      <w:rFonts w:hint="default" w:ascii="Times New Roman" w:hAnsi="Times New Roman" w:eastAsia="宋体" w:cs="Times New Roman"/>
                      <w:b/>
                      <w:bCs/>
                      <w:sz w:val="21"/>
                      <w:szCs w:val="21"/>
                      <w:u w:val="none" w:color="auto"/>
                      <w:lang w:val="en-US" w:eastAsia="zh-CN"/>
                    </w:rPr>
                    <w:t>kg</w:t>
                  </w:r>
                  <w:r>
                    <w:rPr>
                      <w:rFonts w:hint="default" w:ascii="Times New Roman" w:hAnsi="Times New Roman" w:eastAsia="宋体" w:cs="Times New Roman"/>
                      <w:b/>
                      <w:bCs/>
                      <w:sz w:val="21"/>
                      <w:szCs w:val="21"/>
                      <w:u w:val="none" w:color="auto"/>
                      <w:lang w:val="en-US"/>
                    </w:rPr>
                    <w:t>/a）</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42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79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908"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956"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922"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1952" w:type="dxa"/>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标准名称</w:t>
                  </w:r>
                </w:p>
              </w:tc>
              <w:tc>
                <w:tcPr>
                  <w:tcW w:w="1389" w:type="dxa"/>
                  <w:tcBorders>
                    <w:tl2br w:val="nil"/>
                    <w:tr2bl w:val="nil"/>
                  </w:tcBorders>
                  <w:vAlign w:val="center"/>
                </w:tcPr>
                <w:p>
                  <w:pPr>
                    <w:pStyle w:val="39"/>
                    <w:rPr>
                      <w:rFonts w:hint="default" w:ascii="Times New Roman" w:hAnsi="Times New Roman" w:eastAsia="宋体" w:cs="Times New Roman"/>
                      <w:b/>
                      <w:bCs/>
                      <w:sz w:val="21"/>
                      <w:szCs w:val="21"/>
                      <w:u w:val="none" w:color="auto"/>
                      <w:lang w:val="en-US"/>
                    </w:rPr>
                  </w:pPr>
                  <w:r>
                    <w:rPr>
                      <w:rFonts w:hint="default" w:ascii="Times New Roman" w:hAnsi="Times New Roman" w:eastAsia="宋体" w:cs="Times New Roman"/>
                      <w:b/>
                      <w:bCs/>
                      <w:sz w:val="21"/>
                      <w:szCs w:val="21"/>
                      <w:u w:val="none" w:color="auto"/>
                      <w:lang w:val="en-US"/>
                    </w:rPr>
                    <w:t>浓度限值/（μg/m</w:t>
                  </w:r>
                  <w:r>
                    <w:rPr>
                      <w:rFonts w:hint="default" w:ascii="Times New Roman" w:hAnsi="Times New Roman" w:eastAsia="宋体" w:cs="Times New Roman"/>
                      <w:b/>
                      <w:bCs/>
                      <w:sz w:val="21"/>
                      <w:szCs w:val="21"/>
                      <w:u w:val="none" w:color="auto"/>
                      <w:vertAlign w:val="superscript"/>
                      <w:lang w:val="en-US"/>
                    </w:rPr>
                    <w:t>3</w:t>
                  </w:r>
                  <w:r>
                    <w:rPr>
                      <w:rFonts w:hint="default" w:ascii="Times New Roman" w:hAnsi="Times New Roman" w:eastAsia="宋体" w:cs="Times New Roman"/>
                      <w:b/>
                      <w:bCs/>
                      <w:sz w:val="21"/>
                      <w:szCs w:val="21"/>
                      <w:u w:val="none" w:color="auto"/>
                      <w:lang w:val="en-US"/>
                    </w:rPr>
                    <w:t>）</w:t>
                  </w:r>
                </w:p>
              </w:tc>
              <w:tc>
                <w:tcPr>
                  <w:tcW w:w="924"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058" w:hRule="atLeast"/>
                <w:jc w:val="center"/>
              </w:trPr>
              <w:tc>
                <w:tcPr>
                  <w:tcW w:w="427"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r>
                    <w:rPr>
                      <w:rFonts w:hint="default" w:ascii="Times New Roman" w:hAnsi="Times New Roman" w:eastAsia="宋体" w:cs="Times New Roman"/>
                      <w:b w:val="0"/>
                      <w:bCs w:val="0"/>
                      <w:sz w:val="21"/>
                      <w:szCs w:val="21"/>
                      <w:u w:val="none" w:color="auto"/>
                      <w:lang w:val="en-US"/>
                    </w:rPr>
                    <w:t>1</w:t>
                  </w:r>
                </w:p>
              </w:tc>
              <w:tc>
                <w:tcPr>
                  <w:tcW w:w="797"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w:t>
                  </w:r>
                </w:p>
              </w:tc>
              <w:tc>
                <w:tcPr>
                  <w:tcW w:w="908"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eastAsia" w:cs="Times New Roman"/>
                      <w:color w:val="auto"/>
                      <w:u w:val="none" w:color="auto"/>
                      <w:lang w:val="en-US" w:eastAsia="zh-CN"/>
                    </w:rPr>
                    <w:t>原料</w:t>
                  </w:r>
                  <w:r>
                    <w:rPr>
                      <w:rFonts w:hint="default" w:ascii="Times New Roman" w:hAnsi="Times New Roman" w:cs="Times New Roman"/>
                      <w:color w:val="auto"/>
                      <w:u w:val="none" w:color="auto"/>
                      <w:lang w:val="en-US"/>
                    </w:rPr>
                    <w:t>投料过程</w:t>
                  </w:r>
                </w:p>
              </w:tc>
              <w:tc>
                <w:tcPr>
                  <w:tcW w:w="956"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r>
                    <w:rPr>
                      <w:rFonts w:hint="default" w:ascii="Times New Roman" w:hAnsi="Times New Roman" w:cs="Times New Roman"/>
                      <w:color w:val="auto"/>
                      <w:u w:val="none" w:color="auto"/>
                      <w:lang w:val="en-US"/>
                    </w:rPr>
                    <w:t>颗粒物</w:t>
                  </w:r>
                </w:p>
              </w:tc>
              <w:tc>
                <w:tcPr>
                  <w:tcW w:w="922" w:type="dxa"/>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u w:val="none" w:color="auto"/>
                      <w:lang w:val="en-US"/>
                    </w:rPr>
                  </w:pPr>
                  <w:r>
                    <w:rPr>
                      <w:rFonts w:hint="default" w:ascii="Times New Roman" w:hAnsi="Times New Roman" w:eastAsia="宋体" w:cs="Times New Roman"/>
                      <w:b w:val="0"/>
                      <w:bCs w:val="0"/>
                      <w:sz w:val="21"/>
                      <w:szCs w:val="21"/>
                      <w:u w:val="none" w:color="auto"/>
                      <w:lang w:val="en-US"/>
                    </w:rPr>
                    <w:t>加强密闭</w:t>
                  </w:r>
                </w:p>
              </w:tc>
              <w:tc>
                <w:tcPr>
                  <w:tcW w:w="1952"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rPr>
                    <w:t>《</w:t>
                  </w:r>
                  <w:r>
                    <w:rPr>
                      <w:rFonts w:hint="default" w:ascii="Times New Roman" w:hAnsi="Times New Roman" w:eastAsia="宋体" w:cs="Times New Roman"/>
                      <w:b w:val="0"/>
                      <w:bCs w:val="0"/>
                      <w:sz w:val="21"/>
                      <w:szCs w:val="21"/>
                      <w:u w:val="none" w:color="auto"/>
                    </w:rPr>
                    <w:t>大气污染物综合排放标准</w:t>
                  </w:r>
                  <w:r>
                    <w:rPr>
                      <w:rFonts w:hint="default" w:ascii="Times New Roman" w:hAnsi="Times New Roman" w:eastAsia="宋体" w:cs="Times New Roman"/>
                      <w:b w:val="0"/>
                      <w:bCs w:val="0"/>
                      <w:sz w:val="21"/>
                      <w:szCs w:val="21"/>
                      <w:u w:val="none" w:color="auto"/>
                      <w:lang w:val="en-US"/>
                    </w:rPr>
                    <w:t>》（GB18483-2001）中</w:t>
                  </w:r>
                  <w:r>
                    <w:rPr>
                      <w:rFonts w:hint="default" w:ascii="Times New Roman" w:hAnsi="Times New Roman" w:eastAsia="宋体" w:cs="Times New Roman"/>
                      <w:b w:val="0"/>
                      <w:bCs w:val="0"/>
                      <w:sz w:val="21"/>
                      <w:szCs w:val="21"/>
                      <w:u w:val="none" w:color="auto"/>
                      <w:lang w:val="en-US" w:eastAsia="zh-CN"/>
                    </w:rPr>
                    <w:t>无组织监控浓度限制</w:t>
                  </w:r>
                </w:p>
              </w:tc>
              <w:tc>
                <w:tcPr>
                  <w:tcW w:w="1389"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2000</w:t>
                  </w:r>
                </w:p>
              </w:tc>
              <w:tc>
                <w:tcPr>
                  <w:tcW w:w="924"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058" w:hRule="atLeast"/>
                <w:jc w:val="center"/>
              </w:trPr>
              <w:tc>
                <w:tcPr>
                  <w:tcW w:w="42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797"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w:t>
                  </w:r>
                </w:p>
              </w:tc>
              <w:tc>
                <w:tcPr>
                  <w:tcW w:w="908" w:type="dxa"/>
                  <w:tcBorders>
                    <w:tl2br w:val="nil"/>
                    <w:tr2bl w:val="nil"/>
                  </w:tcBorders>
                  <w:vAlign w:val="center"/>
                </w:tcPr>
                <w:p>
                  <w:pPr>
                    <w:pStyle w:val="39"/>
                    <w:rPr>
                      <w:rFonts w:hint="default" w:cs="Times New Roman"/>
                      <w:color w:val="auto"/>
                      <w:u w:val="none" w:color="auto"/>
                      <w:lang w:val="en-US" w:eastAsia="zh-CN"/>
                    </w:rPr>
                  </w:pPr>
                  <w:r>
                    <w:rPr>
                      <w:rFonts w:hint="eastAsia" w:cs="Times New Roman"/>
                      <w:color w:val="auto"/>
                      <w:u w:val="none" w:color="auto"/>
                      <w:lang w:val="en-US" w:eastAsia="zh-CN"/>
                    </w:rPr>
                    <w:t>生物质燃料投料过程</w:t>
                  </w:r>
                </w:p>
              </w:tc>
              <w:tc>
                <w:tcPr>
                  <w:tcW w:w="956" w:type="dxa"/>
                  <w:tcBorders>
                    <w:tl2br w:val="nil"/>
                    <w:tr2bl w:val="nil"/>
                  </w:tcBorders>
                  <w:vAlign w:val="center"/>
                </w:tcPr>
                <w:p>
                  <w:pPr>
                    <w:pStyle w:val="39"/>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颗粒物</w:t>
                  </w:r>
                </w:p>
              </w:tc>
              <w:tc>
                <w:tcPr>
                  <w:tcW w:w="922" w:type="dxa"/>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车间加强通风</w:t>
                  </w:r>
                </w:p>
              </w:tc>
              <w:tc>
                <w:tcPr>
                  <w:tcW w:w="1952"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1389" w:type="dxa"/>
                  <w:vMerge w:val="continue"/>
                  <w:tcBorders>
                    <w:tl2br w:val="nil"/>
                    <w:tr2bl w:val="nil"/>
                  </w:tcBorders>
                  <w:vAlign w:val="center"/>
                </w:tcPr>
                <w:p>
                  <w:pPr>
                    <w:pStyle w:val="39"/>
                    <w:rPr>
                      <w:rFonts w:hint="default" w:ascii="Times New Roman" w:hAnsi="Times New Roman" w:cs="Times New Roman"/>
                      <w:b w:val="0"/>
                      <w:bCs w:val="0"/>
                      <w:sz w:val="21"/>
                      <w:szCs w:val="21"/>
                      <w:u w:val="none" w:color="auto"/>
                      <w:lang w:val="en-US" w:eastAsia="zh-CN"/>
                    </w:rPr>
                  </w:pPr>
                </w:p>
              </w:tc>
              <w:tc>
                <w:tcPr>
                  <w:tcW w:w="924" w:type="dxa"/>
                  <w:tcBorders>
                    <w:tl2br w:val="nil"/>
                    <w:tr2bl w:val="nil"/>
                  </w:tcBorders>
                  <w:vAlign w:val="center"/>
                </w:tcPr>
                <w:p>
                  <w:pPr>
                    <w:pStyle w:val="39"/>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10" w:hRule="atLeast"/>
                <w:jc w:val="center"/>
              </w:trPr>
              <w:tc>
                <w:tcPr>
                  <w:tcW w:w="427"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2</w:t>
                  </w:r>
                </w:p>
              </w:tc>
              <w:tc>
                <w:tcPr>
                  <w:tcW w:w="797"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w:t>
                  </w:r>
                </w:p>
              </w:tc>
              <w:tc>
                <w:tcPr>
                  <w:tcW w:w="908"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cs="Times New Roman"/>
                      <w:b w:val="0"/>
                      <w:bCs w:val="0"/>
                      <w:sz w:val="21"/>
                      <w:szCs w:val="21"/>
                      <w:u w:val="none" w:color="auto"/>
                      <w:lang w:val="en-US" w:eastAsia="zh-CN"/>
                    </w:rPr>
                    <w:t>污水处理设施</w:t>
                  </w:r>
                </w:p>
              </w:tc>
              <w:tc>
                <w:tcPr>
                  <w:tcW w:w="956" w:type="dxa"/>
                  <w:tcBorders>
                    <w:tl2br w:val="nil"/>
                    <w:tr2bl w:val="nil"/>
                  </w:tcBorders>
                  <w:vAlign w:val="center"/>
                </w:tcPr>
                <w:p>
                  <w:pPr>
                    <w:pStyle w:val="39"/>
                    <w:rPr>
                      <w:rFonts w:hint="default" w:ascii="Times New Roman" w:hAnsi="Times New Roman" w:cs="Times New Roman"/>
                      <w:b w:val="0"/>
                      <w:bCs w:val="0"/>
                      <w:sz w:val="21"/>
                      <w:szCs w:val="21"/>
                      <w:u w:val="none" w:color="auto"/>
                      <w:vertAlign w:val="baseline"/>
                      <w:lang w:val="en-US" w:eastAsia="zh-CN"/>
                    </w:rPr>
                  </w:pPr>
                  <w:r>
                    <w:rPr>
                      <w:rFonts w:hint="default" w:ascii="Times New Roman" w:hAnsi="Times New Roman" w:cs="Times New Roman"/>
                      <w:b w:val="0"/>
                      <w:bCs w:val="0"/>
                      <w:sz w:val="21"/>
                      <w:szCs w:val="21"/>
                      <w:u w:val="none" w:color="auto"/>
                    </w:rPr>
                    <w:t>氨</w:t>
                  </w:r>
                </w:p>
              </w:tc>
              <w:tc>
                <w:tcPr>
                  <w:tcW w:w="922" w:type="dxa"/>
                  <w:vMerge w:val="restart"/>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加盖密闭</w:t>
                  </w:r>
                  <w:r>
                    <w:rPr>
                      <w:rFonts w:hint="eastAsia" w:cs="Times New Roman"/>
                      <w:b w:val="0"/>
                      <w:bCs w:val="0"/>
                      <w:color w:val="auto"/>
                      <w:sz w:val="21"/>
                      <w:szCs w:val="21"/>
                      <w:u w:val="none" w:color="auto"/>
                      <w:lang w:val="en-US" w:eastAsia="zh-CN"/>
                    </w:rPr>
                    <w:t>、</w:t>
                  </w:r>
                  <w:r>
                    <w:rPr>
                      <w:rFonts w:hint="default" w:ascii="Times New Roman" w:hAnsi="Times New Roman" w:cs="Times New Roman"/>
                      <w:b w:val="0"/>
                      <w:bCs w:val="0"/>
                      <w:color w:val="auto"/>
                      <w:sz w:val="21"/>
                      <w:szCs w:val="21"/>
                      <w:u w:val="none" w:color="auto"/>
                      <w:lang w:val="en-US" w:eastAsia="zh-CN"/>
                    </w:rPr>
                    <w:t>喷洒除臭剂处理</w:t>
                  </w:r>
                </w:p>
              </w:tc>
              <w:tc>
                <w:tcPr>
                  <w:tcW w:w="1952"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r>
                    <w:rPr>
                      <w:rFonts w:hint="default" w:ascii="Times New Roman" w:hAnsi="Times New Roman" w:eastAsia="宋体" w:cs="Times New Roman"/>
                      <w:b w:val="0"/>
                      <w:bCs w:val="0"/>
                      <w:sz w:val="21"/>
                      <w:szCs w:val="21"/>
                      <w:u w:val="none" w:color="auto"/>
                      <w:lang w:val="en-US"/>
                    </w:rPr>
                    <w:t>《恶臭污染物排放标准》（GB14554-93）新、改、扩建项目恶臭污染物厂界二级标准要求</w:t>
                  </w:r>
                </w:p>
              </w:tc>
              <w:tc>
                <w:tcPr>
                  <w:tcW w:w="1389"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1500</w:t>
                  </w:r>
                </w:p>
              </w:tc>
              <w:tc>
                <w:tcPr>
                  <w:tcW w:w="924"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16.57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1" w:hRule="atLeast"/>
                <w:jc w:val="center"/>
              </w:trPr>
              <w:tc>
                <w:tcPr>
                  <w:tcW w:w="42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79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p>
              </w:tc>
              <w:tc>
                <w:tcPr>
                  <w:tcW w:w="908"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956" w:type="dxa"/>
                  <w:tcBorders>
                    <w:tl2br w:val="nil"/>
                    <w:tr2bl w:val="nil"/>
                  </w:tcBorders>
                  <w:vAlign w:val="center"/>
                </w:tcPr>
                <w:p>
                  <w:pPr>
                    <w:pStyle w:val="39"/>
                    <w:rPr>
                      <w:rFonts w:hint="default" w:ascii="Times New Roman" w:hAnsi="Times New Roman" w:cs="Times New Roman"/>
                      <w:b w:val="0"/>
                      <w:bCs w:val="0"/>
                      <w:sz w:val="21"/>
                      <w:szCs w:val="21"/>
                      <w:u w:val="none" w:color="auto"/>
                      <w:vertAlign w:val="baseline"/>
                      <w:lang w:val="en-US" w:eastAsia="zh-CN"/>
                    </w:rPr>
                  </w:pPr>
                  <w:r>
                    <w:rPr>
                      <w:rFonts w:hint="default" w:ascii="Times New Roman" w:hAnsi="Times New Roman" w:cs="Times New Roman"/>
                      <w:b w:val="0"/>
                      <w:bCs w:val="0"/>
                      <w:sz w:val="21"/>
                      <w:szCs w:val="21"/>
                      <w:u w:val="none" w:color="auto"/>
                    </w:rPr>
                    <w:t>硫化氢</w:t>
                  </w:r>
                </w:p>
              </w:tc>
              <w:tc>
                <w:tcPr>
                  <w:tcW w:w="922" w:type="dxa"/>
                  <w:vMerge w:val="continue"/>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lang w:val="en-US" w:eastAsia="zh-CN"/>
                    </w:rPr>
                  </w:pPr>
                </w:p>
              </w:tc>
              <w:tc>
                <w:tcPr>
                  <w:tcW w:w="1952"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1389"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60</w:t>
                  </w:r>
                </w:p>
              </w:tc>
              <w:tc>
                <w:tcPr>
                  <w:tcW w:w="924"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0.642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10" w:hRule="atLeast"/>
                <w:jc w:val="center"/>
              </w:trPr>
              <w:tc>
                <w:tcPr>
                  <w:tcW w:w="427"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4</w:t>
                  </w:r>
                </w:p>
              </w:tc>
              <w:tc>
                <w:tcPr>
                  <w:tcW w:w="797"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w:t>
                  </w:r>
                </w:p>
              </w:tc>
              <w:tc>
                <w:tcPr>
                  <w:tcW w:w="908" w:type="dxa"/>
                  <w:vMerge w:val="restart"/>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r>
                    <w:rPr>
                      <w:rFonts w:hint="default" w:ascii="Times New Roman" w:hAnsi="Times New Roman" w:cs="Times New Roman"/>
                      <w:b w:val="0"/>
                      <w:bCs w:val="0"/>
                      <w:color w:val="auto"/>
                      <w:sz w:val="21"/>
                      <w:szCs w:val="21"/>
                      <w:u w:val="none" w:color="auto"/>
                      <w:lang w:val="en-US" w:eastAsia="zh-CN"/>
                    </w:rPr>
                    <w:t>备用柴油发电机</w:t>
                  </w:r>
                </w:p>
              </w:tc>
              <w:tc>
                <w:tcPr>
                  <w:tcW w:w="9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sz w:val="21"/>
                      <w:szCs w:val="21"/>
                      <w:u w:val="none" w:color="auto"/>
                      <w:lang w:val="zh-CN" w:eastAsia="zh-CN" w:bidi="zh-CN"/>
                    </w:rPr>
                  </w:pPr>
                  <w:r>
                    <w:rPr>
                      <w:rFonts w:ascii="Times New Roman" w:hAnsi="Times New Roman" w:cs="Times New Roman"/>
                      <w:b w:val="0"/>
                      <w:bCs w:val="0"/>
                      <w:sz w:val="21"/>
                      <w:szCs w:val="21"/>
                      <w:u w:val="none" w:color="auto"/>
                    </w:rPr>
                    <w:t>烟尘</w:t>
                  </w:r>
                </w:p>
              </w:tc>
              <w:tc>
                <w:tcPr>
                  <w:tcW w:w="922" w:type="dxa"/>
                  <w:vMerge w:val="restart"/>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加强通风、绿化</w:t>
                  </w:r>
                </w:p>
              </w:tc>
              <w:tc>
                <w:tcPr>
                  <w:tcW w:w="1952"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1389"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120</w:t>
                  </w:r>
                </w:p>
              </w:tc>
              <w:tc>
                <w:tcPr>
                  <w:tcW w:w="924" w:type="dxa"/>
                  <w:tcBorders>
                    <w:tl2br w:val="nil"/>
                    <w:tr2bl w:val="nil"/>
                  </w:tcBorders>
                  <w:vAlign w:val="center"/>
                </w:tcPr>
                <w:p>
                  <w:pPr>
                    <w:pStyle w:val="39"/>
                    <w:ind w:firstLine="0" w:firstLineChars="0"/>
                    <w:rPr>
                      <w:rFonts w:hint="default" w:ascii="Times New Roman" w:hAnsi="Times New Roman" w:eastAsia="宋体" w:cs="Times New Roman"/>
                      <w:b w:val="0"/>
                      <w:bCs w:val="0"/>
                      <w:color w:val="auto"/>
                      <w:sz w:val="21"/>
                      <w:szCs w:val="21"/>
                      <w:highlight w:val="none"/>
                      <w:u w:val="none" w:color="auto"/>
                      <w:lang w:val="en-US" w:eastAsia="zh-CN" w:bidi="zh-CN"/>
                    </w:rPr>
                  </w:pPr>
                  <w:r>
                    <w:rPr>
                      <w:rFonts w:hint="default" w:ascii="Times New Roman" w:hAnsi="Times New Roman" w:cs="Times New Roman"/>
                      <w:b w:val="0"/>
                      <w:bCs w:val="0"/>
                      <w:color w:val="auto"/>
                      <w:sz w:val="21"/>
                      <w:szCs w:val="21"/>
                      <w:highlight w:val="none"/>
                      <w:u w:val="none" w:color="auto"/>
                      <w:lang w:val="en-US" w:eastAsia="zh-CN" w:bidi="zh-CN"/>
                    </w:rPr>
                    <w:t>0.02125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2" w:hRule="atLeast"/>
                <w:jc w:val="center"/>
              </w:trPr>
              <w:tc>
                <w:tcPr>
                  <w:tcW w:w="42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79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p>
              </w:tc>
              <w:tc>
                <w:tcPr>
                  <w:tcW w:w="908"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9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sz w:val="21"/>
                      <w:szCs w:val="21"/>
                      <w:u w:val="none" w:color="auto"/>
                      <w:lang w:val="zh-CN" w:eastAsia="zh-CN" w:bidi="zh-CN"/>
                    </w:rPr>
                  </w:pPr>
                  <w:r>
                    <w:rPr>
                      <w:rFonts w:ascii="Times New Roman" w:hAnsi="Times New Roman" w:cs="Times New Roman"/>
                      <w:b w:val="0"/>
                      <w:bCs w:val="0"/>
                      <w:sz w:val="21"/>
                      <w:szCs w:val="21"/>
                      <w:u w:val="none" w:color="auto"/>
                    </w:rPr>
                    <w:t>二氧化硫</w:t>
                  </w:r>
                </w:p>
              </w:tc>
              <w:tc>
                <w:tcPr>
                  <w:tcW w:w="922" w:type="dxa"/>
                  <w:vMerge w:val="continue"/>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textAlignment w:val="auto"/>
                    <w:rPr>
                      <w:rFonts w:hint="default" w:ascii="Times New Roman" w:hAnsi="Times New Roman" w:cs="Times New Roman"/>
                      <w:b w:val="0"/>
                      <w:bCs w:val="0"/>
                      <w:color w:val="auto"/>
                      <w:sz w:val="21"/>
                      <w:szCs w:val="21"/>
                      <w:u w:val="none" w:color="auto"/>
                      <w:lang w:val="en-US" w:eastAsia="zh-CN"/>
                    </w:rPr>
                  </w:pPr>
                </w:p>
              </w:tc>
              <w:tc>
                <w:tcPr>
                  <w:tcW w:w="1952"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1389"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550</w:t>
                  </w:r>
                </w:p>
              </w:tc>
              <w:tc>
                <w:tcPr>
                  <w:tcW w:w="924" w:type="dxa"/>
                  <w:tcBorders>
                    <w:tl2br w:val="nil"/>
                    <w:tr2bl w:val="nil"/>
                  </w:tcBorders>
                  <w:vAlign w:val="center"/>
                </w:tcPr>
                <w:p>
                  <w:pPr>
                    <w:pStyle w:val="39"/>
                    <w:ind w:firstLine="0" w:firstLineChars="0"/>
                    <w:rPr>
                      <w:rFonts w:hint="default" w:ascii="Times New Roman" w:hAnsi="Times New Roman" w:eastAsia="宋体" w:cs="Times New Roman"/>
                      <w:b w:val="0"/>
                      <w:bCs w:val="0"/>
                      <w:color w:val="auto"/>
                      <w:sz w:val="21"/>
                      <w:szCs w:val="21"/>
                      <w:highlight w:val="none"/>
                      <w:u w:val="none" w:color="auto"/>
                      <w:lang w:val="en-US" w:eastAsia="zh-CN" w:bidi="zh-CN"/>
                    </w:rPr>
                  </w:pPr>
                  <w:r>
                    <w:rPr>
                      <w:rFonts w:hint="default" w:ascii="Times New Roman" w:hAnsi="Times New Roman" w:cs="Times New Roman"/>
                      <w:b w:val="0"/>
                      <w:bCs w:val="0"/>
                      <w:color w:val="auto"/>
                      <w:sz w:val="21"/>
                      <w:szCs w:val="21"/>
                      <w:highlight w:val="none"/>
                      <w:u w:val="none" w:color="auto"/>
                      <w:lang w:val="en-US" w:eastAsia="zh-CN" w:bidi="zh-CN"/>
                    </w:rPr>
                    <w:t>0.35785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52" w:hRule="atLeast"/>
                <w:jc w:val="center"/>
              </w:trPr>
              <w:tc>
                <w:tcPr>
                  <w:tcW w:w="42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797"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p>
              </w:tc>
              <w:tc>
                <w:tcPr>
                  <w:tcW w:w="908"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9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sz w:val="21"/>
                      <w:szCs w:val="21"/>
                      <w:u w:val="none" w:color="auto"/>
                      <w:lang w:val="zh-CN" w:eastAsia="zh-CN" w:bidi="zh-CN"/>
                    </w:rPr>
                  </w:pPr>
                  <w:r>
                    <w:rPr>
                      <w:rFonts w:ascii="Times New Roman" w:hAnsi="Times New Roman" w:cs="Times New Roman"/>
                      <w:b w:val="0"/>
                      <w:bCs w:val="0"/>
                      <w:sz w:val="21"/>
                      <w:szCs w:val="21"/>
                      <w:u w:val="none" w:color="auto"/>
                    </w:rPr>
                    <w:t>氮氧化物</w:t>
                  </w:r>
                </w:p>
              </w:tc>
              <w:tc>
                <w:tcPr>
                  <w:tcW w:w="922" w:type="dxa"/>
                  <w:vMerge w:val="continue"/>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textAlignment w:val="auto"/>
                    <w:rPr>
                      <w:rFonts w:hint="default" w:ascii="Times New Roman" w:hAnsi="Times New Roman" w:cs="Times New Roman"/>
                      <w:b w:val="0"/>
                      <w:bCs w:val="0"/>
                      <w:color w:val="auto"/>
                      <w:sz w:val="21"/>
                      <w:szCs w:val="21"/>
                      <w:u w:val="none" w:color="auto"/>
                      <w:lang w:val="en-US" w:eastAsia="zh-CN"/>
                    </w:rPr>
                  </w:pPr>
                </w:p>
              </w:tc>
              <w:tc>
                <w:tcPr>
                  <w:tcW w:w="1952" w:type="dxa"/>
                  <w:vMerge w:val="continue"/>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rPr>
                  </w:pPr>
                </w:p>
              </w:tc>
              <w:tc>
                <w:tcPr>
                  <w:tcW w:w="1389" w:type="dxa"/>
                  <w:tcBorders>
                    <w:tl2br w:val="nil"/>
                    <w:tr2bl w:val="nil"/>
                  </w:tcBorders>
                  <w:vAlign w:val="center"/>
                </w:tcPr>
                <w:p>
                  <w:pPr>
                    <w:pStyle w:val="39"/>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240</w:t>
                  </w:r>
                </w:p>
              </w:tc>
              <w:tc>
                <w:tcPr>
                  <w:tcW w:w="924" w:type="dxa"/>
                  <w:tcBorders>
                    <w:tl2br w:val="nil"/>
                    <w:tr2bl w:val="nil"/>
                  </w:tcBorders>
                  <w:vAlign w:val="center"/>
                </w:tcPr>
                <w:p>
                  <w:pPr>
                    <w:pStyle w:val="39"/>
                    <w:ind w:firstLine="0" w:firstLineChars="0"/>
                    <w:rPr>
                      <w:rFonts w:hint="default" w:ascii="Times New Roman" w:hAnsi="Times New Roman" w:eastAsia="宋体" w:cs="Times New Roman"/>
                      <w:b w:val="0"/>
                      <w:bCs w:val="0"/>
                      <w:color w:val="auto"/>
                      <w:sz w:val="21"/>
                      <w:szCs w:val="21"/>
                      <w:highlight w:val="none"/>
                      <w:u w:val="none" w:color="auto"/>
                      <w:lang w:val="en-US" w:eastAsia="zh-CN" w:bidi="zh-CN"/>
                    </w:rPr>
                  </w:pPr>
                  <w:r>
                    <w:rPr>
                      <w:rFonts w:hint="default" w:ascii="Times New Roman" w:hAnsi="Times New Roman" w:cs="Times New Roman"/>
                      <w:b w:val="0"/>
                      <w:bCs w:val="0"/>
                      <w:color w:val="auto"/>
                      <w:sz w:val="21"/>
                      <w:szCs w:val="21"/>
                      <w:highlight w:val="none"/>
                      <w:u w:val="none" w:color="auto"/>
                      <w:lang w:val="en-US" w:eastAsia="zh-CN" w:bidi="zh-CN"/>
                    </w:rPr>
                    <w:t>0.5576</w:t>
                  </w:r>
                </w:p>
              </w:tc>
            </w:tr>
          </w:tbl>
          <w:p>
            <w:pPr>
              <w:keepNext w:val="0"/>
              <w:keepLines w:val="0"/>
              <w:pageBreakBefore w:val="0"/>
              <w:widowControl/>
              <w:numPr>
                <w:ilvl w:val="0"/>
                <w:numId w:val="2"/>
              </w:numPr>
              <w:kinsoku/>
              <w:wordWrap w:val="0"/>
              <w:overflowPunct/>
              <w:topLinePunct w:val="0"/>
              <w:autoSpaceDE w:val="0"/>
              <w:autoSpaceDN w:val="0"/>
              <w:bidi w:val="0"/>
              <w:adjustRightInd/>
              <w:snapToGrid/>
              <w:spacing w:before="0" w:beforeLines="100"/>
              <w:ind w:firstLine="480"/>
              <w:textAlignment w:val="auto"/>
              <w:rPr>
                <w:rFonts w:hint="default" w:ascii="Times New Roman" w:hAnsi="Times New Roman" w:cs="Times New Roman"/>
                <w:szCs w:val="24"/>
                <w:u w:val="none" w:color="auto"/>
                <w:lang w:val="en-US" w:eastAsia="zh-CN"/>
              </w:rPr>
            </w:pPr>
            <w:r>
              <w:rPr>
                <w:rFonts w:hint="default" w:ascii="Times New Roman" w:hAnsi="Times New Roman" w:cs="Times New Roman"/>
                <w:szCs w:val="24"/>
                <w:u w:val="none" w:color="auto"/>
                <w:lang w:val="en-US" w:eastAsia="zh-CN"/>
              </w:rPr>
              <w:t>非正常工况下的污染物排放</w:t>
            </w:r>
          </w:p>
          <w:p>
            <w:pPr>
              <w:pStyle w:val="43"/>
              <w:bidi w:val="0"/>
              <w:rPr>
                <w:rFonts w:hint="default"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eastAsia="zh-CN"/>
              </w:rPr>
              <w:t>4.2-</w:t>
            </w:r>
            <w:r>
              <w:rPr>
                <w:rFonts w:hint="eastAsia" w:cs="Times New Roman"/>
                <w:u w:val="none" w:color="auto"/>
                <w:lang w:val="en-US" w:eastAsia="zh-CN"/>
              </w:rPr>
              <w:t>17</w:t>
            </w:r>
            <w:r>
              <w:rPr>
                <w:rFonts w:hint="default" w:ascii="Times New Roman" w:hAnsi="Times New Roman" w:cs="Times New Roman"/>
                <w:u w:val="none" w:color="auto"/>
              </w:rPr>
              <w:t xml:space="preserve"> 非正常排放情形</w:t>
            </w:r>
          </w:p>
          <w:tbl>
            <w:tblPr>
              <w:tblStyle w:val="28"/>
              <w:tblW w:w="82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02"/>
              <w:gridCol w:w="922"/>
              <w:gridCol w:w="2388"/>
              <w:gridCol w:w="2254"/>
              <w:gridCol w:w="19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6" w:hRule="atLeast"/>
                <w:tblHeader/>
                <w:jc w:val="center"/>
              </w:trPr>
              <w:tc>
                <w:tcPr>
                  <w:tcW w:w="70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序号</w:t>
                  </w:r>
                </w:p>
              </w:tc>
              <w:tc>
                <w:tcPr>
                  <w:tcW w:w="92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非正常排放源</w:t>
                  </w:r>
                </w:p>
              </w:tc>
              <w:tc>
                <w:tcPr>
                  <w:tcW w:w="2388"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非正常排放原因</w:t>
                  </w:r>
                </w:p>
              </w:tc>
              <w:tc>
                <w:tcPr>
                  <w:tcW w:w="2254" w:type="dxa"/>
                  <w:tcBorders>
                    <w:tl2br w:val="nil"/>
                    <w:tr2bl w:val="nil"/>
                  </w:tcBorders>
                  <w:noWrap w:val="0"/>
                  <w:vAlign w:val="center"/>
                </w:tcPr>
                <w:p>
                  <w:pPr>
                    <w:spacing w:line="320" w:lineRule="exact"/>
                    <w:ind w:firstLine="0" w:firstLineChars="0"/>
                    <w:jc w:val="center"/>
                    <w:rPr>
                      <w:rFonts w:hint="default" w:ascii="Times New Roman" w:hAnsi="Times New Roman" w:eastAsia="宋体" w:cs="Times New Roman"/>
                      <w:b/>
                      <w:sz w:val="21"/>
                      <w:szCs w:val="21"/>
                      <w:u w:val="none" w:color="auto"/>
                      <w:lang w:val="en-US" w:eastAsia="zh-CN"/>
                    </w:rPr>
                  </w:pPr>
                  <w:r>
                    <w:rPr>
                      <w:rFonts w:hint="default" w:ascii="Times New Roman" w:hAnsi="Times New Roman" w:cs="Times New Roman"/>
                      <w:b/>
                      <w:sz w:val="21"/>
                      <w:szCs w:val="21"/>
                      <w:u w:val="none" w:color="auto"/>
                      <w:lang w:eastAsia="zh-CN"/>
                    </w:rPr>
                    <w:t>情景</w:t>
                  </w:r>
                  <w:r>
                    <w:rPr>
                      <w:rFonts w:hint="default" w:ascii="Times New Roman" w:hAnsi="Times New Roman" w:cs="Times New Roman"/>
                      <w:b/>
                      <w:sz w:val="21"/>
                      <w:szCs w:val="21"/>
                      <w:u w:val="none" w:color="auto"/>
                      <w:lang w:val="en-US" w:eastAsia="zh-CN"/>
                    </w:rPr>
                    <w:t>1</w:t>
                  </w:r>
                </w:p>
              </w:tc>
              <w:tc>
                <w:tcPr>
                  <w:tcW w:w="197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
                      <w:sz w:val="21"/>
                      <w:szCs w:val="21"/>
                      <w:u w:val="none" w:color="auto"/>
                      <w:lang w:val="en-US"/>
                    </w:rPr>
                  </w:pPr>
                  <w:r>
                    <w:rPr>
                      <w:rFonts w:hint="default" w:ascii="Times New Roman" w:hAnsi="Times New Roman" w:cs="Times New Roman"/>
                      <w:b/>
                      <w:sz w:val="21"/>
                      <w:szCs w:val="21"/>
                      <w:u w:val="none" w:color="auto"/>
                      <w:lang w:eastAsia="zh-CN"/>
                    </w:rPr>
                    <w:t>情景</w:t>
                  </w:r>
                  <w:r>
                    <w:rPr>
                      <w:rFonts w:hint="default" w:ascii="Times New Roman" w:hAnsi="Times New Roman" w:cs="Times New Roman"/>
                      <w:b/>
                      <w:sz w:val="21"/>
                      <w:szCs w:val="21"/>
                      <w:u w:val="none" w:color="auto"/>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84" w:hRule="atLeast"/>
                <w:jc w:val="center"/>
              </w:trPr>
              <w:tc>
                <w:tcPr>
                  <w:tcW w:w="70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Cs/>
                      <w:sz w:val="21"/>
                      <w:szCs w:val="21"/>
                      <w:u w:val="none" w:color="auto"/>
                    </w:rPr>
                  </w:pPr>
                  <w:r>
                    <w:rPr>
                      <w:rFonts w:hint="default" w:ascii="Times New Roman" w:hAnsi="Times New Roman" w:cs="Times New Roman"/>
                      <w:bCs/>
                      <w:sz w:val="21"/>
                      <w:szCs w:val="21"/>
                      <w:u w:val="none" w:color="auto"/>
                    </w:rPr>
                    <w:t>1</w:t>
                  </w:r>
                </w:p>
              </w:tc>
              <w:tc>
                <w:tcPr>
                  <w:tcW w:w="922" w:type="dxa"/>
                  <w:tcBorders>
                    <w:tl2br w:val="nil"/>
                    <w:tr2bl w:val="nil"/>
                  </w:tcBorders>
                  <w:noWrap w:val="0"/>
                  <w:vAlign w:val="center"/>
                </w:tcPr>
                <w:p>
                  <w:pPr>
                    <w:pStyle w:val="92"/>
                    <w:rPr>
                      <w:rFonts w:hint="default" w:ascii="Times New Roman" w:hAnsi="Times New Roman" w:eastAsia="宋体" w:cs="Times New Roman"/>
                      <w:bCs/>
                      <w:szCs w:val="21"/>
                      <w:u w:val="none" w:color="auto"/>
                      <w:lang w:val="en-US" w:eastAsia="zh-CN"/>
                    </w:rPr>
                  </w:pPr>
                  <w:r>
                    <w:rPr>
                      <w:rFonts w:hint="default" w:ascii="Times New Roman" w:hAnsi="Times New Roman" w:cs="Times New Roman"/>
                      <w:b w:val="0"/>
                      <w:bCs w:val="0"/>
                      <w:color w:val="000000"/>
                      <w:sz w:val="21"/>
                      <w:szCs w:val="21"/>
                      <w:u w:val="none" w:color="auto"/>
                      <w:vertAlign w:val="baseline"/>
                      <w:lang w:val="en-US" w:eastAsia="zh-CN"/>
                    </w:rPr>
                    <w:t>锅炉房</w:t>
                  </w:r>
                </w:p>
              </w:tc>
              <w:tc>
                <w:tcPr>
                  <w:tcW w:w="2388" w:type="dxa"/>
                  <w:tcBorders>
                    <w:tl2br w:val="nil"/>
                    <w:tr2bl w:val="nil"/>
                  </w:tcBorders>
                  <w:noWrap w:val="0"/>
                  <w:vAlign w:val="center"/>
                </w:tcPr>
                <w:p>
                  <w:pPr>
                    <w:pStyle w:val="92"/>
                    <w:rPr>
                      <w:rFonts w:hint="default" w:ascii="Times New Roman" w:hAnsi="Times New Roman" w:eastAsia="宋体" w:cs="Times New Roman"/>
                      <w:bCs/>
                      <w:szCs w:val="21"/>
                      <w:u w:val="none" w:color="auto"/>
                      <w:lang w:val="en-US" w:eastAsia="zh-CN"/>
                    </w:rPr>
                  </w:pPr>
                  <w:r>
                    <w:rPr>
                      <w:rFonts w:hint="default" w:ascii="Times New Roman" w:hAnsi="Times New Roman" w:cs="Times New Roman"/>
                      <w:bCs/>
                      <w:u w:val="none" w:color="auto"/>
                      <w:lang w:eastAsia="zh-CN"/>
                    </w:rPr>
                    <w:t>喷淋液体分布不均</w:t>
                  </w:r>
                  <w:r>
                    <w:rPr>
                      <w:rFonts w:hint="default" w:ascii="Times New Roman" w:hAnsi="Times New Roman" w:cs="Times New Roman"/>
                      <w:bCs/>
                      <w:u w:val="none" w:color="auto"/>
                      <w:lang w:val="en-US" w:eastAsia="zh-CN"/>
                    </w:rPr>
                    <w:t>，</w:t>
                  </w:r>
                  <w:r>
                    <w:rPr>
                      <w:rFonts w:hint="default" w:ascii="Times New Roman" w:hAnsi="Times New Roman" w:cs="Times New Roman"/>
                      <w:bCs/>
                      <w:u w:val="none" w:color="auto"/>
                      <w:lang w:eastAsia="zh-CN"/>
                    </w:rPr>
                    <w:t>导致</w:t>
                  </w:r>
                  <w:r>
                    <w:rPr>
                      <w:rFonts w:hint="default" w:ascii="Times New Roman" w:hAnsi="Times New Roman" w:cs="Times New Roman"/>
                      <w:bCs/>
                      <w:u w:val="none" w:color="auto"/>
                      <w:lang w:val="en-US" w:eastAsia="zh-CN"/>
                    </w:rPr>
                    <w:t>废气污染物</w:t>
                  </w:r>
                  <w:r>
                    <w:rPr>
                      <w:rFonts w:hint="default" w:ascii="Times New Roman" w:hAnsi="Times New Roman" w:cs="Times New Roman"/>
                      <w:bCs/>
                      <w:u w:val="none" w:color="auto"/>
                      <w:lang w:eastAsia="zh-CN"/>
                    </w:rPr>
                    <w:t>去除率下降；</w:t>
                  </w:r>
                  <w:r>
                    <w:rPr>
                      <w:rFonts w:hint="default" w:ascii="Times New Roman" w:hAnsi="Times New Roman" w:cs="Times New Roman"/>
                      <w:bCs/>
                      <w:u w:val="none" w:color="auto"/>
                      <w:lang w:val="en-US" w:eastAsia="zh-CN"/>
                    </w:rPr>
                    <w:t>停电等</w:t>
                  </w:r>
                </w:p>
              </w:tc>
              <w:tc>
                <w:tcPr>
                  <w:tcW w:w="2254" w:type="dxa"/>
                  <w:tcBorders>
                    <w:tl2br w:val="nil"/>
                    <w:tr2bl w:val="nil"/>
                  </w:tcBorders>
                  <w:noWrap w:val="0"/>
                  <w:vAlign w:val="center"/>
                </w:tcPr>
                <w:p>
                  <w:pPr>
                    <w:pStyle w:val="92"/>
                    <w:rPr>
                      <w:rFonts w:hint="default" w:ascii="Times New Roman" w:hAnsi="Times New Roman" w:cs="Times New Roman"/>
                      <w:u w:val="none" w:color="auto"/>
                      <w:lang w:val="en-US" w:eastAsia="zh-CN"/>
                    </w:rPr>
                  </w:pPr>
                  <w:r>
                    <w:rPr>
                      <w:rFonts w:hint="default" w:ascii="Times New Roman" w:hAnsi="Times New Roman" w:cs="Times New Roman"/>
                      <w:b w:val="0"/>
                      <w:bCs w:val="0"/>
                      <w:color w:val="000000"/>
                      <w:sz w:val="21"/>
                      <w:szCs w:val="21"/>
                      <w:u w:val="none" w:color="auto"/>
                      <w:vertAlign w:val="baseline"/>
                      <w:lang w:val="en-US" w:eastAsia="zh-CN"/>
                    </w:rPr>
                    <w:t>颗粒物</w:t>
                  </w:r>
                  <w:r>
                    <w:rPr>
                      <w:rFonts w:hint="default" w:ascii="Times New Roman" w:hAnsi="Times New Roman" w:cs="Times New Roman"/>
                      <w:u w:val="none" w:color="auto"/>
                      <w:lang w:val="en-US" w:eastAsia="zh-CN"/>
                    </w:rPr>
                    <w:t>去除率为50%</w:t>
                  </w:r>
                </w:p>
              </w:tc>
              <w:tc>
                <w:tcPr>
                  <w:tcW w:w="1972" w:type="dxa"/>
                  <w:tcBorders>
                    <w:tl2br w:val="nil"/>
                    <w:tr2bl w:val="nil"/>
                  </w:tcBorders>
                  <w:noWrap w:val="0"/>
                  <w:vAlign w:val="center"/>
                </w:tcPr>
                <w:p>
                  <w:pPr>
                    <w:pStyle w:val="92"/>
                    <w:rPr>
                      <w:rFonts w:hint="default" w:ascii="Times New Roman" w:hAnsi="Times New Roman" w:cs="Times New Roman"/>
                      <w:bCs/>
                      <w:szCs w:val="21"/>
                      <w:u w:val="none" w:color="auto"/>
                      <w:lang w:eastAsia="zh-CN"/>
                    </w:rPr>
                  </w:pPr>
                  <w:r>
                    <w:rPr>
                      <w:rFonts w:hint="default" w:ascii="Times New Roman" w:hAnsi="Times New Roman" w:cs="Times New Roman"/>
                      <w:b w:val="0"/>
                      <w:bCs w:val="0"/>
                      <w:color w:val="000000"/>
                      <w:sz w:val="21"/>
                      <w:szCs w:val="21"/>
                      <w:u w:val="none" w:color="auto"/>
                      <w:vertAlign w:val="baseline"/>
                      <w:lang w:val="en-US" w:eastAsia="zh-CN"/>
                    </w:rPr>
                    <w:t>颗粒物</w:t>
                  </w:r>
                  <w:r>
                    <w:rPr>
                      <w:rFonts w:hint="default" w:ascii="Times New Roman" w:hAnsi="Times New Roman" w:cs="Times New Roman"/>
                      <w:u w:val="none" w:color="auto"/>
                      <w:lang w:val="en-US" w:eastAsia="zh-CN"/>
                    </w:rPr>
                    <w:t>去除率为0%</w:t>
                  </w:r>
                </w:p>
              </w:tc>
            </w:tr>
          </w:tbl>
          <w:p>
            <w:pPr>
              <w:bidi w:val="0"/>
              <w:ind w:left="0" w:leftChars="0" w:firstLine="0" w:firstLineChars="0"/>
              <w:jc w:val="center"/>
              <w:rPr>
                <w:rFonts w:hint="default" w:ascii="Times New Roman" w:hAnsi="Times New Roman" w:cs="Times New Roman"/>
                <w:b/>
                <w:bCs/>
                <w:sz w:val="21"/>
                <w:szCs w:val="21"/>
                <w:u w:val="none" w:color="auto"/>
                <w:lang w:val="en-US" w:eastAsia="zh-CN"/>
              </w:rPr>
            </w:pPr>
            <w:r>
              <w:rPr>
                <w:rFonts w:hint="default" w:ascii="Times New Roman" w:hAnsi="Times New Roman" w:cs="Times New Roman"/>
                <w:b/>
                <w:bCs/>
                <w:sz w:val="21"/>
                <w:szCs w:val="21"/>
                <w:u w:val="none" w:color="auto"/>
                <w:lang w:val="en-US" w:eastAsia="zh-CN"/>
              </w:rPr>
              <w:t>表4.2-</w:t>
            </w:r>
            <w:r>
              <w:rPr>
                <w:rFonts w:hint="eastAsia" w:cs="Times New Roman"/>
                <w:b/>
                <w:bCs/>
                <w:sz w:val="21"/>
                <w:szCs w:val="21"/>
                <w:u w:val="none" w:color="auto"/>
                <w:lang w:val="en-US" w:eastAsia="zh-CN"/>
              </w:rPr>
              <w:t>18</w:t>
            </w:r>
            <w:r>
              <w:rPr>
                <w:rFonts w:hint="default" w:ascii="Times New Roman" w:hAnsi="Times New Roman" w:cs="Times New Roman"/>
                <w:b/>
                <w:bCs/>
                <w:sz w:val="21"/>
                <w:szCs w:val="21"/>
                <w:u w:val="none" w:color="auto"/>
                <w:lang w:val="en-US" w:eastAsia="zh-CN"/>
              </w:rPr>
              <w:t xml:space="preserve">   非正常排放污染源情况统计</w:t>
            </w:r>
          </w:p>
          <w:tbl>
            <w:tblPr>
              <w:tblStyle w:val="28"/>
              <w:tblW w:w="4939"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0" w:type="dxa"/>
                <w:bottom w:w="0" w:type="dxa"/>
                <w:right w:w="0" w:type="dxa"/>
              </w:tblCellMar>
            </w:tblPr>
            <w:tblGrid>
              <w:gridCol w:w="460"/>
              <w:gridCol w:w="765"/>
              <w:gridCol w:w="941"/>
              <w:gridCol w:w="847"/>
              <w:gridCol w:w="816"/>
              <w:gridCol w:w="663"/>
              <w:gridCol w:w="704"/>
              <w:gridCol w:w="1355"/>
              <w:gridCol w:w="857"/>
              <w:gridCol w:w="82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41" w:hRule="atLeast"/>
                <w:jc w:val="center"/>
              </w:trPr>
              <w:tc>
                <w:tcPr>
                  <w:tcW w:w="279" w:type="pct"/>
                  <w:vMerge w:val="restar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
                      <w:sz w:val="21"/>
                      <w:szCs w:val="21"/>
                      <w:u w:val="none" w:color="auto"/>
                      <w:lang w:val="en-US" w:eastAsia="zh-CN"/>
                    </w:rPr>
                  </w:pPr>
                  <w:r>
                    <w:rPr>
                      <w:rFonts w:hint="default" w:ascii="Times New Roman" w:hAnsi="Times New Roman" w:cs="Times New Roman"/>
                      <w:b/>
                      <w:sz w:val="21"/>
                      <w:szCs w:val="21"/>
                      <w:u w:val="none" w:color="auto"/>
                      <w:lang w:val="en-US" w:eastAsia="zh-CN"/>
                    </w:rPr>
                    <w:t>编号</w:t>
                  </w:r>
                </w:p>
              </w:tc>
              <w:tc>
                <w:tcPr>
                  <w:tcW w:w="464" w:type="pct"/>
                  <w:vMerge w:val="restar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非正常</w:t>
                  </w:r>
                </w:p>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排放源</w:t>
                  </w:r>
                </w:p>
              </w:tc>
              <w:tc>
                <w:tcPr>
                  <w:tcW w:w="571" w:type="pct"/>
                  <w:vMerge w:val="restar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污染物</w:t>
                  </w:r>
                </w:p>
              </w:tc>
              <w:tc>
                <w:tcPr>
                  <w:tcW w:w="1009" w:type="pct"/>
                  <w:gridSpan w:val="2"/>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产生</w:t>
                  </w:r>
                </w:p>
              </w:tc>
              <w:tc>
                <w:tcPr>
                  <w:tcW w:w="402" w:type="pct"/>
                  <w:vMerge w:val="restar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
                      <w:sz w:val="21"/>
                      <w:szCs w:val="21"/>
                      <w:u w:val="none" w:color="auto"/>
                      <w:lang w:val="en-US" w:eastAsia="zh-CN"/>
                    </w:rPr>
                  </w:pPr>
                  <w:r>
                    <w:rPr>
                      <w:rFonts w:hint="default" w:ascii="Times New Roman" w:hAnsi="Times New Roman" w:cs="Times New Roman"/>
                      <w:b/>
                      <w:sz w:val="21"/>
                      <w:szCs w:val="21"/>
                      <w:u w:val="none" w:color="auto"/>
                      <w:lang w:val="en-US" w:eastAsia="zh-CN"/>
                    </w:rPr>
                    <w:t>频次</w:t>
                  </w:r>
                </w:p>
              </w:tc>
              <w:tc>
                <w:tcPr>
                  <w:tcW w:w="427" w:type="pct"/>
                  <w:vMerge w:val="restar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
                      <w:sz w:val="21"/>
                      <w:szCs w:val="21"/>
                      <w:u w:val="none" w:color="auto"/>
                      <w:lang w:val="en-US" w:eastAsia="zh-CN"/>
                    </w:rPr>
                  </w:pPr>
                  <w:r>
                    <w:rPr>
                      <w:rFonts w:hint="default" w:ascii="Times New Roman" w:hAnsi="Times New Roman" w:cs="Times New Roman"/>
                      <w:b/>
                      <w:sz w:val="21"/>
                      <w:szCs w:val="21"/>
                      <w:u w:val="none" w:color="auto"/>
                      <w:lang w:val="en-US" w:eastAsia="zh-CN"/>
                    </w:rPr>
                    <w:t>持续时间</w:t>
                  </w:r>
                </w:p>
              </w:tc>
              <w:tc>
                <w:tcPr>
                  <w:tcW w:w="822" w:type="pct"/>
                  <w:vMerge w:val="restar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处理</w:t>
                  </w:r>
                </w:p>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效率/%</w:t>
                  </w:r>
                </w:p>
              </w:tc>
              <w:tc>
                <w:tcPr>
                  <w:tcW w:w="1023" w:type="pct"/>
                  <w:gridSpan w:val="2"/>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排放</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40" w:hRule="atLeast"/>
                <w:jc w:val="center"/>
              </w:trPr>
              <w:tc>
                <w:tcPr>
                  <w:tcW w:w="279" w:type="pct"/>
                  <w:vMerge w:val="continue"/>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p>
              </w:tc>
              <w:tc>
                <w:tcPr>
                  <w:tcW w:w="464" w:type="pct"/>
                  <w:vMerge w:val="continue"/>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p>
              </w:tc>
              <w:tc>
                <w:tcPr>
                  <w:tcW w:w="571" w:type="pct"/>
                  <w:vMerge w:val="continue"/>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p>
              </w:tc>
              <w:tc>
                <w:tcPr>
                  <w:tcW w:w="514"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速率</w:t>
                  </w:r>
                </w:p>
                <w:p>
                  <w:pPr>
                    <w:spacing w:line="320" w:lineRule="exact"/>
                    <w:ind w:firstLine="0" w:firstLineChars="0"/>
                    <w:jc w:val="center"/>
                    <w:rPr>
                      <w:rFonts w:ascii="Times New Roman" w:hAnsi="Times New Roman" w:cs="Times New Roman"/>
                      <w:b/>
                      <w:sz w:val="21"/>
                      <w:szCs w:val="21"/>
                      <w:u w:val="none" w:color="auto"/>
                    </w:rPr>
                  </w:pPr>
                  <w:r>
                    <w:rPr>
                      <w:rFonts w:hint="default" w:ascii="Times New Roman" w:hAnsi="Times New Roman" w:cs="Times New Roman"/>
                      <w:b/>
                      <w:sz w:val="21"/>
                      <w:szCs w:val="21"/>
                      <w:u w:val="none" w:color="auto"/>
                    </w:rPr>
                    <w:t>kg/h</w:t>
                  </w:r>
                </w:p>
              </w:tc>
              <w:tc>
                <w:tcPr>
                  <w:tcW w:w="495"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总量</w:t>
                  </w:r>
                </w:p>
                <w:p>
                  <w:pPr>
                    <w:spacing w:line="320" w:lineRule="exact"/>
                    <w:ind w:firstLine="0" w:firstLineChars="0"/>
                    <w:jc w:val="center"/>
                    <w:rPr>
                      <w:rFonts w:ascii="Times New Roman" w:hAnsi="Times New Roman" w:cs="Times New Roman"/>
                      <w:b/>
                      <w:sz w:val="21"/>
                      <w:szCs w:val="21"/>
                      <w:u w:val="none" w:color="auto"/>
                    </w:rPr>
                  </w:pPr>
                  <w:r>
                    <w:rPr>
                      <w:rFonts w:hint="default" w:ascii="Times New Roman" w:hAnsi="Times New Roman" w:cs="Times New Roman"/>
                      <w:b/>
                      <w:sz w:val="21"/>
                      <w:szCs w:val="21"/>
                      <w:u w:val="none" w:color="auto"/>
                    </w:rPr>
                    <w:t>kg/a</w:t>
                  </w:r>
                </w:p>
              </w:tc>
              <w:tc>
                <w:tcPr>
                  <w:tcW w:w="402" w:type="pct"/>
                  <w:vMerge w:val="continue"/>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p>
              </w:tc>
              <w:tc>
                <w:tcPr>
                  <w:tcW w:w="427" w:type="pct"/>
                  <w:vMerge w:val="continue"/>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p>
              </w:tc>
              <w:tc>
                <w:tcPr>
                  <w:tcW w:w="822" w:type="pct"/>
                  <w:vMerge w:val="continue"/>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p>
              </w:tc>
              <w:tc>
                <w:tcPr>
                  <w:tcW w:w="520"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速率</w:t>
                  </w:r>
                </w:p>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kg/h</w:t>
                  </w:r>
                </w:p>
              </w:tc>
              <w:tc>
                <w:tcPr>
                  <w:tcW w:w="503"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总量</w:t>
                  </w:r>
                </w:p>
                <w:p>
                  <w:pPr>
                    <w:spacing w:line="320" w:lineRule="exact"/>
                    <w:ind w:firstLine="0" w:firstLineChars="0"/>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lang w:val="en-US" w:eastAsia="zh-CN"/>
                    </w:rPr>
                    <w:t>Kg</w:t>
                  </w:r>
                  <w:r>
                    <w:rPr>
                      <w:rFonts w:hint="default" w:ascii="Times New Roman" w:hAnsi="Times New Roman" w:cs="Times New Roman"/>
                      <w:b/>
                      <w:sz w:val="21"/>
                      <w:szCs w:val="21"/>
                      <w:u w:val="none" w:color="auto"/>
                    </w:rPr>
                    <w:t>/a</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01" w:hRule="atLeast"/>
                <w:jc w:val="center"/>
              </w:trPr>
              <w:tc>
                <w:tcPr>
                  <w:tcW w:w="279"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cs="Times New Roman"/>
                      <w:bCs/>
                      <w:sz w:val="21"/>
                      <w:szCs w:val="21"/>
                      <w:u w:val="none" w:color="auto"/>
                      <w:lang w:val="en-US" w:eastAsia="zh-CN"/>
                    </w:rPr>
                    <w:t>1</w:t>
                  </w:r>
                </w:p>
              </w:tc>
              <w:tc>
                <w:tcPr>
                  <w:tcW w:w="464" w:type="pct"/>
                  <w:tcBorders>
                    <w:tl2br w:val="nil"/>
                    <w:tr2bl w:val="nil"/>
                  </w:tcBorders>
                  <w:noWrap w:val="0"/>
                  <w:tcMar>
                    <w:left w:w="0" w:type="dxa"/>
                    <w:right w:w="0" w:type="dxa"/>
                  </w:tcMar>
                  <w:vAlign w:val="center"/>
                </w:tcPr>
                <w:p>
                  <w:pPr>
                    <w:pStyle w:val="92"/>
                    <w:rPr>
                      <w:rFonts w:hint="default" w:ascii="Times New Roman" w:hAnsi="Times New Roman" w:cs="Times New Roman"/>
                      <w:bCs/>
                      <w:sz w:val="21"/>
                      <w:szCs w:val="21"/>
                      <w:u w:val="none" w:color="auto"/>
                    </w:rPr>
                  </w:pPr>
                  <w:r>
                    <w:rPr>
                      <w:rFonts w:hint="default" w:ascii="Times New Roman" w:hAnsi="Times New Roman" w:cs="Times New Roman"/>
                      <w:b w:val="0"/>
                      <w:bCs w:val="0"/>
                      <w:color w:val="000000"/>
                      <w:sz w:val="21"/>
                      <w:szCs w:val="21"/>
                      <w:u w:val="none" w:color="auto"/>
                      <w:vertAlign w:val="baseline"/>
                      <w:lang w:val="en-US" w:eastAsia="zh-CN"/>
                    </w:rPr>
                    <w:t>锅炉房</w:t>
                  </w:r>
                </w:p>
              </w:tc>
              <w:tc>
                <w:tcPr>
                  <w:tcW w:w="571" w:type="pct"/>
                  <w:tcBorders>
                    <w:tl2br w:val="nil"/>
                    <w:tr2bl w:val="nil"/>
                  </w:tcBorders>
                  <w:noWrap w:val="0"/>
                  <w:tcMar>
                    <w:left w:w="0" w:type="dxa"/>
                    <w:right w:w="0" w:type="dxa"/>
                  </w:tcMar>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u w:val="none" w:color="auto"/>
                    </w:rPr>
                  </w:pPr>
                  <w:r>
                    <w:rPr>
                      <w:rFonts w:hint="default" w:ascii="Times New Roman" w:hAnsi="Times New Roman" w:cs="Times New Roman"/>
                      <w:b w:val="0"/>
                      <w:bCs w:val="0"/>
                      <w:color w:val="000000"/>
                      <w:sz w:val="21"/>
                      <w:szCs w:val="21"/>
                      <w:u w:val="none" w:color="auto"/>
                      <w:vertAlign w:val="baseline"/>
                      <w:lang w:val="en-US" w:eastAsia="zh-CN"/>
                    </w:rPr>
                    <w:t>颗粒物</w:t>
                  </w:r>
                </w:p>
              </w:tc>
              <w:tc>
                <w:tcPr>
                  <w:tcW w:w="514" w:type="pct"/>
                  <w:tcBorders>
                    <w:tl2br w:val="nil"/>
                    <w:tr2bl w:val="nil"/>
                  </w:tcBorders>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Cs/>
                      <w:sz w:val="21"/>
                      <w:szCs w:val="21"/>
                      <w:highlight w:val="none"/>
                      <w:u w:val="none" w:color="auto"/>
                      <w:lang w:val="en-US" w:eastAsia="zh-CN"/>
                    </w:rPr>
                  </w:pPr>
                  <w:r>
                    <w:rPr>
                      <w:rFonts w:hint="default" w:ascii="Times New Roman" w:hAnsi="Times New Roman" w:cs="Times New Roman"/>
                      <w:sz w:val="21"/>
                      <w:szCs w:val="21"/>
                      <w:u w:val="none" w:color="auto"/>
                      <w:lang w:val="en-US" w:eastAsia="zh-CN"/>
                    </w:rPr>
                    <w:t>0.083</w:t>
                  </w:r>
                </w:p>
              </w:tc>
              <w:tc>
                <w:tcPr>
                  <w:tcW w:w="495" w:type="pct"/>
                  <w:tcBorders>
                    <w:tl2br w:val="nil"/>
                    <w:tr2bl w:val="nil"/>
                  </w:tcBorders>
                  <w:noWrap w:val="0"/>
                  <w:tcMar>
                    <w:left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highlight w:val="none"/>
                      <w:u w:val="none" w:color="auto"/>
                      <w:lang w:val="en-US" w:eastAsia="zh-CN" w:bidi="ar"/>
                    </w:rPr>
                  </w:pPr>
                  <w:r>
                    <w:rPr>
                      <w:rFonts w:hint="default" w:ascii="Times New Roman" w:hAnsi="Times New Roman" w:cs="Times New Roman"/>
                      <w:sz w:val="21"/>
                      <w:szCs w:val="21"/>
                      <w:u w:val="none" w:color="auto"/>
                      <w:lang w:val="en-US" w:eastAsia="zh-CN"/>
                    </w:rPr>
                    <w:t>150</w:t>
                  </w:r>
                </w:p>
              </w:tc>
              <w:tc>
                <w:tcPr>
                  <w:tcW w:w="402"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eastAsia="宋体" w:cs="Times New Roman"/>
                      <w:bCs/>
                      <w:sz w:val="21"/>
                      <w:szCs w:val="21"/>
                      <w:u w:val="none" w:color="auto"/>
                      <w:lang w:val="en-US" w:eastAsia="zh-CN"/>
                    </w:rPr>
                    <w:t>10次/a</w:t>
                  </w:r>
                </w:p>
              </w:tc>
              <w:tc>
                <w:tcPr>
                  <w:tcW w:w="427"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eastAsia="宋体" w:cs="Times New Roman"/>
                      <w:bCs/>
                      <w:sz w:val="21"/>
                      <w:szCs w:val="21"/>
                      <w:u w:val="none" w:color="auto"/>
                      <w:lang w:val="en-US" w:eastAsia="zh-CN"/>
                    </w:rPr>
                    <w:t>15min</w:t>
                  </w:r>
                </w:p>
              </w:tc>
              <w:tc>
                <w:tcPr>
                  <w:tcW w:w="822"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eastAsia="宋体" w:cs="Times New Roman"/>
                      <w:bCs/>
                      <w:sz w:val="21"/>
                      <w:szCs w:val="21"/>
                      <w:u w:val="none" w:color="auto"/>
                      <w:lang w:val="en-US" w:eastAsia="zh-CN"/>
                    </w:rPr>
                    <w:t>50%</w:t>
                  </w:r>
                </w:p>
              </w:tc>
              <w:tc>
                <w:tcPr>
                  <w:tcW w:w="520"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cs="Times New Roman"/>
                      <w:bCs/>
                      <w:sz w:val="21"/>
                      <w:szCs w:val="21"/>
                      <w:u w:val="none" w:color="auto"/>
                      <w:lang w:val="en-US" w:eastAsia="zh-CN"/>
                    </w:rPr>
                    <w:t>0.042</w:t>
                  </w:r>
                </w:p>
              </w:tc>
              <w:tc>
                <w:tcPr>
                  <w:tcW w:w="503"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sz w:val="21"/>
                      <w:szCs w:val="21"/>
                      <w:u w:val="none" w:color="auto"/>
                      <w:lang w:val="en-US" w:eastAsia="zh-CN" w:bidi="ar"/>
                    </w:rPr>
                  </w:pPr>
                  <w:r>
                    <w:rPr>
                      <w:rFonts w:hint="default" w:ascii="Times New Roman" w:hAnsi="Times New Roman" w:cs="Times New Roman"/>
                      <w:sz w:val="21"/>
                      <w:szCs w:val="21"/>
                      <w:u w:val="none" w:color="auto"/>
                      <w:lang w:val="en-US" w:eastAsia="zh-CN" w:bidi="ar"/>
                    </w:rPr>
                    <w:t>75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21" w:hRule="atLeast"/>
                <w:jc w:val="center"/>
              </w:trPr>
              <w:tc>
                <w:tcPr>
                  <w:tcW w:w="279"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cs="Times New Roman"/>
                      <w:bCs/>
                      <w:sz w:val="21"/>
                      <w:szCs w:val="21"/>
                      <w:u w:val="none" w:color="auto"/>
                      <w:lang w:val="en-US" w:eastAsia="zh-CN"/>
                    </w:rPr>
                    <w:t>2</w:t>
                  </w:r>
                </w:p>
              </w:tc>
              <w:tc>
                <w:tcPr>
                  <w:tcW w:w="464"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cs="Times New Roman"/>
                      <w:bCs/>
                      <w:sz w:val="21"/>
                      <w:szCs w:val="21"/>
                      <w:u w:val="none" w:color="auto"/>
                    </w:rPr>
                  </w:pPr>
                  <w:r>
                    <w:rPr>
                      <w:rFonts w:hint="default" w:ascii="Times New Roman" w:hAnsi="Times New Roman" w:cs="Times New Roman"/>
                      <w:b w:val="0"/>
                      <w:bCs w:val="0"/>
                      <w:color w:val="000000"/>
                      <w:sz w:val="21"/>
                      <w:szCs w:val="21"/>
                      <w:u w:val="none" w:color="auto"/>
                      <w:vertAlign w:val="baseline"/>
                      <w:lang w:val="en-US" w:eastAsia="zh-CN"/>
                    </w:rPr>
                    <w:t>锅炉房</w:t>
                  </w:r>
                </w:p>
              </w:tc>
              <w:tc>
                <w:tcPr>
                  <w:tcW w:w="571" w:type="pct"/>
                  <w:tcBorders>
                    <w:tl2br w:val="nil"/>
                    <w:tr2bl w:val="nil"/>
                  </w:tcBorders>
                  <w:noWrap w:val="0"/>
                  <w:tcMar>
                    <w:left w:w="0" w:type="dxa"/>
                    <w:right w:w="0" w:type="dxa"/>
                  </w:tcMar>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u w:val="none" w:color="auto"/>
                    </w:rPr>
                  </w:pPr>
                  <w:r>
                    <w:rPr>
                      <w:rFonts w:hint="default" w:ascii="Times New Roman" w:hAnsi="Times New Roman" w:cs="Times New Roman"/>
                      <w:b w:val="0"/>
                      <w:bCs w:val="0"/>
                      <w:color w:val="000000"/>
                      <w:sz w:val="21"/>
                      <w:szCs w:val="21"/>
                      <w:u w:val="none" w:color="auto"/>
                      <w:vertAlign w:val="baseline"/>
                      <w:lang w:val="en-US" w:eastAsia="zh-CN"/>
                    </w:rPr>
                    <w:t>颗粒物</w:t>
                  </w:r>
                </w:p>
              </w:tc>
              <w:tc>
                <w:tcPr>
                  <w:tcW w:w="514" w:type="pct"/>
                  <w:tcBorders>
                    <w:tl2br w:val="nil"/>
                    <w:tr2bl w:val="nil"/>
                  </w:tcBorders>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cs="Times New Roman"/>
                      <w:sz w:val="21"/>
                      <w:szCs w:val="21"/>
                      <w:u w:val="none" w:color="auto"/>
                      <w:lang w:val="en-US" w:eastAsia="zh-CN"/>
                    </w:rPr>
                    <w:t>0.083</w:t>
                  </w:r>
                </w:p>
              </w:tc>
              <w:tc>
                <w:tcPr>
                  <w:tcW w:w="495" w:type="pct"/>
                  <w:tcBorders>
                    <w:tl2br w:val="nil"/>
                    <w:tr2bl w:val="nil"/>
                  </w:tcBorders>
                  <w:noWrap w:val="0"/>
                  <w:tcMar>
                    <w:left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u w:val="none" w:color="auto"/>
                      <w:lang w:val="en-US" w:eastAsia="zh-CN" w:bidi="ar"/>
                    </w:rPr>
                  </w:pPr>
                  <w:r>
                    <w:rPr>
                      <w:rFonts w:hint="default" w:ascii="Times New Roman" w:hAnsi="Times New Roman" w:cs="Times New Roman"/>
                      <w:sz w:val="21"/>
                      <w:szCs w:val="21"/>
                      <w:u w:val="none" w:color="auto"/>
                      <w:lang w:val="en-US" w:eastAsia="zh-CN"/>
                    </w:rPr>
                    <w:t>150</w:t>
                  </w:r>
                </w:p>
              </w:tc>
              <w:tc>
                <w:tcPr>
                  <w:tcW w:w="402"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eastAsia="宋体" w:cs="Times New Roman"/>
                      <w:bCs/>
                      <w:sz w:val="21"/>
                      <w:szCs w:val="21"/>
                      <w:u w:val="none" w:color="auto"/>
                      <w:lang w:val="en-US" w:eastAsia="zh-CN"/>
                    </w:rPr>
                    <w:t>10次/a</w:t>
                  </w:r>
                </w:p>
              </w:tc>
              <w:tc>
                <w:tcPr>
                  <w:tcW w:w="427"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eastAsia="宋体" w:cs="Times New Roman"/>
                      <w:bCs/>
                      <w:sz w:val="21"/>
                      <w:szCs w:val="21"/>
                      <w:u w:val="none" w:color="auto"/>
                      <w:lang w:val="en-US" w:eastAsia="zh-CN"/>
                    </w:rPr>
                    <w:t>15min</w:t>
                  </w:r>
                </w:p>
              </w:tc>
              <w:tc>
                <w:tcPr>
                  <w:tcW w:w="822" w:type="pct"/>
                  <w:tcBorders>
                    <w:tl2br w:val="nil"/>
                    <w:tr2bl w:val="nil"/>
                  </w:tcBorders>
                  <w:noWrap w:val="0"/>
                  <w:tcMar>
                    <w:left w:w="0" w:type="dxa"/>
                    <w:right w:w="0" w:type="dxa"/>
                  </w:tcMar>
                  <w:vAlign w:val="center"/>
                </w:tcPr>
                <w:p>
                  <w:pPr>
                    <w:spacing w:line="320" w:lineRule="exact"/>
                    <w:ind w:firstLine="0" w:firstLineChars="0"/>
                    <w:jc w:val="center"/>
                    <w:rPr>
                      <w:rFonts w:hint="default" w:ascii="Times New Roman" w:hAnsi="Times New Roman" w:eastAsia="宋体" w:cs="Times New Roman"/>
                      <w:bCs/>
                      <w:sz w:val="21"/>
                      <w:szCs w:val="21"/>
                      <w:u w:val="none" w:color="auto"/>
                      <w:lang w:val="en-US" w:eastAsia="zh-CN"/>
                    </w:rPr>
                  </w:pPr>
                  <w:r>
                    <w:rPr>
                      <w:rFonts w:hint="default" w:ascii="Times New Roman" w:hAnsi="Times New Roman" w:eastAsia="宋体" w:cs="Times New Roman"/>
                      <w:bCs/>
                      <w:sz w:val="21"/>
                      <w:szCs w:val="21"/>
                      <w:u w:val="none" w:color="auto"/>
                      <w:lang w:val="en-US" w:eastAsia="zh-CN"/>
                    </w:rPr>
                    <w:t>0%</w:t>
                  </w:r>
                </w:p>
              </w:tc>
              <w:tc>
                <w:tcPr>
                  <w:tcW w:w="855" w:type="dxa"/>
                  <w:tcBorders>
                    <w:tl2br w:val="nil"/>
                    <w:tr2bl w:val="nil"/>
                  </w:tcBorders>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cs="Times New Roman"/>
                      <w:bCs/>
                      <w:sz w:val="21"/>
                      <w:szCs w:val="21"/>
                      <w:u w:val="none" w:color="auto"/>
                      <w:lang w:val="en-US" w:eastAsia="zh-CN"/>
                    </w:rPr>
                  </w:pPr>
                  <w:r>
                    <w:rPr>
                      <w:rFonts w:hint="default" w:ascii="Times New Roman" w:hAnsi="Times New Roman" w:cs="Times New Roman"/>
                      <w:sz w:val="21"/>
                      <w:szCs w:val="21"/>
                      <w:u w:val="none" w:color="auto"/>
                      <w:lang w:val="en-US" w:eastAsia="zh-CN"/>
                    </w:rPr>
                    <w:t>0.083</w:t>
                  </w:r>
                </w:p>
              </w:tc>
              <w:tc>
                <w:tcPr>
                  <w:tcW w:w="827" w:type="dxa"/>
                  <w:tcBorders>
                    <w:tl2br w:val="nil"/>
                    <w:tr2bl w:val="nil"/>
                  </w:tcBorders>
                  <w:noWrap w:val="0"/>
                  <w:tcMar>
                    <w:left w:w="0" w:type="dxa"/>
                    <w:right w:w="0" w:type="dxa"/>
                  </w:tcMar>
                  <w:vAlign w:val="center"/>
                </w:tcPr>
                <w:p>
                  <w:pPr>
                    <w:adjustRightInd w:val="0"/>
                    <w:snapToGrid w:val="0"/>
                    <w:spacing w:line="240" w:lineRule="auto"/>
                    <w:ind w:firstLine="0" w:firstLineChars="0"/>
                    <w:jc w:val="center"/>
                    <w:rPr>
                      <w:rFonts w:hint="default" w:ascii="Times New Roman" w:hAnsi="Times New Roman" w:cs="Times New Roman"/>
                      <w:sz w:val="21"/>
                      <w:szCs w:val="21"/>
                      <w:u w:val="none" w:color="auto"/>
                      <w:lang w:val="en-US" w:eastAsia="zh-CN" w:bidi="ar"/>
                    </w:rPr>
                  </w:pPr>
                  <w:r>
                    <w:rPr>
                      <w:rFonts w:hint="default" w:ascii="Times New Roman" w:hAnsi="Times New Roman" w:cs="Times New Roman"/>
                      <w:sz w:val="21"/>
                      <w:szCs w:val="21"/>
                      <w:u w:val="none" w:color="auto"/>
                      <w:lang w:val="en-US" w:eastAsia="zh-CN"/>
                    </w:rPr>
                    <w:t>150</w:t>
                  </w:r>
                </w:p>
              </w:tc>
            </w:tr>
          </w:tbl>
          <w:p>
            <w:pPr>
              <w:keepNext w:val="0"/>
              <w:keepLines w:val="0"/>
              <w:pageBreakBefore w:val="0"/>
              <w:widowControl/>
              <w:kinsoku/>
              <w:wordWrap w:val="0"/>
              <w:overflowPunct/>
              <w:topLinePunct w:val="0"/>
              <w:autoSpaceDE w:val="0"/>
              <w:autoSpaceDN w:val="0"/>
              <w:bidi w:val="0"/>
              <w:adjustRightInd/>
              <w:snapToGrid/>
              <w:spacing w:before="0" w:beforeLines="100"/>
              <w:ind w:firstLine="480"/>
              <w:textAlignment w:val="auto"/>
              <w:rPr>
                <w:rFonts w:hint="default" w:ascii="Times New Roman" w:hAnsi="Times New Roman" w:cs="Times New Roman"/>
                <w:szCs w:val="24"/>
                <w:u w:val="none" w:color="auto"/>
              </w:rPr>
            </w:pPr>
            <w:r>
              <w:rPr>
                <w:rFonts w:hint="default" w:ascii="Times New Roman" w:hAnsi="Times New Roman" w:cs="Times New Roman"/>
                <w:szCs w:val="24"/>
                <w:u w:val="none" w:color="auto"/>
              </w:rPr>
              <w:t>（</w:t>
            </w:r>
            <w:r>
              <w:rPr>
                <w:rFonts w:hint="default" w:ascii="Times New Roman" w:hAnsi="Times New Roman" w:cs="Times New Roman"/>
                <w:szCs w:val="24"/>
                <w:u w:val="none" w:color="auto"/>
                <w:lang w:val="en-US" w:eastAsia="zh-CN"/>
              </w:rPr>
              <w:t>4</w:t>
            </w:r>
            <w:r>
              <w:rPr>
                <w:rFonts w:hint="default" w:ascii="Times New Roman" w:hAnsi="Times New Roman" w:cs="Times New Roman"/>
                <w:szCs w:val="24"/>
                <w:u w:val="none" w:color="auto"/>
              </w:rPr>
              <w:t>）项目主要污染物年排放量核算</w:t>
            </w:r>
          </w:p>
          <w:p>
            <w:pPr>
              <w:pStyle w:val="43"/>
              <w:bidi w:val="0"/>
              <w:rPr>
                <w:rFonts w:hint="default"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eastAsia="zh-CN"/>
              </w:rPr>
              <w:t>4.2-</w:t>
            </w:r>
            <w:r>
              <w:rPr>
                <w:rFonts w:hint="eastAsia" w:cs="Times New Roman"/>
                <w:u w:val="none" w:color="auto"/>
                <w:lang w:val="en-US" w:eastAsia="zh-CN"/>
              </w:rPr>
              <w:t>19</w:t>
            </w:r>
            <w:r>
              <w:rPr>
                <w:rFonts w:hint="default" w:ascii="Times New Roman" w:hAnsi="Times New Roman" w:cs="Times New Roman"/>
                <w:u w:val="none" w:color="auto"/>
                <w:lang w:val="en-US" w:eastAsia="zh-CN"/>
              </w:rPr>
              <w:t xml:space="preserve">   </w:t>
            </w:r>
            <w:r>
              <w:rPr>
                <w:rFonts w:hint="default" w:ascii="Times New Roman" w:hAnsi="Times New Roman" w:cs="Times New Roman"/>
                <w:u w:val="none" w:color="auto"/>
              </w:rPr>
              <w:t>项目主要污染物年排放量核算表</w:t>
            </w:r>
          </w:p>
          <w:tbl>
            <w:tblPr>
              <w:tblStyle w:val="28"/>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2"/>
              <w:gridCol w:w="1443"/>
              <w:gridCol w:w="2489"/>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372" w:type="dxa"/>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项目</w:t>
                  </w:r>
                </w:p>
              </w:tc>
              <w:tc>
                <w:tcPr>
                  <w:tcW w:w="1443" w:type="dxa"/>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序号</w:t>
                  </w:r>
                </w:p>
              </w:tc>
              <w:tc>
                <w:tcPr>
                  <w:tcW w:w="2489" w:type="dxa"/>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污染物</w:t>
                  </w:r>
                </w:p>
              </w:tc>
              <w:tc>
                <w:tcPr>
                  <w:tcW w:w="1914" w:type="dxa"/>
                  <w:tcBorders>
                    <w:tl2br w:val="nil"/>
                    <w:tr2bl w:val="nil"/>
                  </w:tcBorders>
                  <w:vAlign w:val="center"/>
                </w:tcPr>
                <w:p>
                  <w:pPr>
                    <w:pStyle w:val="39"/>
                    <w:rPr>
                      <w:rFonts w:hint="default" w:ascii="Times New Roman" w:hAnsi="Times New Roman" w:eastAsia="宋体" w:cs="Times New Roman"/>
                      <w:b/>
                      <w:bCs/>
                      <w:u w:val="none" w:color="auto"/>
                    </w:rPr>
                  </w:pPr>
                  <w:r>
                    <w:rPr>
                      <w:rFonts w:hint="default" w:ascii="Times New Roman" w:hAnsi="Times New Roman" w:eastAsia="宋体" w:cs="Times New Roman"/>
                      <w:b/>
                      <w:bCs/>
                      <w:u w:val="none" w:color="auto"/>
                    </w:rPr>
                    <w:t>年排放量（</w:t>
                  </w:r>
                  <w:r>
                    <w:rPr>
                      <w:rFonts w:hint="default" w:ascii="Times New Roman" w:hAnsi="Times New Roman" w:eastAsia="宋体" w:cs="Times New Roman"/>
                      <w:b/>
                      <w:bCs/>
                      <w:u w:val="none" w:color="auto"/>
                      <w:lang w:val="en-US" w:eastAsia="zh-CN"/>
                    </w:rPr>
                    <w:t>kg</w:t>
                  </w:r>
                  <w:r>
                    <w:rPr>
                      <w:rFonts w:hint="default" w:ascii="Times New Roman" w:hAnsi="Times New Roman" w:eastAsia="宋体" w:cs="Times New Roman"/>
                      <w:b/>
                      <w:bCs/>
                      <w:u w:val="none" w:color="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372" w:type="dxa"/>
                  <w:vMerge w:val="restart"/>
                  <w:tcBorders>
                    <w:tl2br w:val="nil"/>
                    <w:tr2bl w:val="nil"/>
                  </w:tcBorders>
                  <w:vAlign w:val="center"/>
                </w:tcPr>
                <w:p>
                  <w:pPr>
                    <w:pStyle w:val="39"/>
                    <w:rPr>
                      <w:rFonts w:hint="default" w:ascii="Times New Roman" w:hAnsi="Times New Roman" w:eastAsia="宋体" w:cs="Times New Roman"/>
                      <w:u w:val="none" w:color="auto"/>
                    </w:rPr>
                  </w:pPr>
                  <w:r>
                    <w:rPr>
                      <w:rFonts w:hint="default" w:ascii="Times New Roman" w:hAnsi="Times New Roman" w:eastAsia="宋体" w:cs="Times New Roman"/>
                      <w:u w:val="none" w:color="auto"/>
                    </w:rPr>
                    <w:t>大气污染物总量控制指标</w:t>
                  </w:r>
                </w:p>
              </w:tc>
              <w:tc>
                <w:tcPr>
                  <w:tcW w:w="1443" w:type="dxa"/>
                  <w:tcBorders>
                    <w:tl2br w:val="nil"/>
                    <w:tr2bl w:val="nil"/>
                  </w:tcBorders>
                  <w:vAlign w:val="center"/>
                </w:tcPr>
                <w:p>
                  <w:pPr>
                    <w:pStyle w:val="39"/>
                    <w:rPr>
                      <w:rFonts w:hint="default" w:ascii="Times New Roman" w:hAnsi="Times New Roman" w:eastAsia="宋体" w:cs="Times New Roman"/>
                      <w:u w:val="none" w:color="auto"/>
                    </w:rPr>
                  </w:pPr>
                  <w:r>
                    <w:rPr>
                      <w:rFonts w:hint="default" w:ascii="Times New Roman" w:hAnsi="Times New Roman" w:eastAsia="宋体" w:cs="Times New Roman"/>
                      <w:u w:val="none" w:color="auto"/>
                    </w:rPr>
                    <w:t>1</w:t>
                  </w:r>
                </w:p>
              </w:tc>
              <w:tc>
                <w:tcPr>
                  <w:tcW w:w="248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rPr>
                  </w:pPr>
                  <w:r>
                    <w:rPr>
                      <w:rFonts w:hint="default" w:ascii="Times New Roman" w:hAnsi="Times New Roman" w:cs="Times New Roman"/>
                      <w:sz w:val="21"/>
                      <w:szCs w:val="21"/>
                      <w:u w:val="none" w:color="auto"/>
                    </w:rPr>
                    <w:t>SO</w:t>
                  </w:r>
                  <w:r>
                    <w:rPr>
                      <w:rFonts w:hint="default" w:ascii="Times New Roman" w:hAnsi="Times New Roman" w:cs="Times New Roman"/>
                      <w:sz w:val="21"/>
                      <w:szCs w:val="21"/>
                      <w:u w:val="none" w:color="auto"/>
                      <w:vertAlign w:val="subscript"/>
                    </w:rPr>
                    <w:t>2</w:t>
                  </w:r>
                </w:p>
              </w:tc>
              <w:tc>
                <w:tcPr>
                  <w:tcW w:w="1914" w:type="dxa"/>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textAlignment w:val="auto"/>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130.40785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372" w:type="dxa"/>
                  <w:vMerge w:val="continue"/>
                  <w:tcBorders>
                    <w:tl2br w:val="nil"/>
                    <w:tr2bl w:val="nil"/>
                  </w:tcBorders>
                  <w:vAlign w:val="center"/>
                </w:tcPr>
                <w:p>
                  <w:pPr>
                    <w:pStyle w:val="39"/>
                    <w:rPr>
                      <w:rFonts w:hint="default" w:ascii="Times New Roman" w:hAnsi="Times New Roman" w:eastAsia="宋体" w:cs="Times New Roman"/>
                      <w:u w:val="none" w:color="auto"/>
                    </w:rPr>
                  </w:pPr>
                </w:p>
              </w:tc>
              <w:tc>
                <w:tcPr>
                  <w:tcW w:w="1443" w:type="dxa"/>
                  <w:tcBorders>
                    <w:tl2br w:val="nil"/>
                    <w:tr2bl w:val="nil"/>
                  </w:tcBorders>
                  <w:vAlign w:val="center"/>
                </w:tcPr>
                <w:p>
                  <w:pPr>
                    <w:pStyle w:val="39"/>
                    <w:rPr>
                      <w:rFonts w:hint="default" w:ascii="Times New Roman" w:hAnsi="Times New Roman" w:eastAsia="宋体" w:cs="Times New Roman"/>
                      <w:u w:val="none" w:color="auto"/>
                      <w:lang w:val="en-US"/>
                    </w:rPr>
                  </w:pPr>
                  <w:r>
                    <w:rPr>
                      <w:rFonts w:hint="default" w:ascii="Times New Roman" w:hAnsi="Times New Roman" w:eastAsia="宋体" w:cs="Times New Roman"/>
                      <w:u w:val="none" w:color="auto"/>
                      <w:lang w:val="en-US"/>
                    </w:rPr>
                    <w:t>2</w:t>
                  </w:r>
                </w:p>
              </w:tc>
              <w:tc>
                <w:tcPr>
                  <w:tcW w:w="248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rPr>
                  </w:pPr>
                  <w:r>
                    <w:rPr>
                      <w:rFonts w:hint="default" w:ascii="Times New Roman" w:hAnsi="Times New Roman" w:cs="Times New Roman"/>
                      <w:sz w:val="21"/>
                      <w:szCs w:val="21"/>
                      <w:u w:val="none" w:color="auto"/>
                      <w:lang w:val="en-US" w:eastAsia="zh-CN"/>
                    </w:rPr>
                    <w:t>颗粒物</w:t>
                  </w:r>
                </w:p>
              </w:tc>
              <w:tc>
                <w:tcPr>
                  <w:tcW w:w="1914" w:type="dxa"/>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textAlignment w:val="auto"/>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383.52125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372" w:type="dxa"/>
                  <w:vMerge w:val="continue"/>
                  <w:tcBorders>
                    <w:tl2br w:val="nil"/>
                    <w:tr2bl w:val="nil"/>
                  </w:tcBorders>
                  <w:vAlign w:val="center"/>
                </w:tcPr>
                <w:p>
                  <w:pPr>
                    <w:pStyle w:val="39"/>
                    <w:rPr>
                      <w:rFonts w:hint="default" w:ascii="Times New Roman" w:hAnsi="Times New Roman" w:eastAsia="宋体" w:cs="Times New Roman"/>
                      <w:u w:val="none" w:color="auto"/>
                    </w:rPr>
                  </w:pPr>
                </w:p>
              </w:tc>
              <w:tc>
                <w:tcPr>
                  <w:tcW w:w="1443" w:type="dxa"/>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3</w:t>
                  </w:r>
                </w:p>
              </w:tc>
              <w:tc>
                <w:tcPr>
                  <w:tcW w:w="248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u w:val="none" w:color="auto"/>
                    </w:rPr>
                  </w:pPr>
                  <w:r>
                    <w:rPr>
                      <w:rFonts w:hint="default" w:ascii="Times New Roman" w:hAnsi="Times New Roman" w:cs="Times New Roman"/>
                      <w:sz w:val="21"/>
                      <w:szCs w:val="21"/>
                      <w:u w:val="none" w:color="auto"/>
                    </w:rPr>
                    <w:t>NOx</w:t>
                  </w:r>
                </w:p>
              </w:tc>
              <w:tc>
                <w:tcPr>
                  <w:tcW w:w="1914" w:type="dxa"/>
                  <w:tcBorders>
                    <w:tl2br w:val="nil"/>
                    <w:tr2bl w:val="nil"/>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firstLine="0" w:firstLineChars="0"/>
                    <w:textAlignment w:val="auto"/>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214.7576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372" w:type="dxa"/>
                  <w:vMerge w:val="continue"/>
                  <w:tcBorders>
                    <w:tl2br w:val="nil"/>
                    <w:tr2bl w:val="nil"/>
                  </w:tcBorders>
                  <w:vAlign w:val="center"/>
                </w:tcPr>
                <w:p>
                  <w:pPr>
                    <w:pStyle w:val="39"/>
                    <w:rPr>
                      <w:rFonts w:hint="default" w:ascii="Times New Roman" w:hAnsi="Times New Roman" w:eastAsia="宋体" w:cs="Times New Roman"/>
                      <w:u w:val="none" w:color="auto"/>
                    </w:rPr>
                  </w:pPr>
                </w:p>
              </w:tc>
              <w:tc>
                <w:tcPr>
                  <w:tcW w:w="1443" w:type="dxa"/>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4</w:t>
                  </w:r>
                </w:p>
              </w:tc>
              <w:tc>
                <w:tcPr>
                  <w:tcW w:w="2489" w:type="dxa"/>
                  <w:tcBorders>
                    <w:tl2br w:val="nil"/>
                    <w:tr2bl w:val="nil"/>
                  </w:tcBorders>
                  <w:vAlign w:val="center"/>
                </w:tcPr>
                <w:p>
                  <w:pPr>
                    <w:pStyle w:val="39"/>
                    <w:ind w:firstLine="0" w:firstLineChars="0"/>
                    <w:rPr>
                      <w:rFonts w:hint="default" w:ascii="Times New Roman" w:hAnsi="Times New Roman" w:eastAsia="宋体" w:cs="Times New Roman"/>
                      <w:b w:val="0"/>
                      <w:bCs w:val="0"/>
                      <w:sz w:val="21"/>
                      <w:szCs w:val="21"/>
                      <w:u w:val="none" w:color="auto"/>
                      <w:lang w:val="zh-CN" w:eastAsia="zh-CN" w:bidi="zh-CN"/>
                    </w:rPr>
                  </w:pPr>
                  <w:r>
                    <w:rPr>
                      <w:rFonts w:hint="default" w:ascii="Times New Roman" w:hAnsi="Times New Roman" w:cs="Times New Roman"/>
                      <w:b w:val="0"/>
                      <w:bCs w:val="0"/>
                      <w:sz w:val="21"/>
                      <w:szCs w:val="21"/>
                      <w:u w:val="none" w:color="auto"/>
                    </w:rPr>
                    <w:t>氨</w:t>
                  </w:r>
                </w:p>
              </w:tc>
              <w:tc>
                <w:tcPr>
                  <w:tcW w:w="1914" w:type="dxa"/>
                  <w:tcBorders>
                    <w:tl2br w:val="nil"/>
                    <w:tr2bl w:val="nil"/>
                  </w:tcBorders>
                  <w:vAlign w:val="center"/>
                </w:tcPr>
                <w:p>
                  <w:pPr>
                    <w:pStyle w:val="39"/>
                    <w:ind w:firstLine="0" w:firstLineChars="0"/>
                    <w:rPr>
                      <w:rFonts w:hint="default" w:ascii="Times New Roman" w:hAnsi="Times New Roman" w:eastAsia="宋体" w:cs="Times New Roman"/>
                      <w:u w:val="none" w:color="auto"/>
                      <w:lang w:val="en-US" w:eastAsia="zh-CN"/>
                    </w:rPr>
                  </w:pPr>
                  <w:r>
                    <w:rPr>
                      <w:rFonts w:hint="eastAsia" w:cs="Times New Roman"/>
                      <w:b w:val="0"/>
                      <w:bCs w:val="0"/>
                      <w:sz w:val="21"/>
                      <w:szCs w:val="21"/>
                      <w:u w:val="none" w:color="auto"/>
                      <w:lang w:val="en-US" w:eastAsia="zh-CN"/>
                    </w:rPr>
                    <w:t>16.57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372" w:type="dxa"/>
                  <w:vMerge w:val="continue"/>
                  <w:tcBorders>
                    <w:tl2br w:val="nil"/>
                    <w:tr2bl w:val="nil"/>
                  </w:tcBorders>
                  <w:vAlign w:val="center"/>
                </w:tcPr>
                <w:p>
                  <w:pPr>
                    <w:pStyle w:val="39"/>
                    <w:rPr>
                      <w:rFonts w:hint="default" w:ascii="Times New Roman" w:hAnsi="Times New Roman" w:eastAsia="宋体" w:cs="Times New Roman"/>
                      <w:u w:val="none" w:color="auto"/>
                    </w:rPr>
                  </w:pPr>
                </w:p>
              </w:tc>
              <w:tc>
                <w:tcPr>
                  <w:tcW w:w="1443" w:type="dxa"/>
                  <w:tcBorders>
                    <w:tl2br w:val="nil"/>
                    <w:tr2bl w:val="nil"/>
                  </w:tcBorders>
                  <w:vAlign w:val="center"/>
                </w:tcPr>
                <w:p>
                  <w:pPr>
                    <w:pStyle w:val="39"/>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5</w:t>
                  </w:r>
                </w:p>
              </w:tc>
              <w:tc>
                <w:tcPr>
                  <w:tcW w:w="2489" w:type="dxa"/>
                  <w:tcBorders>
                    <w:tl2br w:val="nil"/>
                    <w:tr2bl w:val="nil"/>
                  </w:tcBorders>
                  <w:vAlign w:val="center"/>
                </w:tcPr>
                <w:p>
                  <w:pPr>
                    <w:pStyle w:val="39"/>
                    <w:ind w:firstLine="0" w:firstLineChars="0"/>
                    <w:rPr>
                      <w:rFonts w:hint="default" w:ascii="Times New Roman" w:hAnsi="Times New Roman" w:eastAsia="宋体" w:cs="Times New Roman"/>
                      <w:b w:val="0"/>
                      <w:bCs w:val="0"/>
                      <w:sz w:val="21"/>
                      <w:szCs w:val="21"/>
                      <w:u w:val="none" w:color="auto"/>
                      <w:lang w:val="zh-CN" w:eastAsia="zh-CN" w:bidi="zh-CN"/>
                    </w:rPr>
                  </w:pPr>
                  <w:r>
                    <w:rPr>
                      <w:rFonts w:hint="default" w:ascii="Times New Roman" w:hAnsi="Times New Roman" w:cs="Times New Roman"/>
                      <w:b w:val="0"/>
                      <w:bCs w:val="0"/>
                      <w:sz w:val="21"/>
                      <w:szCs w:val="21"/>
                      <w:u w:val="none" w:color="auto"/>
                    </w:rPr>
                    <w:t>硫化氢</w:t>
                  </w:r>
                </w:p>
              </w:tc>
              <w:tc>
                <w:tcPr>
                  <w:tcW w:w="1914" w:type="dxa"/>
                  <w:tcBorders>
                    <w:tl2br w:val="nil"/>
                    <w:tr2bl w:val="nil"/>
                  </w:tcBorders>
                  <w:vAlign w:val="center"/>
                </w:tcPr>
                <w:p>
                  <w:pPr>
                    <w:pStyle w:val="39"/>
                    <w:ind w:firstLine="0" w:firstLineChars="0"/>
                    <w:rPr>
                      <w:rFonts w:hint="default" w:ascii="Times New Roman" w:hAnsi="Times New Roman" w:eastAsia="宋体" w:cs="Times New Roman"/>
                      <w:u w:val="none" w:color="auto"/>
                      <w:lang w:val="en-US" w:eastAsia="zh-CN"/>
                    </w:rPr>
                  </w:pPr>
                  <w:r>
                    <w:rPr>
                      <w:rFonts w:hint="eastAsia" w:cs="Times New Roman"/>
                      <w:b w:val="0"/>
                      <w:bCs w:val="0"/>
                      <w:sz w:val="21"/>
                      <w:szCs w:val="21"/>
                      <w:u w:val="none" w:color="auto"/>
                      <w:lang w:val="en-US" w:eastAsia="zh-CN"/>
                    </w:rPr>
                    <w:t>0.642</w:t>
                  </w:r>
                </w:p>
              </w:tc>
            </w:tr>
          </w:tbl>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w:t>
            </w:r>
            <w:r>
              <w:rPr>
                <w:rFonts w:hint="default"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rPr>
              <w:t>）监测计划</w:t>
            </w:r>
          </w:p>
          <w:p>
            <w:pPr>
              <w:widowControl/>
              <w:ind w:firstLine="480"/>
              <w:jc w:val="left"/>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根据《固定污染源排污许可分类管理名录》（2019），本项目属于简化管理。</w:t>
            </w:r>
          </w:p>
          <w:p>
            <w:pPr>
              <w:wordWrap/>
              <w:overflowPunct w:val="0"/>
              <w:topLinePunct w:val="0"/>
              <w:autoSpaceDE w:val="0"/>
              <w:autoSpaceDN w:val="0"/>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依据《排污许可证申请与核发技术规范—食品制造工业—方便食品、食品及饲料添加剂制造工业》（HJ1030.3-2019）和</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rPr>
              <w:t>排污单位自行监测技术指南 食品制造》（HJ1084-2020），本项目运营期废气监测计划如下表所示。</w:t>
            </w:r>
          </w:p>
          <w:p>
            <w:pPr>
              <w:pStyle w:val="43"/>
              <w:bidi w:val="0"/>
              <w:rPr>
                <w:rFonts w:hint="default" w:ascii="Times New Roman" w:hAnsi="Times New Roman" w:cs="Times New Roman"/>
                <w:u w:val="none" w:color="auto"/>
                <w:lang w:val="en-US"/>
              </w:rPr>
            </w:pPr>
            <w:r>
              <w:rPr>
                <w:rFonts w:hint="default" w:ascii="Times New Roman" w:hAnsi="Times New Roman" w:cs="Times New Roman"/>
                <w:u w:val="none" w:color="auto"/>
                <w:lang w:val="en-US"/>
              </w:rPr>
              <w:t>表4</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lang w:val="en-US"/>
              </w:rPr>
              <w:t>-</w:t>
            </w:r>
            <w:r>
              <w:rPr>
                <w:rFonts w:hint="eastAsia" w:ascii="Times New Roman" w:hAnsi="Times New Roman" w:cs="Times New Roman"/>
                <w:u w:val="none" w:color="auto"/>
                <w:lang w:val="en-US" w:eastAsia="zh-CN"/>
              </w:rPr>
              <w:t>2</w:t>
            </w:r>
            <w:r>
              <w:rPr>
                <w:rFonts w:hint="eastAsia" w:cs="Times New Roman"/>
                <w:u w:val="none" w:color="auto"/>
                <w:lang w:val="en-US" w:eastAsia="zh-CN"/>
              </w:rPr>
              <w:t>0</w:t>
            </w:r>
            <w:r>
              <w:rPr>
                <w:rFonts w:hint="default" w:ascii="Times New Roman" w:hAnsi="Times New Roman" w:cs="Times New Roman"/>
                <w:u w:val="none" w:color="auto"/>
                <w:lang w:val="en-US"/>
              </w:rPr>
              <w:t>：废气自行监测计划</w:t>
            </w:r>
          </w:p>
          <w:tbl>
            <w:tblPr>
              <w:tblStyle w:val="29"/>
              <w:tblW w:w="81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32"/>
              <w:gridCol w:w="2311"/>
              <w:gridCol w:w="1450"/>
              <w:gridCol w:w="32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1132"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监测点位</w:t>
                  </w:r>
                </w:p>
              </w:tc>
              <w:tc>
                <w:tcPr>
                  <w:tcW w:w="2311"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监测指标</w:t>
                  </w:r>
                </w:p>
              </w:tc>
              <w:tc>
                <w:tcPr>
                  <w:tcW w:w="1450"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监测频次</w:t>
                  </w:r>
                </w:p>
              </w:tc>
              <w:tc>
                <w:tcPr>
                  <w:tcW w:w="3265"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执行排放标准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1" w:hRule="atLeast"/>
                <w:jc w:val="center"/>
              </w:trPr>
              <w:tc>
                <w:tcPr>
                  <w:tcW w:w="1132" w:type="dxa"/>
                  <w:tcBorders>
                    <w:tl2br w:val="nil"/>
                    <w:tr2bl w:val="nil"/>
                  </w:tcBorders>
                  <w:vAlign w:val="center"/>
                </w:tcPr>
                <w:p>
                  <w:pPr>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sz w:val="21"/>
                      <w:szCs w:val="21"/>
                      <w:u w:val="none" w:color="auto"/>
                      <w:lang w:val="en-US" w:eastAsia="zh-CN"/>
                    </w:rPr>
                    <w:t>DA001</w:t>
                  </w:r>
                </w:p>
              </w:tc>
              <w:tc>
                <w:tcPr>
                  <w:tcW w:w="2311" w:type="dxa"/>
                  <w:tcBorders>
                    <w:tl2br w:val="nil"/>
                    <w:tr2bl w:val="nil"/>
                  </w:tcBorders>
                  <w:vAlign w:val="center"/>
                </w:tcPr>
                <w:p>
                  <w:pPr>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sz w:val="21"/>
                      <w:szCs w:val="21"/>
                      <w:u w:val="none" w:color="auto"/>
                      <w:lang w:val="en-US"/>
                    </w:rPr>
                    <w:t>颗粒物、二氧化硫、氮氧化物、林格曼黑度</w:t>
                  </w:r>
                </w:p>
              </w:tc>
              <w:tc>
                <w:tcPr>
                  <w:tcW w:w="1450" w:type="dxa"/>
                  <w:tcBorders>
                    <w:tl2br w:val="nil"/>
                    <w:tr2bl w:val="nil"/>
                  </w:tcBorders>
                  <w:vAlign w:val="center"/>
                </w:tcPr>
                <w:p>
                  <w:pPr>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color w:val="auto"/>
                      <w:u w:val="none" w:color="auto"/>
                      <w:lang w:val="en-US"/>
                    </w:rPr>
                  </w:pPr>
                  <w:r>
                    <w:rPr>
                      <w:rFonts w:hint="default" w:ascii="Times New Roman" w:hAnsi="Times New Roman" w:eastAsia="宋体" w:cs="Times New Roman"/>
                      <w:sz w:val="21"/>
                      <w:szCs w:val="21"/>
                      <w:u w:val="none" w:color="auto"/>
                      <w:lang w:val="en-US"/>
                    </w:rPr>
                    <w:t>每月一次</w:t>
                  </w:r>
                </w:p>
              </w:tc>
              <w:tc>
                <w:tcPr>
                  <w:tcW w:w="3265" w:type="dxa"/>
                  <w:tcBorders>
                    <w:tl2br w:val="nil"/>
                    <w:tr2bl w:val="nil"/>
                  </w:tcBorders>
                  <w:vAlign w:val="center"/>
                </w:tcPr>
                <w:p>
                  <w:pPr>
                    <w:wordWrap/>
                    <w:overflowPunct w:val="0"/>
                    <w:topLinePunct w:val="0"/>
                    <w:autoSpaceDE w:val="0"/>
                    <w:autoSpaceDN w:val="0"/>
                    <w:snapToGrid w:val="0"/>
                    <w:spacing w:line="240" w:lineRule="auto"/>
                    <w:ind w:firstLine="0" w:firstLineChars="0"/>
                    <w:jc w:val="center"/>
                    <w:rPr>
                      <w:rFonts w:hint="default" w:ascii="Times New Roman" w:hAnsi="Times New Roman" w:eastAsia="宋体" w:cs="Times New Roman"/>
                      <w:color w:val="auto"/>
                      <w:u w:val="none" w:color="auto"/>
                      <w:lang w:val="en-US"/>
                    </w:rPr>
                  </w:pPr>
                  <w:r>
                    <w:rPr>
                      <w:rFonts w:hint="default" w:ascii="Times New Roman" w:hAnsi="Times New Roman" w:eastAsia="宋体" w:cs="Times New Roman"/>
                      <w:sz w:val="21"/>
                      <w:szCs w:val="21"/>
                      <w:u w:val="none" w:color="auto"/>
                      <w:lang w:val="en-US"/>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6" w:hRule="atLeast"/>
                <w:jc w:val="center"/>
              </w:trPr>
              <w:tc>
                <w:tcPr>
                  <w:tcW w:w="1132"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厂界</w:t>
                  </w:r>
                </w:p>
              </w:tc>
              <w:tc>
                <w:tcPr>
                  <w:tcW w:w="2311"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硫化氢、氨、</w:t>
                  </w:r>
                  <w:r>
                    <w:rPr>
                      <w:rFonts w:hint="default" w:ascii="Times New Roman" w:hAnsi="Times New Roman" w:eastAsia="宋体" w:cs="Times New Roman"/>
                      <w:color w:val="auto"/>
                      <w:u w:val="none" w:color="auto"/>
                      <w:lang w:val="en-US"/>
                    </w:rPr>
                    <w:t>臭气浓度</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lang w:val="en-US" w:eastAsia="zh-CN"/>
                    </w:rPr>
                    <w:t>颗粒物</w:t>
                  </w:r>
                </w:p>
              </w:tc>
              <w:tc>
                <w:tcPr>
                  <w:tcW w:w="1450"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每半年一次</w:t>
                  </w:r>
                </w:p>
              </w:tc>
              <w:tc>
                <w:tcPr>
                  <w:tcW w:w="3265"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《恶臭污染物排放标准》（GB14554-93）</w:t>
                  </w:r>
                </w:p>
              </w:tc>
            </w:tr>
          </w:tbl>
          <w:p>
            <w:pPr>
              <w:rPr>
                <w:rFonts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9</w:t>
            </w:r>
            <w:r>
              <w:rPr>
                <w:rFonts w:hint="default" w:ascii="Times New Roman" w:hAnsi="Times New Roman" w:cs="Times New Roman"/>
                <w:highlight w:val="none"/>
                <w:lang w:eastAsia="zh-CN"/>
              </w:rPr>
              <w:t>）</w:t>
            </w:r>
            <w:r>
              <w:rPr>
                <w:rFonts w:ascii="Times New Roman" w:hAnsi="Times New Roman" w:cs="Times New Roman"/>
                <w:highlight w:val="none"/>
              </w:rPr>
              <w:t>废气对敏感目标的影响</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项目产生的废气中主要为</w:t>
            </w:r>
            <w:r>
              <w:rPr>
                <w:rFonts w:hint="eastAsia" w:ascii="Times New Roman" w:hAnsi="Times New Roman" w:cs="Times New Roman"/>
                <w:lang w:val="en-US" w:eastAsia="zh-CN"/>
              </w:rPr>
              <w:t>二氧化硫、氮氧化物、颗粒物，以及</w:t>
            </w:r>
            <w:r>
              <w:rPr>
                <w:rFonts w:hint="default" w:ascii="Times New Roman" w:hAnsi="Times New Roman" w:cs="Times New Roman"/>
                <w:color w:val="auto"/>
                <w:u w:val="none" w:color="auto"/>
                <w:lang w:val="en-US" w:eastAsia="zh-CN"/>
              </w:rPr>
              <w:t>发酵异味</w:t>
            </w:r>
            <w:r>
              <w:rPr>
                <w:rFonts w:hint="eastAsia" w:ascii="Times New Roman" w:hAnsi="Times New Roman" w:cs="Times New Roman"/>
                <w:color w:val="auto"/>
                <w:u w:val="none" w:color="auto"/>
                <w:lang w:val="en-US" w:eastAsia="zh-CN"/>
              </w:rPr>
              <w:t>、污水处理站恶臭气体</w:t>
            </w:r>
            <w:r>
              <w:rPr>
                <w:rFonts w:hint="default" w:ascii="Times New Roman" w:hAnsi="Times New Roman" w:cs="Times New Roman"/>
                <w:lang w:val="en-US" w:eastAsia="zh-CN"/>
              </w:rPr>
              <w:t>，项目选址位于湖南省</w:t>
            </w:r>
            <w:r>
              <w:rPr>
                <w:rFonts w:hint="eastAsia" w:ascii="Times New Roman" w:hAnsi="Times New Roman" w:cs="Times New Roman"/>
                <w:lang w:val="en-US" w:eastAsia="zh-CN"/>
              </w:rPr>
              <w:t>泸溪县武溪镇红土溪村</w:t>
            </w:r>
            <w:r>
              <w:rPr>
                <w:rFonts w:hint="default" w:ascii="Times New Roman" w:hAnsi="Times New Roman" w:cs="Times New Roman"/>
                <w:lang w:eastAsia="zh-CN"/>
              </w:rPr>
              <w:t>，</w:t>
            </w:r>
            <w:r>
              <w:rPr>
                <w:rFonts w:ascii="Times New Roman" w:hAnsi="Times New Roman" w:cs="Times New Roman"/>
                <w:color w:val="000000"/>
                <w:szCs w:val="24"/>
              </w:rPr>
              <w:t>项目选址周边</w:t>
            </w:r>
            <w:r>
              <w:rPr>
                <w:rFonts w:hint="eastAsia" w:ascii="Times New Roman" w:hAnsi="Times New Roman" w:cs="Times New Roman"/>
                <w:color w:val="000000"/>
                <w:szCs w:val="24"/>
                <w:lang w:val="en-US" w:eastAsia="zh-CN"/>
              </w:rPr>
              <w:t>50</w:t>
            </w:r>
            <w:r>
              <w:rPr>
                <w:rFonts w:ascii="Times New Roman" w:hAnsi="Times New Roman" w:cs="Times New Roman"/>
                <w:color w:val="000000"/>
                <w:szCs w:val="24"/>
              </w:rPr>
              <w:t>m范围内</w:t>
            </w:r>
            <w:r>
              <w:rPr>
                <w:rFonts w:hint="eastAsia" w:ascii="Times New Roman" w:hAnsi="Times New Roman" w:cs="Times New Roman"/>
                <w:u w:val="none" w:color="auto"/>
                <w:lang w:val="en-US" w:eastAsia="zh-CN"/>
              </w:rPr>
              <w:t>存在</w:t>
            </w:r>
            <w:r>
              <w:rPr>
                <w:rFonts w:hint="default" w:ascii="Times New Roman" w:hAnsi="Times New Roman" w:cs="Times New Roman"/>
                <w:u w:val="none" w:color="auto"/>
                <w:lang w:val="en-US" w:eastAsia="zh-CN"/>
              </w:rPr>
              <w:t>红土溪村散户</w:t>
            </w:r>
            <w:r>
              <w:rPr>
                <w:rFonts w:hint="eastAsia" w:cs="Times New Roman"/>
                <w:u w:val="none" w:color="auto"/>
                <w:lang w:val="en-US" w:eastAsia="zh-CN"/>
              </w:rPr>
              <w:t>1户</w:t>
            </w:r>
            <w:r>
              <w:rPr>
                <w:rFonts w:hint="default" w:ascii="Times New Roman" w:hAnsi="Times New Roman" w:cs="Times New Roman"/>
                <w:u w:val="none" w:color="auto"/>
                <w:lang w:val="en-US" w:eastAsia="zh-CN"/>
              </w:rPr>
              <w:t>，</w:t>
            </w:r>
            <w:r>
              <w:rPr>
                <w:rFonts w:hint="default" w:ascii="Times New Roman" w:hAnsi="Times New Roman" w:cs="Times New Roman"/>
                <w:u w:val="none" w:color="auto"/>
              </w:rPr>
              <w:t>该户居民仅在春节期间有人</w:t>
            </w:r>
            <w:r>
              <w:rPr>
                <w:rFonts w:hint="eastAsia" w:cs="Times New Roman"/>
                <w:u w:val="none" w:color="auto"/>
                <w:lang w:val="en-US" w:eastAsia="zh-CN"/>
              </w:rPr>
              <w:t>短暂</w:t>
            </w:r>
            <w:r>
              <w:rPr>
                <w:rFonts w:hint="default" w:ascii="Times New Roman" w:hAnsi="Times New Roman" w:cs="Times New Roman"/>
                <w:u w:val="none" w:color="auto"/>
              </w:rPr>
              <w:t>居住，其余时间闲置</w:t>
            </w:r>
            <w:r>
              <w:rPr>
                <w:rFonts w:hint="default" w:ascii="Times New Roman" w:hAnsi="Times New Roman" w:cs="Times New Roman"/>
                <w:u w:val="none" w:color="auto"/>
                <w:lang w:val="en-US" w:eastAsia="zh-CN"/>
              </w:rPr>
              <w:t>，</w:t>
            </w:r>
            <w:r>
              <w:rPr>
                <w:rFonts w:hint="eastAsia" w:cs="Times New Roman"/>
                <w:u w:val="none" w:color="auto"/>
                <w:lang w:val="en-US" w:eastAsia="zh-CN"/>
              </w:rPr>
              <w:t>其余</w:t>
            </w:r>
            <w:r>
              <w:rPr>
                <w:rFonts w:hint="default" w:ascii="Times New Roman" w:hAnsi="Times New Roman" w:cs="Times New Roman"/>
                <w:u w:val="none" w:color="auto"/>
                <w:lang w:val="en-US" w:eastAsia="zh-CN"/>
              </w:rPr>
              <w:t>均为空房</w:t>
            </w:r>
            <w:r>
              <w:rPr>
                <w:rFonts w:ascii="Times New Roman" w:hAnsi="Times New Roman" w:cs="Times New Roman"/>
                <w:color w:val="000000"/>
                <w:szCs w:val="24"/>
              </w:rPr>
              <w:t>。</w:t>
            </w:r>
            <w:r>
              <w:rPr>
                <w:rFonts w:hint="eastAsia" w:ascii="Times New Roman" w:hAnsi="Times New Roman" w:cs="Times New Roman"/>
                <w:color w:val="000000"/>
                <w:szCs w:val="24"/>
                <w:lang w:val="en-US" w:eastAsia="zh-CN"/>
              </w:rPr>
              <w:t>锅炉</w:t>
            </w:r>
            <w:r>
              <w:rPr>
                <w:rFonts w:hint="default" w:ascii="Times New Roman" w:hAnsi="Times New Roman" w:cs="Times New Roman"/>
                <w:color w:val="000000"/>
                <w:szCs w:val="24"/>
                <w:lang w:val="en-US" w:eastAsia="zh-CN"/>
              </w:rPr>
              <w:t>废气通过</w:t>
            </w:r>
            <w:r>
              <w:rPr>
                <w:rFonts w:hint="default" w:ascii="Times New Roman" w:hAnsi="Times New Roman" w:cs="Times New Roman"/>
                <w:u w:val="none" w:color="auto"/>
                <w:lang w:val="en-US"/>
              </w:rPr>
              <w:t>采用</w:t>
            </w:r>
            <w:r>
              <w:rPr>
                <w:rFonts w:hint="default" w:ascii="Times New Roman" w:hAnsi="Times New Roman" w:cs="Times New Roman"/>
                <w:u w:val="none" w:color="auto"/>
                <w:lang w:val="en-US" w:eastAsia="zh-CN"/>
              </w:rPr>
              <w:t>低氮燃烧+湿式除尘</w:t>
            </w:r>
            <w:r>
              <w:rPr>
                <w:rFonts w:ascii="Times New Roman" w:hAnsi="Times New Roman" w:cs="Times New Roman"/>
                <w:u w:val="none" w:color="auto"/>
              </w:rPr>
              <w:t>技术</w:t>
            </w:r>
            <w:r>
              <w:rPr>
                <w:rFonts w:hint="default" w:ascii="Times New Roman" w:hAnsi="Times New Roman" w:cs="Times New Roman"/>
                <w:color w:val="000000"/>
                <w:szCs w:val="24"/>
                <w:lang w:val="en-US" w:eastAsia="zh-CN"/>
              </w:rPr>
              <w:t>处理后经</w:t>
            </w:r>
            <w:r>
              <w:rPr>
                <w:rFonts w:hint="eastAsia" w:ascii="Times New Roman" w:hAnsi="Times New Roman" w:cs="Times New Roman"/>
                <w:color w:val="000000"/>
                <w:szCs w:val="24"/>
                <w:lang w:val="en-US" w:eastAsia="zh-CN"/>
              </w:rPr>
              <w:t>20</w:t>
            </w:r>
            <w:r>
              <w:rPr>
                <w:rFonts w:hint="default" w:ascii="Times New Roman" w:hAnsi="Times New Roman" w:cs="Times New Roman"/>
                <w:color w:val="000000"/>
                <w:szCs w:val="24"/>
                <w:lang w:val="en-US" w:eastAsia="zh-CN"/>
              </w:rPr>
              <w:t>m排气筒排放，可达到</w:t>
            </w:r>
            <w:r>
              <w:rPr>
                <w:rFonts w:hint="default" w:ascii="Times New Roman" w:hAnsi="Times New Roman" w:cs="Times New Roman"/>
                <w:u w:val="none" w:color="auto"/>
                <w:lang w:eastAsia="zh-CN"/>
              </w:rPr>
              <w:t>《</w:t>
            </w:r>
            <w:r>
              <w:rPr>
                <w:rFonts w:ascii="Times New Roman" w:hAnsi="Times New Roman" w:cs="Times New Roman"/>
                <w:color w:val="auto"/>
                <w:u w:val="none" w:color="auto"/>
              </w:rPr>
              <w:t>锅炉大气污染物排放标准》（GB13271-2014）</w:t>
            </w:r>
            <w:r>
              <w:rPr>
                <w:rFonts w:hint="default" w:ascii="Times New Roman" w:hAnsi="Times New Roman" w:cs="Times New Roman"/>
                <w:lang w:val="en-US" w:eastAsia="zh-CN"/>
              </w:rPr>
              <w:t>，对周边环境影响较小，同时加强</w:t>
            </w:r>
            <w:r>
              <w:rPr>
                <w:rFonts w:hint="eastAsia" w:ascii="Times New Roman" w:hAnsi="Times New Roman" w:cs="Times New Roman"/>
                <w:lang w:val="en-US" w:eastAsia="zh-CN"/>
              </w:rPr>
              <w:t>车间通风</w:t>
            </w:r>
            <w:r>
              <w:rPr>
                <w:rFonts w:hint="default" w:ascii="Times New Roman" w:hAnsi="Times New Roman" w:cs="Times New Roman"/>
                <w:lang w:val="en-US" w:eastAsia="zh-CN"/>
              </w:rPr>
              <w:t>化，减轻废气对周边环境的影响。</w:t>
            </w:r>
          </w:p>
          <w:p>
            <w:pPr>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根据工程特点及结合项目现状和外环境关系，本次评价要求建设单位加强</w:t>
            </w:r>
            <w:r>
              <w:rPr>
                <w:rFonts w:hint="eastAsia" w:ascii="Times New Roman" w:hAnsi="Times New Roman" w:cs="Times New Roman"/>
                <w:color w:val="000000"/>
                <w:sz w:val="24"/>
                <w:szCs w:val="24"/>
                <w:lang w:val="en-US" w:eastAsia="zh-CN"/>
              </w:rPr>
              <w:t>废气</w:t>
            </w:r>
            <w:r>
              <w:rPr>
                <w:rFonts w:ascii="Times New Roman" w:hAnsi="Times New Roman" w:cs="Times New Roman"/>
                <w:color w:val="000000"/>
                <w:sz w:val="24"/>
                <w:szCs w:val="24"/>
              </w:rPr>
              <w:t>防治措施：</w:t>
            </w:r>
          </w:p>
          <w:p>
            <w:pPr>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①</w:t>
            </w:r>
            <w:r>
              <w:t>加强对车间的管理，减少非封闭环节造成的原料损失和粉尘产生。项目在输送时尽量不要拖拉米袋，避免扬尘，投料、搅拌工序上采用密封方式，并要求在这些工序旁边安装足够的抽风机，以保持车间内空气通畅</w:t>
            </w:r>
            <w:r>
              <w:rPr>
                <w:rFonts w:ascii="Times New Roman" w:hAnsi="Times New Roman" w:cs="Times New Roman"/>
                <w:color w:val="000000"/>
                <w:sz w:val="24"/>
                <w:szCs w:val="24"/>
              </w:rPr>
              <w:t>；</w:t>
            </w:r>
          </w:p>
          <w:p>
            <w:pPr>
              <w:spacing w:line="360" w:lineRule="auto"/>
              <w:ind w:firstLine="480"/>
              <w:rPr>
                <w:rFonts w:hint="default" w:ascii="Times New Roman" w:hAnsi="Times New Roman" w:cs="Times New Roman"/>
                <w:color w:val="000000"/>
                <w:sz w:val="24"/>
                <w:szCs w:val="24"/>
              </w:rPr>
            </w:pPr>
            <w:r>
              <w:rPr>
                <w:rFonts w:ascii="Times New Roman" w:hAnsi="Times New Roman" w:cs="Times New Roman"/>
                <w:color w:val="000000"/>
                <w:sz w:val="24"/>
                <w:szCs w:val="24"/>
              </w:rPr>
              <w:t>②</w:t>
            </w:r>
            <w:r>
              <w:t>对机器进行封闭式运行，每天按时清扫地面，废水应及时排放，以免废水因停留时间过长而发酵产生更大的异味。项目厂区内安装足够量的抽风设备，以保持厂区内空气流畅</w:t>
            </w:r>
            <w:r>
              <w:rPr>
                <w:rFonts w:hint="default" w:ascii="Times New Roman" w:hAnsi="Times New Roman" w:cs="Times New Roman"/>
                <w:color w:val="000000"/>
                <w:sz w:val="24"/>
                <w:szCs w:val="24"/>
                <w:lang w:eastAsia="zh-CN"/>
              </w:rPr>
              <w:t>；</w:t>
            </w:r>
          </w:p>
          <w:p>
            <w:pPr>
              <w:spacing w:line="360" w:lineRule="auto"/>
              <w:ind w:firstLine="480"/>
              <w:rPr>
                <w:rFonts w:hint="eastAsia" w:ascii="Times New Roman" w:hAnsi="Times New Roman" w:eastAsia="宋体" w:cs="Times New Roman"/>
                <w:color w:val="000000"/>
                <w:sz w:val="24"/>
                <w:szCs w:val="24"/>
                <w:lang w:eastAsia="zh-CN"/>
              </w:rPr>
            </w:pPr>
            <w:r>
              <w:rPr>
                <w:rFonts w:ascii="Times New Roman" w:hAnsi="Times New Roman" w:cs="Times New Roman"/>
                <w:color w:val="000000"/>
                <w:sz w:val="24"/>
                <w:szCs w:val="24"/>
              </w:rPr>
              <w:t>③</w:t>
            </w:r>
            <w:r>
              <w:rPr>
                <w:rFonts w:hint="eastAsia"/>
              </w:rPr>
              <w:t>为进一步降低锅炉废气对各敏感点的影响，本环评要求周边加强绿化，以吸收、稀释所产生废气，运营期间加强环境管理</w:t>
            </w:r>
            <w:r>
              <w:rPr>
                <w:rFonts w:hint="eastAsia"/>
                <w:lang w:eastAsia="zh-CN"/>
              </w:rPr>
              <w:t>。</w:t>
            </w:r>
          </w:p>
          <w:p>
            <w:pPr>
              <w:bidi w:val="0"/>
              <w:rPr>
                <w:rFonts w:hint="default"/>
                <w:lang w:val="en-US"/>
              </w:rPr>
            </w:pPr>
            <w:r>
              <w:rPr>
                <w:rFonts w:ascii="Times New Roman" w:hAnsi="Times New Roman" w:cs="Times New Roman"/>
              </w:rPr>
              <w:t>本项目废气在采取上述措施后对环境影响</w:t>
            </w:r>
            <w:r>
              <w:rPr>
                <w:rFonts w:hint="eastAsia" w:ascii="Times New Roman" w:hAnsi="Times New Roman" w:cs="Times New Roman"/>
                <w:lang w:val="en-US" w:eastAsia="zh-CN"/>
              </w:rPr>
              <w:t>较小</w:t>
            </w:r>
            <w:r>
              <w:rPr>
                <w:rFonts w:ascii="Times New Roman" w:hAnsi="Times New Roman" w:cs="Times New Roman"/>
              </w:rPr>
              <w:t>。</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4.2.3声环境影响分析</w:t>
            </w:r>
          </w:p>
          <w:p>
            <w:pPr>
              <w:wordWrap/>
              <w:overflowPunct w:val="0"/>
              <w:topLinePunct w:val="0"/>
              <w:autoSpaceDE w:val="0"/>
              <w:autoSpaceDN w:val="0"/>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（1）项目噪声源强</w:t>
            </w:r>
          </w:p>
          <w:p>
            <w:pPr>
              <w:wordWrap/>
              <w:overflowPunct w:val="0"/>
              <w:topLinePunct w:val="0"/>
              <w:autoSpaceDE w:val="0"/>
              <w:autoSpaceDN w:val="0"/>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项目噪声源主要来自各生产线的各种设备运行产生的噪声，其主要噪声源如下表所示</w:t>
            </w:r>
          </w:p>
          <w:p>
            <w:pPr>
              <w:pStyle w:val="43"/>
              <w:bidi w:val="0"/>
              <w:rPr>
                <w:rFonts w:hint="default" w:ascii="Times New Roman" w:hAnsi="Times New Roman" w:cs="Times New Roman"/>
                <w:u w:val="none" w:color="auto"/>
                <w:lang w:eastAsia="zh-CN"/>
              </w:rPr>
            </w:pPr>
            <w:r>
              <w:rPr>
                <w:rFonts w:hint="default" w:ascii="Times New Roman" w:hAnsi="Times New Roman" w:cs="Times New Roman"/>
                <w:u w:val="none" w:color="auto"/>
              </w:rPr>
              <w:t>表</w:t>
            </w:r>
            <w:r>
              <w:rPr>
                <w:rFonts w:hint="default" w:ascii="Times New Roman" w:hAnsi="Times New Roman" w:cs="Times New Roman"/>
                <w:u w:val="none" w:color="auto"/>
                <w:lang w:val="en-US"/>
              </w:rPr>
              <w:t>4</w:t>
            </w:r>
            <w:r>
              <w:rPr>
                <w:rFonts w:hint="default" w:ascii="Times New Roman" w:hAnsi="Times New Roman" w:cs="Times New Roman"/>
                <w:u w:val="none" w:color="auto"/>
                <w:lang w:val="en-US" w:eastAsia="zh-CN"/>
              </w:rPr>
              <w:t>.2</w:t>
            </w:r>
            <w:r>
              <w:rPr>
                <w:rFonts w:ascii="Times New Roman" w:hAnsi="Times New Roman" w:cs="Times New Roman"/>
                <w:u w:val="none" w:color="auto"/>
              </w:rPr>
              <w:t>-</w:t>
            </w:r>
            <w:r>
              <w:rPr>
                <w:rFonts w:hint="eastAsia" w:ascii="Times New Roman" w:hAnsi="Times New Roman" w:cs="Times New Roman"/>
                <w:u w:val="none" w:color="auto"/>
                <w:lang w:val="en-US" w:eastAsia="zh-CN"/>
              </w:rPr>
              <w:t>2</w:t>
            </w:r>
            <w:r>
              <w:rPr>
                <w:rFonts w:hint="eastAsia" w:cs="Times New Roman"/>
                <w:u w:val="none" w:color="auto"/>
                <w:lang w:val="en-US" w:eastAsia="zh-CN"/>
              </w:rPr>
              <w:t>1</w:t>
            </w:r>
            <w:r>
              <w:rPr>
                <w:rFonts w:hint="default" w:ascii="Times New Roman" w:hAnsi="Times New Roman" w:cs="Times New Roman"/>
                <w:u w:val="none" w:color="auto"/>
              </w:rPr>
              <w:t>：工程主要噪声源强</w:t>
            </w:r>
          </w:p>
          <w:tbl>
            <w:tblPr>
              <w:tblStyle w:val="29"/>
              <w:tblW w:w="484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53"/>
              <w:gridCol w:w="1151"/>
              <w:gridCol w:w="1058"/>
              <w:gridCol w:w="526"/>
              <w:gridCol w:w="777"/>
              <w:gridCol w:w="2207"/>
              <w:gridCol w:w="859"/>
              <w:gridCol w:w="9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序号</w:t>
                  </w:r>
                </w:p>
              </w:tc>
              <w:tc>
                <w:tcPr>
                  <w:tcW w:w="71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噪声源</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噪声源强dB(A)</w:t>
                  </w:r>
                </w:p>
              </w:tc>
              <w:tc>
                <w:tcPr>
                  <w:tcW w:w="325"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位置</w:t>
                  </w: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数量</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降噪措施</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排放强度</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声源类型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1</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洗米缸</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70</w:t>
                  </w:r>
                </w:p>
              </w:tc>
              <w:tc>
                <w:tcPr>
                  <w:tcW w:w="325"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生产区</w:t>
                  </w: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50</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2</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泡米缸</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65</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50</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3</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大米定量输送机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75</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rPr>
                    <w:t>5</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4</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淀粉缸</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75</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55</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5</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提升机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80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55</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6</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粉碎机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85</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60</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7</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提粉机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80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55</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8</w:t>
                  </w:r>
                </w:p>
              </w:tc>
              <w:tc>
                <w:tcPr>
                  <w:tcW w:w="711" w:type="pct"/>
                  <w:tcBorders>
                    <w:tl2br w:val="nil"/>
                    <w:tr2bl w:val="nil"/>
                  </w:tcBorders>
                  <w:vAlign w:val="center"/>
                </w:tcPr>
                <w:p>
                  <w:pPr>
                    <w:pStyle w:val="51"/>
                    <w:keepNext w:val="0"/>
                    <w:keepLines w:val="0"/>
                    <w:pageBreakBefore w:val="0"/>
                    <w:widowControl w:val="0"/>
                    <w:kinsoku/>
                    <w:wordWrap/>
                    <w:overflowPunct w:val="0"/>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喂料机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80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55</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9</w:t>
                  </w:r>
                </w:p>
              </w:tc>
              <w:tc>
                <w:tcPr>
                  <w:tcW w:w="711" w:type="pct"/>
                  <w:tcBorders>
                    <w:tl2br w:val="nil"/>
                    <w:tr2bl w:val="nil"/>
                  </w:tcBorders>
                  <w:vAlign w:val="center"/>
                </w:tcPr>
                <w:p>
                  <w:pPr>
                    <w:pStyle w:val="51"/>
                    <w:keepNext w:val="0"/>
                    <w:keepLines w:val="0"/>
                    <w:pageBreakBefore w:val="0"/>
                    <w:widowControl w:val="0"/>
                    <w:kinsoku/>
                    <w:wordWrap/>
                    <w:overflowPunct w:val="0"/>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和料机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80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55</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10</w:t>
                  </w:r>
                </w:p>
              </w:tc>
              <w:tc>
                <w:tcPr>
                  <w:tcW w:w="711" w:type="pct"/>
                  <w:tcBorders>
                    <w:tl2br w:val="nil"/>
                    <w:tr2bl w:val="nil"/>
                  </w:tcBorders>
                  <w:vAlign w:val="center"/>
                </w:tcPr>
                <w:p>
                  <w:pPr>
                    <w:pStyle w:val="51"/>
                    <w:keepNext w:val="0"/>
                    <w:keepLines w:val="0"/>
                    <w:pageBreakBefore w:val="0"/>
                    <w:widowControl w:val="0"/>
                    <w:kinsoku/>
                    <w:wordWrap/>
                    <w:overflowPunct w:val="0"/>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醒料机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75</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55</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11</w:t>
                  </w:r>
                </w:p>
              </w:tc>
              <w:tc>
                <w:tcPr>
                  <w:tcW w:w="711" w:type="pct"/>
                  <w:tcBorders>
                    <w:tl2br w:val="nil"/>
                    <w:tr2bl w:val="nil"/>
                  </w:tcBorders>
                  <w:vAlign w:val="bottom"/>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800蒸自熟化一体机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80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60</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12</w:t>
                  </w:r>
                </w:p>
              </w:tc>
              <w:tc>
                <w:tcPr>
                  <w:tcW w:w="711" w:type="pct"/>
                  <w:tcBorders>
                    <w:tl2br w:val="nil"/>
                    <w:tr2bl w:val="nil"/>
                  </w:tcBorders>
                  <w:vAlign w:val="bottom"/>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800强力挤条挤丝机组</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80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60</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13</w:t>
                  </w:r>
                </w:p>
              </w:tc>
              <w:tc>
                <w:tcPr>
                  <w:tcW w:w="711" w:type="pct"/>
                  <w:tcBorders>
                    <w:tl2br w:val="nil"/>
                    <w:tr2bl w:val="nil"/>
                  </w:tcBorders>
                  <w:vAlign w:val="bottom"/>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18强风散丝机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rPr>
                    <w:t>8</w:t>
                  </w:r>
                  <w:r>
                    <w:rPr>
                      <w:rFonts w:hint="default" w:ascii="Times New Roman" w:hAnsi="Times New Roman" w:eastAsia="宋体" w:cs="Times New Roman"/>
                      <w:color w:val="auto"/>
                      <w:u w:val="none" w:color="auto"/>
                      <w:lang w:val="en-US" w:eastAsia="zh-CN"/>
                    </w:rPr>
                    <w:t>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rPr>
                    <w:t>6</w:t>
                  </w:r>
                  <w:r>
                    <w:rPr>
                      <w:rFonts w:hint="default" w:ascii="Times New Roman" w:hAnsi="Times New Roman" w:eastAsia="宋体" w:cs="Times New Roman"/>
                      <w:color w:val="auto"/>
                      <w:u w:val="none" w:color="auto"/>
                      <w:lang w:val="en-US" w:eastAsia="zh-CN"/>
                    </w:rPr>
                    <w:t>0</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14</w:t>
                  </w:r>
                </w:p>
              </w:tc>
              <w:tc>
                <w:tcPr>
                  <w:tcW w:w="711" w:type="pct"/>
                  <w:tcBorders>
                    <w:tl2br w:val="nil"/>
                    <w:tr2bl w:val="nil"/>
                  </w:tcBorders>
                  <w:vAlign w:val="bottom"/>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18型风冷结膜机</w:t>
                  </w:r>
                </w:p>
              </w:tc>
              <w:tc>
                <w:tcPr>
                  <w:tcW w:w="65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rPr>
                    <w:t>8</w:t>
                  </w:r>
                  <w:r>
                    <w:rPr>
                      <w:rFonts w:hint="default" w:ascii="Times New Roman" w:hAnsi="Times New Roman" w:eastAsia="宋体" w:cs="Times New Roman"/>
                      <w:color w:val="auto"/>
                      <w:u w:val="none" w:color="auto"/>
                      <w:lang w:val="en-US" w:eastAsia="zh-CN"/>
                    </w:rPr>
                    <w:t>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rPr>
                    <w:t>6</w:t>
                  </w:r>
                  <w:r>
                    <w:rPr>
                      <w:rFonts w:hint="default" w:ascii="Times New Roman" w:hAnsi="Times New Roman" w:eastAsia="宋体" w:cs="Times New Roman"/>
                      <w:color w:val="auto"/>
                      <w:u w:val="none" w:color="auto"/>
                      <w:lang w:val="en-US" w:eastAsia="zh-CN"/>
                    </w:rPr>
                    <w:t>0</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15</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热水浴机</w:t>
                  </w:r>
                </w:p>
              </w:tc>
              <w:tc>
                <w:tcPr>
                  <w:tcW w:w="654" w:type="pct"/>
                  <w:tcBorders>
                    <w:tl2br w:val="nil"/>
                    <w:tr2bl w:val="nil"/>
                  </w:tcBorders>
                  <w:vAlign w:val="center"/>
                </w:tcPr>
                <w:p>
                  <w:pPr>
                    <w:pStyle w:val="51"/>
                    <w:widowControl w:val="0"/>
                    <w:wordWrap/>
                    <w:overflowPunct w:val="0"/>
                    <w:topLinePunct w:val="0"/>
                    <w:autoSpaceDE w:val="0"/>
                    <w:autoSpaceDN w:val="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50</w:t>
                  </w:r>
                </w:p>
              </w:tc>
              <w:tc>
                <w:tcPr>
                  <w:tcW w:w="59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16</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冷水浴机</w:t>
                  </w:r>
                </w:p>
              </w:tc>
              <w:tc>
                <w:tcPr>
                  <w:tcW w:w="654" w:type="pct"/>
                  <w:tcBorders>
                    <w:tl2br w:val="nil"/>
                    <w:tr2bl w:val="nil"/>
                  </w:tcBorders>
                  <w:vAlign w:val="center"/>
                </w:tcPr>
                <w:p>
                  <w:pPr>
                    <w:pStyle w:val="51"/>
                    <w:widowControl w:val="0"/>
                    <w:wordWrap/>
                    <w:overflowPunct w:val="0"/>
                    <w:topLinePunct w:val="0"/>
                    <w:autoSpaceDE w:val="0"/>
                    <w:autoSpaceDN w:val="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50</w:t>
                  </w:r>
                </w:p>
              </w:tc>
              <w:tc>
                <w:tcPr>
                  <w:tcW w:w="59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17</w:t>
                  </w:r>
                </w:p>
              </w:tc>
              <w:tc>
                <w:tcPr>
                  <w:tcW w:w="711" w:type="pct"/>
                  <w:tcBorders>
                    <w:tl2br w:val="nil"/>
                    <w:tr2bl w:val="nil"/>
                  </w:tcBorders>
                  <w:vAlign w:val="center"/>
                </w:tcPr>
                <w:p>
                  <w:pPr>
                    <w:pStyle w:val="51"/>
                    <w:widowControl w:val="0"/>
                    <w:wordWrap/>
                    <w:overflowPunct w:val="0"/>
                    <w:topLinePunct w:val="0"/>
                    <w:autoSpaceDE w:val="0"/>
                    <w:autoSpaceDN w:val="0"/>
                    <w:ind w:firstLine="0" w:firstLineChars="0"/>
                    <w:jc w:val="center"/>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封包机</w:t>
                  </w:r>
                </w:p>
              </w:tc>
              <w:tc>
                <w:tcPr>
                  <w:tcW w:w="654" w:type="pct"/>
                  <w:tcBorders>
                    <w:tl2br w:val="nil"/>
                    <w:tr2bl w:val="nil"/>
                  </w:tcBorders>
                  <w:vAlign w:val="center"/>
                </w:tcPr>
                <w:p>
                  <w:pPr>
                    <w:pStyle w:val="51"/>
                    <w:widowControl w:val="0"/>
                    <w:wordWrap/>
                    <w:overflowPunct w:val="0"/>
                    <w:topLinePunct w:val="0"/>
                    <w:autoSpaceDE w:val="0"/>
                    <w:autoSpaceDN w:val="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80</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台</w:t>
                  </w:r>
                </w:p>
              </w:tc>
              <w:tc>
                <w:tcPr>
                  <w:tcW w:w="1364"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选用低噪设备，基础减震</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60</w:t>
                  </w:r>
                </w:p>
              </w:tc>
              <w:tc>
                <w:tcPr>
                  <w:tcW w:w="59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间歇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4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18</w:t>
                  </w:r>
                </w:p>
              </w:tc>
              <w:tc>
                <w:tcPr>
                  <w:tcW w:w="711" w:type="pct"/>
                  <w:tcBorders>
                    <w:tl2br w:val="nil"/>
                    <w:tr2bl w:val="nil"/>
                  </w:tcBorders>
                  <w:vAlign w:val="center"/>
                </w:tcPr>
                <w:p>
                  <w:pPr>
                    <w:pStyle w:val="51"/>
                    <w:keepNext w:val="0"/>
                    <w:keepLines w:val="0"/>
                    <w:pageBreakBefore w:val="0"/>
                    <w:widowControl w:val="0"/>
                    <w:kinsoku/>
                    <w:wordWrap/>
                    <w:overflowPunct w:val="0"/>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u w:val="none" w:color="auto"/>
                      <w:lang w:val="en-US" w:eastAsia="zh-CN"/>
                    </w:rPr>
                  </w:pPr>
                  <w:r>
                    <w:rPr>
                      <w:rFonts w:hint="default" w:ascii="Times New Roman" w:hAnsi="Times New Roman" w:eastAsia="宋体" w:cs="Times New Roman"/>
                      <w:highlight w:val="none"/>
                      <w:u w:val="none" w:color="auto"/>
                      <w:lang w:val="en-US" w:eastAsia="zh-CN"/>
                    </w:rPr>
                    <w:t>合计</w:t>
                  </w:r>
                </w:p>
              </w:tc>
              <w:tc>
                <w:tcPr>
                  <w:tcW w:w="654" w:type="pct"/>
                  <w:tcBorders>
                    <w:tl2br w:val="nil"/>
                    <w:tr2bl w:val="nil"/>
                  </w:tcBorders>
                  <w:vAlign w:val="center"/>
                </w:tcPr>
                <w:p>
                  <w:pPr>
                    <w:pStyle w:val="51"/>
                    <w:keepNext w:val="0"/>
                    <w:keepLines w:val="0"/>
                    <w:pageBreakBefore w:val="0"/>
                    <w:widowControl w:val="0"/>
                    <w:kinsoku/>
                    <w:wordWrap/>
                    <w:overflowPunct w:val="0"/>
                    <w:topLinePunct w:val="0"/>
                    <w:autoSpaceDE w:val="0"/>
                    <w:autoSpaceDN w:val="0"/>
                    <w:bidi w:val="0"/>
                    <w:adjustRightInd/>
                    <w:snapToGrid w:val="0"/>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91.46</w:t>
                  </w:r>
                </w:p>
              </w:tc>
              <w:tc>
                <w:tcPr>
                  <w:tcW w:w="325"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480"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w:t>
                  </w:r>
                </w:p>
              </w:tc>
              <w:tc>
                <w:tcPr>
                  <w:tcW w:w="136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w:t>
                  </w:r>
                </w:p>
              </w:tc>
              <w:tc>
                <w:tcPr>
                  <w:tcW w:w="53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70.79</w:t>
                  </w:r>
                </w:p>
              </w:tc>
              <w:tc>
                <w:tcPr>
                  <w:tcW w:w="590"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w:t>
                  </w:r>
                </w:p>
              </w:tc>
            </w:tr>
          </w:tbl>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rPr>
              <w:t>2</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rPr>
              <w:t>项目噪声环境影响分析</w:t>
            </w:r>
          </w:p>
          <w:p>
            <w:pPr>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根据《环境影响评价技术导则 声环境》（HJ2.4-2021），本次评价采用下述噪声预测模式：</w:t>
            </w:r>
          </w:p>
          <w:p>
            <w:pPr>
              <w:ind w:firstLine="480"/>
              <w:rPr>
                <w:rFonts w:ascii="Times New Roman" w:hAnsi="Times New Roman" w:cs="Times New Roman"/>
                <w:u w:val="none" w:color="auto"/>
              </w:rPr>
            </w:pPr>
            <w:r>
              <w:rPr>
                <w:rFonts w:hint="default" w:ascii="Times New Roman" w:hAnsi="Times New Roman" w:cs="Times New Roman"/>
                <w:u w:val="none" w:color="auto"/>
              </w:rPr>
              <w:t>根据项目设备声源特征和声学环境的特点，视设备声源为点源，评价方法按照《环境影响评价技术导则 声环境》（HJ2.4-20</w:t>
            </w:r>
            <w:r>
              <w:rPr>
                <w:rFonts w:ascii="Times New Roman" w:hAnsi="Times New Roman" w:cs="Times New Roman"/>
                <w:u w:val="none" w:color="auto"/>
              </w:rPr>
              <w:t>21</w:t>
            </w:r>
            <w:r>
              <w:rPr>
                <w:rFonts w:hint="default" w:ascii="Times New Roman" w:hAnsi="Times New Roman" w:cs="Times New Roman"/>
                <w:u w:val="none" w:color="auto"/>
              </w:rPr>
              <w:t>）中的要求进行，新建建设项目以工程噪声贡献值作为评价量：</w:t>
            </w:r>
          </w:p>
          <w:p>
            <w:pPr>
              <w:ind w:firstLine="480"/>
              <w:jc w:val="center"/>
              <w:rPr>
                <w:rFonts w:ascii="Times New Roman" w:hAnsi="Times New Roman" w:cs="Times New Roman"/>
                <w:u w:val="none" w:color="auto"/>
              </w:rPr>
            </w:pPr>
            <w:r>
              <w:rPr>
                <w:rFonts w:ascii="Times New Roman" w:hAnsi="Times New Roman" w:cs="Times New Roman"/>
                <w:u w:val="none" w:color="auto"/>
              </w:rPr>
              <w:drawing>
                <wp:inline distT="0" distB="0" distL="114300" distR="114300">
                  <wp:extent cx="1857375" cy="600075"/>
                  <wp:effectExtent l="0" t="0" r="9525" b="952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9"/>
                          <a:stretch>
                            <a:fillRect/>
                          </a:stretch>
                        </pic:blipFill>
                        <pic:spPr>
                          <a:xfrm>
                            <a:off x="0" y="0"/>
                            <a:ext cx="1857375" cy="600075"/>
                          </a:xfrm>
                          <a:prstGeom prst="rect">
                            <a:avLst/>
                          </a:prstGeom>
                          <a:noFill/>
                          <a:ln>
                            <a:noFill/>
                          </a:ln>
                        </pic:spPr>
                      </pic:pic>
                    </a:graphicData>
                  </a:graphic>
                </wp:inline>
              </w:drawing>
            </w:r>
          </w:p>
          <w:p>
            <w:pPr>
              <w:ind w:firstLine="480"/>
              <w:rPr>
                <w:rFonts w:ascii="Times New Roman" w:hAnsi="Times New Roman" w:cs="Times New Roman"/>
                <w:u w:val="none" w:color="auto"/>
              </w:rPr>
            </w:pPr>
            <w:r>
              <w:rPr>
                <w:rFonts w:ascii="Times New Roman" w:hAnsi="Times New Roman" w:cs="Times New Roman"/>
                <w:u w:val="none" w:color="auto"/>
              </w:rPr>
              <w:t>其中：Leqg —建设项目声源在预测点的等效声级贡献值，dB(A)；</w:t>
            </w:r>
          </w:p>
          <w:p>
            <w:pPr>
              <w:ind w:firstLine="1200" w:firstLineChars="500"/>
              <w:rPr>
                <w:rFonts w:ascii="Times New Roman" w:hAnsi="Times New Roman" w:cs="Times New Roman"/>
                <w:u w:val="none" w:color="auto"/>
              </w:rPr>
            </w:pPr>
            <w:r>
              <w:rPr>
                <w:rFonts w:ascii="Times New Roman" w:hAnsi="Times New Roman" w:cs="Times New Roman"/>
                <w:u w:val="none" w:color="auto"/>
              </w:rPr>
              <w:t>LAi—i声源在预测点产生的A声级，dB(A)；</w:t>
            </w:r>
          </w:p>
          <w:p>
            <w:pPr>
              <w:ind w:firstLine="1200" w:firstLineChars="500"/>
              <w:rPr>
                <w:rFonts w:ascii="Times New Roman" w:hAnsi="Times New Roman" w:cs="Times New Roman"/>
                <w:u w:val="none" w:color="auto"/>
              </w:rPr>
            </w:pPr>
            <w:r>
              <w:rPr>
                <w:rFonts w:ascii="Times New Roman" w:hAnsi="Times New Roman" w:cs="Times New Roman"/>
                <w:u w:val="none" w:color="auto"/>
              </w:rPr>
              <w:t>T —预测计算的时间段，s；</w:t>
            </w:r>
          </w:p>
          <w:p>
            <w:pPr>
              <w:ind w:firstLine="1200" w:firstLineChars="500"/>
              <w:rPr>
                <w:rFonts w:ascii="Times New Roman" w:hAnsi="Times New Roman" w:cs="Times New Roman"/>
                <w:u w:val="none" w:color="auto"/>
              </w:rPr>
            </w:pPr>
            <w:r>
              <w:rPr>
                <w:rFonts w:ascii="Times New Roman" w:hAnsi="Times New Roman" w:cs="Times New Roman"/>
                <w:u w:val="none" w:color="auto"/>
              </w:rPr>
              <w:t>ti—i声源在T时段内的运行时间，s。</w:t>
            </w:r>
          </w:p>
          <w:p>
            <w:pPr>
              <w:ind w:firstLine="480"/>
              <w:rPr>
                <w:rFonts w:ascii="Times New Roman" w:hAnsi="Times New Roman" w:cs="Times New Roman"/>
                <w:color w:val="auto"/>
                <w:u w:val="none" w:color="auto"/>
              </w:rPr>
            </w:pPr>
            <w:r>
              <w:rPr>
                <w:rFonts w:hint="default" w:ascii="Times New Roman" w:hAnsi="Times New Roman" w:cs="Times New Roman"/>
                <w:u w:val="none" w:color="auto"/>
              </w:rPr>
              <w:t>根据上述预测模式计算出各噪声源传播至厂界四周</w:t>
            </w:r>
            <w:r>
              <w:rPr>
                <w:rFonts w:hint="eastAsia" w:cs="Times New Roman"/>
                <w:u w:val="none" w:color="auto"/>
                <w:lang w:val="en-US" w:eastAsia="zh-CN"/>
              </w:rPr>
              <w:t>以及敏感点</w:t>
            </w:r>
            <w:r>
              <w:rPr>
                <w:rFonts w:hint="default" w:ascii="Times New Roman" w:hAnsi="Times New Roman" w:cs="Times New Roman"/>
                <w:u w:val="none" w:color="auto"/>
              </w:rPr>
              <w:t>的总声压级，</w:t>
            </w:r>
            <w:r>
              <w:rPr>
                <w:rFonts w:hint="eastAsia" w:cs="Times New Roman"/>
                <w:u w:val="none" w:color="auto"/>
                <w:lang w:val="en-US" w:eastAsia="zh-CN"/>
              </w:rPr>
              <w:t>分别</w:t>
            </w:r>
            <w:r>
              <w:rPr>
                <w:rFonts w:hint="default" w:ascii="Times New Roman" w:hAnsi="Times New Roman" w:cs="Times New Roman"/>
                <w:u w:val="none" w:color="auto"/>
              </w:rPr>
              <w:t>与《工业企业厂界环境噪声排放标准》（GB12348-2008）标准中</w:t>
            </w:r>
            <w:r>
              <w:rPr>
                <w:rFonts w:hint="default" w:ascii="Times New Roman" w:hAnsi="Times New Roman" w:cs="Times New Roman"/>
                <w:u w:val="none" w:color="auto"/>
                <w:lang w:val="en-US" w:eastAsia="zh-CN"/>
              </w:rPr>
              <w:t>2、4</w:t>
            </w:r>
            <w:r>
              <w:rPr>
                <w:rFonts w:hint="default" w:ascii="Times New Roman" w:hAnsi="Times New Roman" w:cs="Times New Roman"/>
                <w:u w:val="none" w:color="auto"/>
              </w:rPr>
              <w:t>类标准</w:t>
            </w:r>
            <w:r>
              <w:rPr>
                <w:rFonts w:hint="eastAsia" w:cs="Times New Roman"/>
                <w:u w:val="none" w:color="auto"/>
                <w:lang w:val="en-US" w:eastAsia="zh-CN"/>
              </w:rPr>
              <w:t>以及《声环境质量标准》（GB3096-2008）4a类</w:t>
            </w:r>
            <w:r>
              <w:rPr>
                <w:rFonts w:hint="default" w:ascii="Times New Roman" w:hAnsi="Times New Roman" w:cs="Times New Roman"/>
                <w:u w:val="none" w:color="auto"/>
              </w:rPr>
              <w:t>进行比较，其结果见表4</w:t>
            </w:r>
            <w:r>
              <w:rPr>
                <w:rFonts w:hint="default" w:ascii="Times New Roman" w:hAnsi="Times New Roman" w:cs="Times New Roman"/>
                <w:u w:val="none" w:color="auto"/>
                <w:lang w:val="en-US" w:eastAsia="zh-CN"/>
              </w:rPr>
              <w:t>.</w:t>
            </w:r>
            <w:r>
              <w:rPr>
                <w:rFonts w:hint="eastAsia" w:ascii="Times New Roman" w:hAnsi="Times New Roman" w:cs="Times New Roman"/>
                <w:u w:val="none" w:color="auto"/>
                <w:lang w:val="en-US" w:eastAsia="zh-CN"/>
              </w:rPr>
              <w:t>2-2</w:t>
            </w:r>
            <w:r>
              <w:rPr>
                <w:rFonts w:hint="eastAsia" w:cs="Times New Roman"/>
                <w:u w:val="none" w:color="auto"/>
                <w:lang w:val="en-US" w:eastAsia="zh-CN"/>
              </w:rPr>
              <w:t>2</w:t>
            </w:r>
            <w:r>
              <w:rPr>
                <w:rFonts w:hint="default" w:ascii="Times New Roman" w:hAnsi="Times New Roman" w:cs="Times New Roman"/>
                <w:u w:val="none" w:color="auto"/>
              </w:rPr>
              <w:t>：</w:t>
            </w:r>
          </w:p>
          <w:p>
            <w:pPr>
              <w:pStyle w:val="43"/>
              <w:bidi w:val="0"/>
              <w:rPr>
                <w:rFonts w:hint="default"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rPr>
              <w:t>4</w:t>
            </w:r>
            <w:r>
              <w:rPr>
                <w:rFonts w:hint="default" w:ascii="Times New Roman" w:hAnsi="Times New Roman" w:cs="Times New Roman"/>
                <w:u w:val="none" w:color="auto"/>
                <w:lang w:val="en-US" w:eastAsia="zh-CN"/>
              </w:rPr>
              <w:t>.2</w:t>
            </w:r>
            <w:r>
              <w:rPr>
                <w:rFonts w:hint="default" w:ascii="Times New Roman" w:hAnsi="Times New Roman" w:cs="Times New Roman"/>
                <w:u w:val="none" w:color="auto"/>
                <w:lang w:val="en-US"/>
              </w:rPr>
              <w:t>-</w:t>
            </w:r>
            <w:r>
              <w:rPr>
                <w:rFonts w:hint="eastAsia" w:ascii="Times New Roman" w:hAnsi="Times New Roman" w:cs="Times New Roman"/>
                <w:u w:val="none" w:color="auto"/>
                <w:lang w:val="en-US" w:eastAsia="zh-CN"/>
              </w:rPr>
              <w:t>2</w:t>
            </w:r>
            <w:r>
              <w:rPr>
                <w:rFonts w:hint="eastAsia" w:cs="Times New Roman"/>
                <w:u w:val="none" w:color="auto"/>
                <w:lang w:val="en-US" w:eastAsia="zh-CN"/>
              </w:rPr>
              <w:t xml:space="preserve">2 </w:t>
            </w:r>
            <w:r>
              <w:rPr>
                <w:rFonts w:hint="default" w:ascii="Times New Roman" w:hAnsi="Times New Roman" w:cs="Times New Roman"/>
                <w:u w:val="none" w:color="auto"/>
              </w:rPr>
              <w:t>噪声预测结果一览表单位：dB(A)</w:t>
            </w:r>
          </w:p>
          <w:tbl>
            <w:tblPr>
              <w:tblStyle w:val="28"/>
              <w:tblW w:w="4974"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Layout w:type="autofit"/>
              <w:tblCellMar>
                <w:top w:w="0" w:type="dxa"/>
                <w:left w:w="108" w:type="dxa"/>
                <w:bottom w:w="0" w:type="dxa"/>
                <w:right w:w="108" w:type="dxa"/>
              </w:tblCellMar>
            </w:tblPr>
            <w:tblGrid>
              <w:gridCol w:w="1350"/>
              <w:gridCol w:w="1870"/>
              <w:gridCol w:w="1551"/>
              <w:gridCol w:w="1419"/>
              <w:gridCol w:w="2106"/>
            </w:tblGrid>
            <w:tr>
              <w:tblPrEx>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PrEx>
              <w:trPr>
                <w:trHeight w:val="454" w:hRule="atLeast"/>
                <w:jc w:val="center"/>
              </w:trPr>
              <w:tc>
                <w:tcPr>
                  <w:tcW w:w="814"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b/>
                      <w:bCs/>
                      <w:u w:val="none" w:color="auto"/>
                    </w:rPr>
                  </w:pPr>
                  <w:r>
                    <w:rPr>
                      <w:rFonts w:hint="default" w:ascii="Times New Roman" w:hAnsi="Times New Roman" w:cs="Times New Roman"/>
                      <w:b/>
                      <w:bCs/>
                      <w:u w:val="none" w:color="auto"/>
                    </w:rPr>
                    <w:t>名称</w:t>
                  </w:r>
                </w:p>
              </w:tc>
              <w:tc>
                <w:tcPr>
                  <w:tcW w:w="112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eastAsiaTheme="minorEastAsia"/>
                      <w:b/>
                      <w:bCs/>
                      <w:u w:val="none" w:color="auto"/>
                      <w:lang w:val="en-US" w:eastAsia="zh-CN"/>
                    </w:rPr>
                  </w:pPr>
                  <w:r>
                    <w:rPr>
                      <w:rFonts w:hint="default" w:ascii="Times New Roman" w:hAnsi="Times New Roman" w:cs="Times New Roman"/>
                      <w:b/>
                      <w:bCs/>
                      <w:u w:val="none" w:color="auto"/>
                      <w:lang w:val="en-US" w:eastAsia="zh-CN"/>
                    </w:rPr>
                    <w:t>声源与厂界距离（m）</w:t>
                  </w:r>
                </w:p>
              </w:tc>
              <w:tc>
                <w:tcPr>
                  <w:tcW w:w="935" w:type="pct"/>
                  <w:tcBorders>
                    <w:tl2br w:val="nil"/>
                    <w:tr2bl w:val="nil"/>
                  </w:tcBorders>
                  <w:noWrap w:val="0"/>
                  <w:vAlign w:val="center"/>
                </w:tcPr>
                <w:p>
                  <w:pPr>
                    <w:pStyle w:val="93"/>
                    <w:keepNext w:val="0"/>
                    <w:keepLines w:val="0"/>
                    <w:pageBreakBefore w:val="0"/>
                    <w:widowControl w:val="0"/>
                    <w:kinsoku/>
                    <w:wordWrap w:val="0"/>
                    <w:overflowPunct/>
                    <w:topLinePunct/>
                    <w:autoSpaceDE/>
                    <w:autoSpaceDN/>
                    <w:bidi w:val="0"/>
                    <w:adjustRightInd/>
                    <w:spacing w:line="240" w:lineRule="auto"/>
                    <w:ind w:firstLine="0" w:firstLineChars="0"/>
                    <w:jc w:val="center"/>
                    <w:textAlignment w:val="auto"/>
                    <w:rPr>
                      <w:rFonts w:hint="default" w:ascii="Times New Roman" w:hAnsi="Times New Roman" w:eastAsia="宋体" w:cs="Times New Roman"/>
                      <w:b/>
                      <w:bCs w:val="0"/>
                      <w:u w:val="none" w:color="auto"/>
                      <w:lang w:val="en-US" w:eastAsia="zh-CN"/>
                    </w:rPr>
                  </w:pPr>
                  <w:r>
                    <w:rPr>
                      <w:rFonts w:hint="default" w:ascii="Times New Roman" w:hAnsi="Times New Roman" w:cs="Times New Roman"/>
                      <w:b/>
                      <w:bCs w:val="0"/>
                      <w:u w:val="none" w:color="auto"/>
                      <w:lang w:eastAsia="zh-CN"/>
                    </w:rPr>
                    <w:t>贡献</w:t>
                  </w:r>
                  <w:r>
                    <w:rPr>
                      <w:rFonts w:hint="default" w:ascii="Times New Roman" w:hAnsi="Times New Roman" w:cs="Times New Roman"/>
                      <w:b/>
                      <w:bCs w:val="0"/>
                      <w:u w:val="none" w:color="auto"/>
                    </w:rPr>
                    <w:t>值</w:t>
                  </w:r>
                </w:p>
              </w:tc>
              <w:tc>
                <w:tcPr>
                  <w:tcW w:w="855" w:type="pct"/>
                  <w:tcBorders>
                    <w:tl2br w:val="nil"/>
                    <w:tr2bl w:val="nil"/>
                  </w:tcBorders>
                  <w:noWrap w:val="0"/>
                  <w:vAlign w:val="center"/>
                </w:tcPr>
                <w:p>
                  <w:pPr>
                    <w:pStyle w:val="93"/>
                    <w:keepNext w:val="0"/>
                    <w:keepLines w:val="0"/>
                    <w:pageBreakBefore w:val="0"/>
                    <w:widowControl w:val="0"/>
                    <w:kinsoku/>
                    <w:wordWrap w:val="0"/>
                    <w:overflowPunct/>
                    <w:topLinePunct/>
                    <w:autoSpaceDE/>
                    <w:autoSpaceDN/>
                    <w:bidi w:val="0"/>
                    <w:adjustRightInd/>
                    <w:spacing w:line="240" w:lineRule="auto"/>
                    <w:ind w:firstLine="0" w:firstLineChars="0"/>
                    <w:jc w:val="center"/>
                    <w:textAlignment w:val="auto"/>
                    <w:rPr>
                      <w:rFonts w:hint="default" w:ascii="Times New Roman" w:hAnsi="Times New Roman" w:cs="Times New Roman"/>
                      <w:b/>
                      <w:bCs w:val="0"/>
                      <w:u w:val="none" w:color="auto"/>
                      <w:lang w:val="en-US" w:eastAsia="zh-CN"/>
                    </w:rPr>
                  </w:pPr>
                  <w:r>
                    <w:rPr>
                      <w:rFonts w:hint="default" w:ascii="Times New Roman" w:hAnsi="Times New Roman" w:cs="Times New Roman"/>
                      <w:b/>
                      <w:bCs w:val="0"/>
                      <w:u w:val="none" w:color="auto"/>
                    </w:rPr>
                    <w:t>标准值</w:t>
                  </w:r>
                </w:p>
              </w:tc>
              <w:tc>
                <w:tcPr>
                  <w:tcW w:w="1267" w:type="pct"/>
                  <w:tcBorders>
                    <w:tl2br w:val="nil"/>
                    <w:tr2bl w:val="nil"/>
                  </w:tcBorders>
                  <w:noWrap w:val="0"/>
                  <w:vAlign w:val="center"/>
                </w:tcPr>
                <w:p>
                  <w:pPr>
                    <w:pStyle w:val="93"/>
                    <w:keepNext w:val="0"/>
                    <w:keepLines w:val="0"/>
                    <w:pageBreakBefore w:val="0"/>
                    <w:widowControl w:val="0"/>
                    <w:kinsoku/>
                    <w:wordWrap w:val="0"/>
                    <w:overflowPunct/>
                    <w:topLinePunct/>
                    <w:autoSpaceDE/>
                    <w:autoSpaceDN/>
                    <w:bidi w:val="0"/>
                    <w:adjustRightInd/>
                    <w:spacing w:line="240" w:lineRule="auto"/>
                    <w:ind w:firstLine="0" w:firstLineChars="0"/>
                    <w:jc w:val="center"/>
                    <w:textAlignment w:val="auto"/>
                    <w:rPr>
                      <w:rFonts w:hint="default" w:ascii="Times New Roman" w:hAnsi="Times New Roman" w:cs="Times New Roman"/>
                      <w:b/>
                      <w:bCs w:val="0"/>
                      <w:u w:val="none" w:color="auto"/>
                      <w:lang w:val="en-US" w:eastAsia="zh-CN"/>
                    </w:rPr>
                  </w:pPr>
                  <w:r>
                    <w:rPr>
                      <w:rFonts w:hint="default" w:ascii="Times New Roman" w:hAnsi="Times New Roman" w:cs="Times New Roman"/>
                      <w:b/>
                      <w:bCs w:val="0"/>
                      <w:u w:val="none" w:color="auto"/>
                    </w:rPr>
                    <w:t>是否达标</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814"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rPr>
                  </w:pPr>
                  <w:r>
                    <w:rPr>
                      <w:rFonts w:hint="default" w:ascii="Times New Roman" w:hAnsi="Times New Roman" w:cs="Times New Roman"/>
                      <w:u w:val="none" w:color="auto"/>
                    </w:rPr>
                    <w:t>东厂界</w:t>
                  </w:r>
                </w:p>
              </w:tc>
              <w:tc>
                <w:tcPr>
                  <w:tcW w:w="112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eastAsiaTheme="minorEastAsia"/>
                      <w:u w:val="none" w:color="auto"/>
                      <w:lang w:val="en-US" w:eastAsia="zh-CN"/>
                    </w:rPr>
                  </w:pPr>
                  <w:r>
                    <w:rPr>
                      <w:rFonts w:hint="default" w:ascii="Times New Roman" w:hAnsi="Times New Roman" w:cs="Times New Roman"/>
                      <w:u w:val="none" w:color="auto"/>
                      <w:lang w:val="en-US" w:eastAsia="zh-CN"/>
                    </w:rPr>
                    <w:t>1</w:t>
                  </w:r>
                  <w:r>
                    <w:rPr>
                      <w:rFonts w:hint="eastAsia" w:cs="Times New Roman"/>
                      <w:u w:val="none" w:color="auto"/>
                      <w:lang w:val="en-US" w:eastAsia="zh-CN"/>
                    </w:rPr>
                    <w:t>2</w:t>
                  </w:r>
                  <w:r>
                    <w:rPr>
                      <w:rFonts w:hint="default" w:ascii="Times New Roman" w:hAnsi="Times New Roman" w:cs="Times New Roman"/>
                      <w:u w:val="none" w:color="auto"/>
                      <w:lang w:val="en-US" w:eastAsia="zh-CN"/>
                    </w:rPr>
                    <w:t>.5</w:t>
                  </w:r>
                </w:p>
              </w:tc>
              <w:tc>
                <w:tcPr>
                  <w:tcW w:w="93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eastAsia" w:eastAsia="宋体" w:cs="Times New Roman"/>
                      <w:szCs w:val="22"/>
                      <w:u w:val="none" w:color="auto"/>
                      <w:lang w:val="en-US" w:eastAsia="zh-CN"/>
                    </w:rPr>
                    <w:t>48.85</w:t>
                  </w:r>
                </w:p>
              </w:tc>
              <w:tc>
                <w:tcPr>
                  <w:tcW w:w="85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eastAsia" w:eastAsia="宋体" w:cs="Times New Roman"/>
                      <w:u w:val="none" w:color="auto"/>
                      <w:lang w:val="en-US" w:eastAsia="zh-CN"/>
                    </w:rPr>
                    <w:t>50</w:t>
                  </w:r>
                </w:p>
              </w:tc>
              <w:tc>
                <w:tcPr>
                  <w:tcW w:w="126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达标</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814"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rPr>
                  </w:pPr>
                  <w:r>
                    <w:rPr>
                      <w:rFonts w:hint="default" w:ascii="Times New Roman" w:hAnsi="Times New Roman" w:cs="Times New Roman"/>
                      <w:u w:val="none" w:color="auto"/>
                    </w:rPr>
                    <w:t>南厂界</w:t>
                  </w:r>
                </w:p>
              </w:tc>
              <w:tc>
                <w:tcPr>
                  <w:tcW w:w="112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eastAsiaTheme="minorEastAsia"/>
                      <w:u w:val="none" w:color="auto"/>
                      <w:lang w:val="en-US" w:eastAsia="zh-CN"/>
                    </w:rPr>
                  </w:pPr>
                  <w:r>
                    <w:rPr>
                      <w:rFonts w:hint="default" w:ascii="Times New Roman" w:hAnsi="Times New Roman" w:cs="Times New Roman"/>
                      <w:u w:val="none" w:color="auto"/>
                      <w:lang w:val="en-US" w:eastAsia="zh-CN"/>
                    </w:rPr>
                    <w:t>18</w:t>
                  </w:r>
                </w:p>
              </w:tc>
              <w:tc>
                <w:tcPr>
                  <w:tcW w:w="93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default" w:ascii="Times New Roman" w:hAnsi="Times New Roman" w:eastAsia="宋体" w:cs="Times New Roman"/>
                      <w:szCs w:val="22"/>
                      <w:u w:val="none" w:color="auto"/>
                      <w:lang w:val="en-US" w:eastAsia="zh-CN"/>
                    </w:rPr>
                    <w:t>45.68</w:t>
                  </w:r>
                </w:p>
              </w:tc>
              <w:tc>
                <w:tcPr>
                  <w:tcW w:w="85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55</w:t>
                  </w:r>
                </w:p>
              </w:tc>
              <w:tc>
                <w:tcPr>
                  <w:tcW w:w="126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达标</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814"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rPr>
                  </w:pPr>
                  <w:r>
                    <w:rPr>
                      <w:rFonts w:hint="default" w:ascii="Times New Roman" w:hAnsi="Times New Roman" w:cs="Times New Roman"/>
                      <w:u w:val="none" w:color="auto"/>
                      <w:lang w:val="en-US" w:eastAsia="zh-CN"/>
                    </w:rPr>
                    <w:t>西</w:t>
                  </w:r>
                  <w:r>
                    <w:rPr>
                      <w:rFonts w:hint="default" w:ascii="Times New Roman" w:hAnsi="Times New Roman" w:cs="Times New Roman"/>
                      <w:u w:val="none" w:color="auto"/>
                    </w:rPr>
                    <w:t>厂界</w:t>
                  </w:r>
                </w:p>
              </w:tc>
              <w:tc>
                <w:tcPr>
                  <w:tcW w:w="112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w:t>
                  </w:r>
                  <w:r>
                    <w:rPr>
                      <w:rFonts w:hint="eastAsia" w:cs="Times New Roman"/>
                      <w:u w:val="none" w:color="auto"/>
                      <w:lang w:val="en-US" w:eastAsia="zh-CN"/>
                    </w:rPr>
                    <w:t>2</w:t>
                  </w:r>
                </w:p>
              </w:tc>
              <w:tc>
                <w:tcPr>
                  <w:tcW w:w="93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eastAsia" w:eastAsia="宋体" w:cs="Times New Roman"/>
                      <w:szCs w:val="22"/>
                      <w:u w:val="none" w:color="auto"/>
                      <w:lang w:val="en-US" w:eastAsia="zh-CN"/>
                    </w:rPr>
                    <w:t>49.21</w:t>
                  </w:r>
                </w:p>
              </w:tc>
              <w:tc>
                <w:tcPr>
                  <w:tcW w:w="85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eastAsia" w:eastAsia="宋体" w:cs="Times New Roman"/>
                      <w:u w:val="none" w:color="auto"/>
                      <w:lang w:val="en-US" w:eastAsia="zh-CN"/>
                    </w:rPr>
                    <w:t>50</w:t>
                  </w:r>
                </w:p>
              </w:tc>
              <w:tc>
                <w:tcPr>
                  <w:tcW w:w="126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达标</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814"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rPr>
                  </w:pPr>
                  <w:r>
                    <w:rPr>
                      <w:rFonts w:hint="default" w:ascii="Times New Roman" w:hAnsi="Times New Roman" w:cs="Times New Roman"/>
                      <w:u w:val="none" w:color="auto"/>
                      <w:lang w:val="en-US" w:eastAsia="zh-CN"/>
                    </w:rPr>
                    <w:t>北</w:t>
                  </w:r>
                  <w:r>
                    <w:rPr>
                      <w:rFonts w:hint="default" w:ascii="Times New Roman" w:hAnsi="Times New Roman" w:cs="Times New Roman"/>
                      <w:u w:val="none" w:color="auto"/>
                    </w:rPr>
                    <w:t>厂界</w:t>
                  </w:r>
                </w:p>
              </w:tc>
              <w:tc>
                <w:tcPr>
                  <w:tcW w:w="112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16.5</w:t>
                  </w:r>
                </w:p>
              </w:tc>
              <w:tc>
                <w:tcPr>
                  <w:tcW w:w="93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default" w:ascii="Times New Roman" w:hAnsi="Times New Roman" w:eastAsia="宋体" w:cs="Times New Roman"/>
                      <w:szCs w:val="22"/>
                      <w:u w:val="none" w:color="auto"/>
                      <w:lang w:val="en-US" w:eastAsia="zh-CN"/>
                    </w:rPr>
                    <w:t>46.44</w:t>
                  </w:r>
                </w:p>
              </w:tc>
              <w:tc>
                <w:tcPr>
                  <w:tcW w:w="85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50</w:t>
                  </w:r>
                </w:p>
              </w:tc>
              <w:tc>
                <w:tcPr>
                  <w:tcW w:w="126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达标</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eastAsia" w:cs="Times New Roman"/>
                      <w:b/>
                      <w:bCs/>
                      <w:u w:val="none" w:color="auto"/>
                      <w:lang w:val="en-US" w:eastAsia="zh-CN"/>
                    </w:rPr>
                    <w:t>敏感点噪声预测</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814"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b/>
                      <w:bCs/>
                      <w:u w:val="none" w:color="auto"/>
                    </w:rPr>
                    <w:t>名称</w:t>
                  </w:r>
                </w:p>
              </w:tc>
              <w:tc>
                <w:tcPr>
                  <w:tcW w:w="112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b/>
                      <w:bCs/>
                      <w:u w:val="none" w:color="auto"/>
                      <w:lang w:val="en-US" w:eastAsia="zh-CN"/>
                    </w:rPr>
                    <w:t>声源与</w:t>
                  </w:r>
                  <w:r>
                    <w:rPr>
                      <w:rFonts w:hint="eastAsia" w:cs="Times New Roman"/>
                      <w:b/>
                      <w:bCs/>
                      <w:u w:val="none" w:color="auto"/>
                      <w:lang w:val="en-US" w:eastAsia="zh-CN"/>
                    </w:rPr>
                    <w:t>敏感点</w:t>
                  </w:r>
                  <w:r>
                    <w:rPr>
                      <w:rFonts w:hint="default" w:ascii="Times New Roman" w:hAnsi="Times New Roman" w:cs="Times New Roman"/>
                      <w:b/>
                      <w:bCs/>
                      <w:u w:val="none" w:color="auto"/>
                      <w:lang w:val="en-US" w:eastAsia="zh-CN"/>
                    </w:rPr>
                    <w:t>距离（m）</w:t>
                  </w:r>
                </w:p>
              </w:tc>
              <w:tc>
                <w:tcPr>
                  <w:tcW w:w="1551" w:type="dxa"/>
                  <w:tcBorders>
                    <w:tl2br w:val="nil"/>
                    <w:tr2bl w:val="nil"/>
                  </w:tcBorders>
                  <w:noWrap w:val="0"/>
                  <w:vAlign w:val="center"/>
                </w:tcPr>
                <w:p>
                  <w:pPr>
                    <w:pStyle w:val="93"/>
                    <w:keepNext w:val="0"/>
                    <w:keepLines w:val="0"/>
                    <w:pageBreakBefore w:val="0"/>
                    <w:widowControl w:val="0"/>
                    <w:kinsoku/>
                    <w:wordWrap w:val="0"/>
                    <w:overflowPunct/>
                    <w:topLinePunct/>
                    <w:autoSpaceDE/>
                    <w:autoSpaceDN/>
                    <w:bidi w:val="0"/>
                    <w:adjustRightInd/>
                    <w:spacing w:line="240" w:lineRule="auto"/>
                    <w:ind w:firstLine="0" w:firstLineChars="0"/>
                    <w:jc w:val="center"/>
                    <w:textAlignment w:val="auto"/>
                    <w:rPr>
                      <w:rFonts w:hint="default" w:ascii="Times New Roman" w:hAnsi="Times New Roman" w:eastAsia="宋体" w:cs="Times New Roman"/>
                      <w:szCs w:val="22"/>
                      <w:u w:val="none" w:color="auto"/>
                      <w:lang w:val="en-US" w:eastAsia="zh-CN"/>
                    </w:rPr>
                  </w:pPr>
                  <w:r>
                    <w:rPr>
                      <w:rFonts w:hint="default" w:ascii="Times New Roman" w:hAnsi="Times New Roman" w:cs="Times New Roman"/>
                      <w:b/>
                      <w:bCs w:val="0"/>
                      <w:u w:val="none" w:color="auto"/>
                      <w:lang w:eastAsia="zh-CN"/>
                    </w:rPr>
                    <w:t>贡献</w:t>
                  </w:r>
                  <w:r>
                    <w:rPr>
                      <w:rFonts w:hint="default" w:ascii="Times New Roman" w:hAnsi="Times New Roman" w:cs="Times New Roman"/>
                      <w:b/>
                      <w:bCs w:val="0"/>
                      <w:u w:val="none" w:color="auto"/>
                    </w:rPr>
                    <w:t>值</w:t>
                  </w:r>
                </w:p>
              </w:tc>
              <w:tc>
                <w:tcPr>
                  <w:tcW w:w="1419" w:type="dxa"/>
                  <w:tcBorders>
                    <w:tl2br w:val="nil"/>
                    <w:tr2bl w:val="nil"/>
                  </w:tcBorders>
                  <w:noWrap w:val="0"/>
                  <w:vAlign w:val="center"/>
                </w:tcPr>
                <w:p>
                  <w:pPr>
                    <w:pStyle w:val="93"/>
                    <w:keepNext w:val="0"/>
                    <w:keepLines w:val="0"/>
                    <w:pageBreakBefore w:val="0"/>
                    <w:widowControl w:val="0"/>
                    <w:kinsoku/>
                    <w:wordWrap w:val="0"/>
                    <w:overflowPunct/>
                    <w:topLinePunct/>
                    <w:autoSpaceDE/>
                    <w:autoSpaceDN/>
                    <w:bidi w:val="0"/>
                    <w:adjustRightInd/>
                    <w:spacing w:line="240" w:lineRule="auto"/>
                    <w:ind w:firstLine="0" w:firstLineChars="0"/>
                    <w:jc w:val="center"/>
                    <w:textAlignment w:val="auto"/>
                    <w:rPr>
                      <w:rFonts w:hint="default" w:ascii="Times New Roman" w:hAnsi="Times New Roman" w:eastAsia="宋体" w:cs="Times New Roman"/>
                      <w:u w:val="none" w:color="auto"/>
                      <w:lang w:val="en-US" w:eastAsia="zh-CN"/>
                    </w:rPr>
                  </w:pPr>
                  <w:r>
                    <w:rPr>
                      <w:rFonts w:hint="default" w:ascii="Times New Roman" w:hAnsi="Times New Roman" w:cs="Times New Roman"/>
                      <w:b/>
                      <w:bCs w:val="0"/>
                      <w:u w:val="none" w:color="auto"/>
                    </w:rPr>
                    <w:t>标准值</w:t>
                  </w:r>
                </w:p>
              </w:tc>
              <w:tc>
                <w:tcPr>
                  <w:tcW w:w="2106" w:type="dxa"/>
                  <w:tcBorders>
                    <w:tl2br w:val="nil"/>
                    <w:tr2bl w:val="nil"/>
                  </w:tcBorders>
                  <w:noWrap w:val="0"/>
                  <w:vAlign w:val="center"/>
                </w:tcPr>
                <w:p>
                  <w:pPr>
                    <w:pStyle w:val="93"/>
                    <w:keepNext w:val="0"/>
                    <w:keepLines w:val="0"/>
                    <w:pageBreakBefore w:val="0"/>
                    <w:widowControl w:val="0"/>
                    <w:kinsoku/>
                    <w:wordWrap w:val="0"/>
                    <w:overflowPunct/>
                    <w:topLinePunct/>
                    <w:autoSpaceDE/>
                    <w:autoSpaceDN/>
                    <w:bidi w:val="0"/>
                    <w:adjustRightInd/>
                    <w:spacing w:line="240" w:lineRule="auto"/>
                    <w:ind w:firstLine="0" w:firstLineChars="0"/>
                    <w:jc w:val="center"/>
                    <w:textAlignment w:val="auto"/>
                    <w:rPr>
                      <w:rFonts w:hint="default" w:ascii="Times New Roman" w:hAnsi="Times New Roman" w:cs="Times New Roman"/>
                      <w:u w:val="none" w:color="auto"/>
                      <w:lang w:val="en-US" w:eastAsia="zh-CN"/>
                    </w:rPr>
                  </w:pPr>
                  <w:r>
                    <w:rPr>
                      <w:rFonts w:hint="default" w:ascii="Times New Roman" w:hAnsi="Times New Roman" w:cs="Times New Roman"/>
                      <w:b/>
                      <w:bCs w:val="0"/>
                      <w:u w:val="none" w:color="auto"/>
                    </w:rPr>
                    <w:t>是否达标</w:t>
                  </w:r>
                </w:p>
              </w:tc>
            </w:tr>
            <w:tr>
              <w:tblPrEx>
                <w:tblBorders>
                  <w:top w:val="single" w:color="auto" w:sz="4" w:space="0"/>
                  <w:left w:val="single" w:color="auto" w:sz="8" w:space="0"/>
                  <w:bottom w:val="single" w:color="auto" w:sz="4" w:space="0"/>
                  <w:right w:val="single" w:color="auto" w:sz="8"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814"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eastAsia" w:cs="Times New Roman"/>
                      <w:u w:val="none" w:color="auto"/>
                      <w:lang w:val="en-US" w:eastAsia="zh-CN"/>
                    </w:rPr>
                    <w:t>红土溪村散户居民</w:t>
                  </w:r>
                </w:p>
              </w:tc>
              <w:tc>
                <w:tcPr>
                  <w:tcW w:w="112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eastAsia" w:cs="Times New Roman"/>
                      <w:u w:val="none" w:color="auto"/>
                      <w:lang w:val="en-US" w:eastAsia="zh-CN"/>
                    </w:rPr>
                    <w:t>22</w:t>
                  </w:r>
                </w:p>
              </w:tc>
              <w:tc>
                <w:tcPr>
                  <w:tcW w:w="93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szCs w:val="22"/>
                      <w:u w:val="none" w:color="auto"/>
                      <w:lang w:val="en-US" w:eastAsia="zh-CN"/>
                    </w:rPr>
                  </w:pPr>
                  <w:r>
                    <w:rPr>
                      <w:rFonts w:hint="eastAsia" w:eastAsia="宋体" w:cs="Times New Roman"/>
                      <w:szCs w:val="22"/>
                      <w:u w:val="none" w:color="auto"/>
                      <w:lang w:val="en-US" w:eastAsia="zh-CN"/>
                    </w:rPr>
                    <w:t>43.94</w:t>
                  </w:r>
                </w:p>
              </w:tc>
              <w:tc>
                <w:tcPr>
                  <w:tcW w:w="855"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eastAsia="宋体" w:cs="Times New Roman"/>
                      <w:u w:val="none" w:color="auto"/>
                      <w:lang w:val="en-US" w:eastAsia="zh-CN"/>
                    </w:rPr>
                  </w:pPr>
                  <w:r>
                    <w:rPr>
                      <w:rFonts w:hint="eastAsia" w:eastAsia="宋体" w:cs="Times New Roman"/>
                      <w:u w:val="none" w:color="auto"/>
                      <w:lang w:val="en-US" w:eastAsia="zh-CN"/>
                    </w:rPr>
                    <w:t>55</w:t>
                  </w:r>
                </w:p>
              </w:tc>
              <w:tc>
                <w:tcPr>
                  <w:tcW w:w="1267" w:type="pct"/>
                  <w:tcBorders>
                    <w:tl2br w:val="nil"/>
                    <w:tr2bl w:val="nil"/>
                  </w:tcBorders>
                  <w:noWrap w:val="0"/>
                  <w:vAlign w:val="center"/>
                </w:tcPr>
                <w:p>
                  <w:pPr>
                    <w:pStyle w:val="56"/>
                    <w:keepNext w:val="0"/>
                    <w:keepLines w:val="0"/>
                    <w:pageBreakBefore w:val="0"/>
                    <w:widowControl w:val="0"/>
                    <w:kinsoku/>
                    <w:wordWrap w:val="0"/>
                    <w:overflowPunct/>
                    <w:topLinePunct/>
                    <w:autoSpaceDE/>
                    <w:autoSpaceDN/>
                    <w:bidi w:val="0"/>
                    <w:adjustRightInd/>
                    <w:spacing w:line="240" w:lineRule="auto"/>
                    <w:ind w:firstLine="0" w:firstLineChars="0"/>
                    <w:textAlignment w:val="auto"/>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达标</w:t>
                  </w:r>
                </w:p>
              </w:tc>
            </w:tr>
          </w:tbl>
          <w:p>
            <w:pPr>
              <w:bidi w:val="0"/>
              <w:rPr>
                <w:rFonts w:hint="default" w:ascii="Times New Roman" w:hAnsi="Times New Roman" w:cs="Times New Roman"/>
                <w:b/>
                <w:bCs/>
                <w:u w:val="none" w:color="auto"/>
              </w:rPr>
            </w:pPr>
            <w:r>
              <w:rPr>
                <w:rFonts w:hint="default" w:ascii="Times New Roman" w:hAnsi="Times New Roman" w:eastAsia="宋体" w:cs="Times New Roman"/>
                <w:b/>
                <w:bCs/>
                <w:color w:val="auto"/>
                <w:sz w:val="21"/>
                <w:szCs w:val="21"/>
                <w:highlight w:val="none"/>
                <w:u w:val="none" w:color="auto"/>
              </w:rPr>
              <w:t>注：</w:t>
            </w:r>
            <w:r>
              <w:rPr>
                <w:rFonts w:hint="default" w:ascii="Times New Roman" w:hAnsi="Times New Roman" w:eastAsia="宋体" w:cs="Times New Roman"/>
                <w:b/>
                <w:bCs/>
                <w:color w:val="auto"/>
                <w:sz w:val="21"/>
                <w:szCs w:val="21"/>
                <w:highlight w:val="none"/>
                <w:u w:val="none" w:color="auto"/>
                <w:lang w:val="en-US" w:eastAsia="zh-CN"/>
              </w:rPr>
              <w:t>湿米粉夜间生产，生产8小时</w:t>
            </w:r>
          </w:p>
          <w:p>
            <w:pPr>
              <w:ind w:firstLine="480"/>
              <w:rPr>
                <w:rFonts w:hint="default" w:ascii="Times New Roman" w:hAnsi="Times New Roman" w:cs="Times New Roman"/>
                <w:color w:val="auto"/>
                <w:u w:val="none" w:color="auto"/>
                <w:lang w:eastAsia="zh-CN"/>
              </w:rPr>
            </w:pPr>
            <w:r>
              <w:rPr>
                <w:rFonts w:ascii="Times New Roman" w:hAnsi="Times New Roman" w:cs="Times New Roman"/>
                <w:color w:val="auto"/>
                <w:u w:val="none" w:color="auto"/>
              </w:rPr>
              <w:t>由表</w:t>
            </w:r>
            <w:r>
              <w:rPr>
                <w:rFonts w:hint="default" w:ascii="Times New Roman" w:hAnsi="Times New Roman" w:cs="Times New Roman"/>
                <w:color w:val="auto"/>
                <w:u w:val="none" w:color="auto"/>
                <w:lang w:val="en-US"/>
              </w:rPr>
              <w:t>4</w:t>
            </w:r>
            <w:r>
              <w:rPr>
                <w:rFonts w:hint="default"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val="en-US" w:eastAsia="zh-CN"/>
              </w:rPr>
              <w:t>2</w:t>
            </w:r>
            <w:r>
              <w:rPr>
                <w:rFonts w:hint="eastAsia" w:cs="Times New Roman"/>
                <w:color w:val="auto"/>
                <w:u w:val="none" w:color="auto"/>
                <w:lang w:val="en-US" w:eastAsia="zh-CN"/>
              </w:rPr>
              <w:t>2</w:t>
            </w:r>
            <w:r>
              <w:rPr>
                <w:rFonts w:ascii="Times New Roman" w:hAnsi="Times New Roman" w:cs="Times New Roman"/>
                <w:color w:val="auto"/>
                <w:u w:val="none" w:color="auto"/>
              </w:rPr>
              <w:t>预测结果可知，项目运营后采取以上措施并经厂房隔声后</w:t>
            </w:r>
            <w:r>
              <w:rPr>
                <w:rFonts w:hint="default" w:ascii="Times New Roman" w:hAnsi="Times New Roman" w:cs="Times New Roman"/>
                <w:color w:val="auto"/>
                <w:u w:val="none" w:color="auto"/>
                <w:lang w:eastAsia="zh-CN"/>
              </w:rPr>
              <w:t>，</w:t>
            </w:r>
            <w:r>
              <w:rPr>
                <w:rFonts w:hint="default" w:ascii="Times New Roman" w:hAnsi="Times New Roman" w:cs="Times New Roman"/>
                <w:color w:val="000000"/>
                <w:highlight w:val="none"/>
                <w:u w:val="none" w:color="auto"/>
                <w:lang w:val="en-US" w:eastAsia="zh-CN"/>
              </w:rPr>
              <w:t>湿</w:t>
            </w:r>
            <w:r>
              <w:rPr>
                <w:rFonts w:hint="default" w:ascii="Times New Roman" w:hAnsi="Times New Roman" w:eastAsia="宋体" w:cs="Times New Roman"/>
                <w:color w:val="000000"/>
                <w:highlight w:val="none"/>
                <w:u w:val="none" w:color="auto"/>
                <w:lang w:val="en-US" w:eastAsia="zh-CN"/>
              </w:rPr>
              <w:t>米粉生产车间</w:t>
            </w:r>
            <w:r>
              <w:rPr>
                <w:rFonts w:hint="default" w:ascii="Times New Roman" w:hAnsi="Times New Roman" w:cs="Times New Roman"/>
                <w:color w:val="000000"/>
                <w:highlight w:val="none"/>
                <w:u w:val="none" w:color="auto"/>
                <w:lang w:val="en-US" w:eastAsia="zh-CN"/>
              </w:rPr>
              <w:t>夜间生产期间，</w:t>
            </w:r>
            <w:r>
              <w:rPr>
                <w:rFonts w:hint="default" w:ascii="Times New Roman" w:hAnsi="Times New Roman" w:cs="Times New Roman"/>
                <w:color w:val="auto"/>
                <w:u w:val="none" w:color="auto"/>
                <w:lang w:val="en-US" w:eastAsia="zh-CN"/>
              </w:rPr>
              <w:t>东西北</w:t>
            </w:r>
            <w:r>
              <w:rPr>
                <w:rFonts w:ascii="Times New Roman" w:hAnsi="Times New Roman" w:cs="Times New Roman"/>
                <w:color w:val="auto"/>
                <w:u w:val="none" w:color="auto"/>
              </w:rPr>
              <w:t>厂界</w:t>
            </w:r>
            <w:r>
              <w:rPr>
                <w:rFonts w:hint="default" w:ascii="Times New Roman" w:hAnsi="Times New Roman" w:cs="Times New Roman"/>
                <w:color w:val="auto"/>
                <w:u w:val="none" w:color="auto"/>
                <w:lang w:val="en-US" w:eastAsia="zh-CN"/>
              </w:rPr>
              <w:t>夜</w:t>
            </w:r>
            <w:r>
              <w:rPr>
                <w:rFonts w:ascii="Times New Roman" w:hAnsi="Times New Roman" w:cs="Times New Roman"/>
                <w:color w:val="auto"/>
                <w:u w:val="none" w:color="auto"/>
              </w:rPr>
              <w:t>间噪声排放</w:t>
            </w:r>
            <w:r>
              <w:rPr>
                <w:rFonts w:hint="eastAsia" w:cs="Times New Roman"/>
                <w:color w:val="auto"/>
                <w:u w:val="none" w:color="auto"/>
                <w:lang w:val="en-US" w:eastAsia="zh-CN"/>
              </w:rPr>
              <w:t>均</w:t>
            </w:r>
            <w:r>
              <w:rPr>
                <w:rFonts w:ascii="Times New Roman" w:hAnsi="Times New Roman" w:cs="Times New Roman"/>
                <w:color w:val="auto"/>
                <w:u w:val="none" w:color="auto"/>
              </w:rPr>
              <w:t>能达到《工业企业厂界环境噪声排放标准》（GB12348-2008）中</w:t>
            </w:r>
            <w:r>
              <w:rPr>
                <w:rFonts w:hint="default" w:ascii="Times New Roman" w:hAnsi="Times New Roman" w:cs="Times New Roman"/>
                <w:color w:val="auto"/>
                <w:u w:val="none" w:color="auto"/>
                <w:lang w:val="en-US" w:eastAsia="zh-CN"/>
              </w:rPr>
              <w:t>2</w:t>
            </w:r>
            <w:r>
              <w:rPr>
                <w:rFonts w:ascii="Times New Roman" w:hAnsi="Times New Roman" w:cs="Times New Roman"/>
                <w:color w:val="auto"/>
                <w:u w:val="none" w:color="auto"/>
              </w:rPr>
              <w:t>类标准（</w:t>
            </w:r>
            <w:r>
              <w:rPr>
                <w:rFonts w:hint="default" w:ascii="Times New Roman" w:hAnsi="Times New Roman" w:cs="Times New Roman"/>
                <w:color w:val="auto"/>
                <w:u w:val="none" w:color="auto"/>
                <w:lang w:val="en-US" w:eastAsia="zh-CN"/>
              </w:rPr>
              <w:t>夜间</w:t>
            </w:r>
            <w:r>
              <w:rPr>
                <w:rFonts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50</w:t>
            </w:r>
            <w:r>
              <w:rPr>
                <w:rFonts w:ascii="Times New Roman" w:hAnsi="Times New Roman" w:cs="Times New Roman"/>
                <w:color w:val="auto"/>
                <w:u w:val="none" w:color="auto"/>
              </w:rPr>
              <w:t>dB(A)）），</w:t>
            </w:r>
            <w:r>
              <w:rPr>
                <w:rFonts w:hint="default" w:ascii="Times New Roman" w:hAnsi="Times New Roman" w:cs="Times New Roman"/>
                <w:color w:val="auto"/>
                <w:u w:val="none" w:color="auto"/>
                <w:lang w:val="en-US" w:eastAsia="zh-CN"/>
              </w:rPr>
              <w:t>南</w:t>
            </w:r>
            <w:r>
              <w:rPr>
                <w:rFonts w:ascii="Times New Roman" w:hAnsi="Times New Roman" w:cs="Times New Roman"/>
                <w:color w:val="auto"/>
                <w:u w:val="none" w:color="auto"/>
              </w:rPr>
              <w:t>厂界</w:t>
            </w:r>
            <w:r>
              <w:rPr>
                <w:rFonts w:hint="default" w:ascii="Times New Roman" w:hAnsi="Times New Roman" w:cs="Times New Roman"/>
                <w:color w:val="auto"/>
                <w:u w:val="none" w:color="auto"/>
                <w:lang w:val="en-US" w:eastAsia="zh-CN"/>
              </w:rPr>
              <w:t>夜</w:t>
            </w:r>
            <w:r>
              <w:rPr>
                <w:rFonts w:ascii="Times New Roman" w:hAnsi="Times New Roman" w:cs="Times New Roman"/>
                <w:color w:val="auto"/>
                <w:u w:val="none" w:color="auto"/>
              </w:rPr>
              <w:t>间噪声排放能达到《工业企业厂界环境噪声排放标准》（GB12348-2008）中</w:t>
            </w:r>
            <w:r>
              <w:rPr>
                <w:rFonts w:hint="default" w:ascii="Times New Roman" w:hAnsi="Times New Roman" w:cs="Times New Roman"/>
                <w:color w:val="auto"/>
                <w:u w:val="none" w:color="auto"/>
                <w:lang w:val="en-US" w:eastAsia="zh-CN"/>
              </w:rPr>
              <w:t>4</w:t>
            </w:r>
            <w:r>
              <w:rPr>
                <w:rFonts w:ascii="Times New Roman" w:hAnsi="Times New Roman" w:cs="Times New Roman"/>
                <w:color w:val="auto"/>
                <w:u w:val="none" w:color="auto"/>
              </w:rPr>
              <w:t>类标准（</w:t>
            </w:r>
            <w:r>
              <w:rPr>
                <w:rFonts w:hint="default" w:ascii="Times New Roman" w:hAnsi="Times New Roman" w:cs="Times New Roman"/>
                <w:color w:val="auto"/>
                <w:u w:val="none" w:color="auto"/>
                <w:lang w:val="en-US" w:eastAsia="zh-CN"/>
              </w:rPr>
              <w:t>夜间</w:t>
            </w:r>
            <w:r>
              <w:rPr>
                <w:rFonts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55</w:t>
            </w:r>
            <w:r>
              <w:rPr>
                <w:rFonts w:ascii="Times New Roman" w:hAnsi="Times New Roman" w:cs="Times New Roman"/>
                <w:color w:val="auto"/>
                <w:u w:val="none" w:color="auto"/>
              </w:rPr>
              <w:t>dB(A)）</w:t>
            </w:r>
            <w:r>
              <w:rPr>
                <w:rFonts w:hint="eastAsia" w:cs="Times New Roman"/>
                <w:color w:val="auto"/>
                <w:u w:val="none" w:color="auto"/>
                <w:lang w:eastAsia="zh-CN"/>
              </w:rPr>
              <w:t>；</w:t>
            </w:r>
            <w:r>
              <w:rPr>
                <w:rFonts w:hint="eastAsia" w:cs="Times New Roman"/>
                <w:color w:val="auto"/>
                <w:u w:val="none" w:color="auto"/>
                <w:lang w:val="en-US" w:eastAsia="zh-CN"/>
              </w:rPr>
              <w:t>距离</w:t>
            </w:r>
            <w:r>
              <w:t>项目最近的居民点为</w:t>
            </w:r>
            <w:r>
              <w:rPr>
                <w:rFonts w:hint="eastAsia"/>
                <w:lang w:val="en-US" w:eastAsia="zh-CN"/>
              </w:rPr>
              <w:t>10</w:t>
            </w:r>
            <w:r>
              <w:t>米处</w:t>
            </w:r>
            <w:r>
              <w:rPr>
                <w:rFonts w:hint="eastAsia"/>
                <w:lang w:val="en-US" w:eastAsia="zh-CN"/>
              </w:rPr>
              <w:t>红土溪村</w:t>
            </w:r>
            <w:r>
              <w:rPr>
                <w:rFonts w:hint="eastAsia"/>
              </w:rPr>
              <w:t>散户</w:t>
            </w:r>
            <w:r>
              <w:t>居民点，可满足《声环境质量标准》（GB3096-2008）</w:t>
            </w:r>
            <w:r>
              <w:rPr>
                <w:rFonts w:hint="eastAsia"/>
                <w:lang w:val="en-US" w:eastAsia="zh-CN"/>
              </w:rPr>
              <w:t>4a</w:t>
            </w:r>
            <w:r>
              <w:t>类声环境要求</w:t>
            </w:r>
            <w:r>
              <w:rPr>
                <w:rFonts w:hint="default" w:ascii="Times New Roman" w:hAnsi="Times New Roman" w:cs="Times New Roman"/>
                <w:color w:val="auto"/>
                <w:u w:val="none" w:color="auto"/>
                <w:lang w:eastAsia="zh-CN"/>
              </w:rPr>
              <w:t>。</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综上所述，项目运营期厂界噪声</w:t>
            </w:r>
            <w:r>
              <w:rPr>
                <w:rFonts w:hint="eastAsia" w:cs="Times New Roman"/>
                <w:color w:val="auto"/>
                <w:u w:val="none" w:color="auto"/>
                <w:lang w:val="en-US" w:eastAsia="zh-CN"/>
              </w:rPr>
              <w:t>以及敏感点噪声</w:t>
            </w:r>
            <w:r>
              <w:rPr>
                <w:rFonts w:hint="default" w:ascii="Times New Roman" w:hAnsi="Times New Roman" w:cs="Times New Roman"/>
                <w:color w:val="auto"/>
                <w:u w:val="none" w:color="auto"/>
                <w:lang w:val="en-US"/>
              </w:rPr>
              <w:t>不超标</w:t>
            </w:r>
            <w:r>
              <w:rPr>
                <w:rFonts w:ascii="Times New Roman" w:hAnsi="Times New Roman" w:cs="Times New Roman"/>
                <w:color w:val="auto"/>
                <w:u w:val="none" w:color="auto"/>
              </w:rPr>
              <w:t>。</w:t>
            </w:r>
          </w:p>
          <w:p>
            <w:pPr>
              <w:bidi w:val="0"/>
            </w:pPr>
            <w:r>
              <w:rPr>
                <w:rFonts w:hint="eastAsia"/>
              </w:rPr>
              <w:t>为了确保各固定声源达标排放且对</w:t>
            </w:r>
            <w:r>
              <w:rPr>
                <w:rFonts w:hint="eastAsia"/>
                <w:lang w:val="en-US" w:eastAsia="zh-CN"/>
              </w:rPr>
              <w:t>项目</w:t>
            </w:r>
            <w:r>
              <w:rPr>
                <w:rFonts w:hint="eastAsia"/>
              </w:rPr>
              <w:t>周边敏感目标不造成声环境影响，本环评要求建设单位采取以下措施：</w:t>
            </w:r>
          </w:p>
          <w:p>
            <w:pPr>
              <w:bidi w:val="0"/>
            </w:pPr>
            <w:r>
              <w:rPr>
                <w:rFonts w:hint="eastAsia"/>
              </w:rPr>
              <w:t>①洗米机</w:t>
            </w:r>
            <w:r>
              <w:t>、</w:t>
            </w:r>
            <w:r>
              <w:rPr>
                <w:rFonts w:hint="eastAsia"/>
              </w:rPr>
              <w:t>大米定量输送机</w:t>
            </w:r>
            <w:r>
              <w:t xml:space="preserve">、粉碎机组均设置在生产厂房内，采取厂房隔声及设备基础减振； </w:t>
            </w:r>
          </w:p>
          <w:p>
            <w:pPr>
              <w:bidi w:val="0"/>
            </w:pPr>
            <w:r>
              <w:rPr>
                <w:rFonts w:hint="eastAsia"/>
              </w:rPr>
              <w:t>②</w:t>
            </w:r>
            <w:r>
              <w:t>锅炉离心风机</w:t>
            </w:r>
            <w:r>
              <w:rPr>
                <w:rFonts w:hint="eastAsia"/>
                <w:lang w:val="en-US" w:eastAsia="zh-CN"/>
              </w:rPr>
              <w:t>通过厂房</w:t>
            </w:r>
            <w:r>
              <w:t xml:space="preserve">隔声，在机组与地基之间安装减震器，在风机的进、出口安装消声器； </w:t>
            </w:r>
          </w:p>
          <w:p>
            <w:pPr>
              <w:bidi w:val="0"/>
            </w:pPr>
            <w:r>
              <w:rPr>
                <w:rFonts w:hint="eastAsia"/>
              </w:rPr>
              <w:t>③</w:t>
            </w:r>
            <w:r>
              <w:t xml:space="preserve">水泵、鼓风机在安装过程中应采取减振措施；在泵房和鼓风机房的四壁及房顶设吸声材料，安装隔声门窗；在鼓风机的进出风口处设置消声器；为鼓风机设置可拆卸式隔声罩； </w:t>
            </w:r>
          </w:p>
          <w:p>
            <w:pPr>
              <w:bidi w:val="0"/>
            </w:pPr>
            <w:r>
              <w:rPr>
                <w:rFonts w:hint="eastAsia"/>
              </w:rPr>
              <w:t>④</w:t>
            </w:r>
            <w:r>
              <w:t xml:space="preserve">运输车辆进出厂区时禁止车辆鸣笛，低速行驶； </w:t>
            </w:r>
          </w:p>
          <w:p>
            <w:pPr>
              <w:bidi w:val="0"/>
            </w:pPr>
            <w:r>
              <w:rPr>
                <w:rFonts w:hint="eastAsia"/>
              </w:rPr>
              <w:t>⑤</w:t>
            </w:r>
            <w:r>
              <w:t xml:space="preserve">加强厂区四周绿化。 </w:t>
            </w:r>
          </w:p>
          <w:p>
            <w:r>
              <w:rPr>
                <w:rFonts w:hint="eastAsia"/>
              </w:rPr>
              <w:t>通过上述降噪综合措施后，厂界处噪声可以达到《工业企业厂界环境噪声排放标准》（GB12348-2008）中</w:t>
            </w:r>
            <w:r>
              <w:rPr>
                <w:rFonts w:hint="eastAsia"/>
                <w:lang w:val="en-US" w:eastAsia="zh-CN"/>
              </w:rPr>
              <w:t>2、4</w:t>
            </w:r>
            <w:r>
              <w:rPr>
                <w:rFonts w:hint="eastAsia"/>
              </w:rPr>
              <w:t>类标准的要求，对周围环境和敏感点的影响较小。</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（3）自行监测计划</w:t>
            </w:r>
          </w:p>
          <w:p>
            <w:pPr>
              <w:wordWrap/>
              <w:overflowPunct w:val="0"/>
              <w:topLinePunct w:val="0"/>
              <w:autoSpaceDE w:val="0"/>
              <w:autoSpaceDN w:val="0"/>
              <w:ind w:firstLine="480"/>
              <w:rPr>
                <w:rFonts w:ascii="Times New Roman" w:hAnsi="Times New Roman" w:cs="Times New Roman"/>
                <w:color w:val="auto"/>
                <w:u w:val="none" w:color="auto"/>
              </w:rPr>
            </w:pPr>
            <w:r>
              <w:rPr>
                <w:rFonts w:hint="default" w:ascii="Times New Roman" w:hAnsi="Times New Roman" w:cs="Times New Roman"/>
                <w:color w:val="auto"/>
                <w:u w:val="none" w:color="auto"/>
              </w:rPr>
              <w:t>根据《</w:t>
            </w:r>
            <w:r>
              <w:rPr>
                <w:rFonts w:hint="default" w:ascii="Times New Roman" w:hAnsi="Times New Roman" w:cs="Times New Roman"/>
                <w:color w:val="auto"/>
                <w:u w:val="none" w:color="auto"/>
                <w:lang w:val="en-US"/>
              </w:rPr>
              <w:t>排污单位自行监测技术指南 食品制造》（HJ1084-2020）</w:t>
            </w:r>
            <w:r>
              <w:rPr>
                <w:rFonts w:hint="default" w:ascii="Times New Roman" w:hAnsi="Times New Roman" w:cs="Times New Roman"/>
                <w:color w:val="auto"/>
                <w:u w:val="none" w:color="auto"/>
              </w:rPr>
              <w:t>，本项目运营期噪声监测计划如下：</w:t>
            </w:r>
          </w:p>
          <w:p>
            <w:pPr>
              <w:pStyle w:val="43"/>
              <w:bidi w:val="0"/>
              <w:rPr>
                <w:rFonts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rPr>
              <w:t>4</w:t>
            </w:r>
            <w:r>
              <w:rPr>
                <w:rFonts w:hint="default" w:ascii="Times New Roman" w:hAnsi="Times New Roman" w:cs="Times New Roman"/>
                <w:u w:val="none" w:color="auto"/>
                <w:lang w:val="en-US" w:eastAsia="zh-CN"/>
              </w:rPr>
              <w:t>.2</w:t>
            </w:r>
            <w:r>
              <w:rPr>
                <w:rFonts w:ascii="Times New Roman" w:hAnsi="Times New Roman" w:cs="Times New Roman"/>
                <w:u w:val="none" w:color="auto"/>
              </w:rPr>
              <w:t>-</w:t>
            </w:r>
            <w:r>
              <w:rPr>
                <w:rFonts w:hint="eastAsia" w:ascii="Times New Roman" w:hAnsi="Times New Roman" w:cs="Times New Roman"/>
                <w:u w:val="none" w:color="auto"/>
                <w:lang w:val="en-US" w:eastAsia="zh-CN"/>
              </w:rPr>
              <w:t>2</w:t>
            </w:r>
            <w:r>
              <w:rPr>
                <w:rFonts w:hint="eastAsia" w:cs="Times New Roman"/>
                <w:u w:val="none" w:color="auto"/>
                <w:lang w:val="en-US" w:eastAsia="zh-CN"/>
              </w:rPr>
              <w:t>3</w:t>
            </w:r>
            <w:r>
              <w:rPr>
                <w:rFonts w:hint="default" w:ascii="Times New Roman" w:hAnsi="Times New Roman" w:cs="Times New Roman"/>
                <w:u w:val="none" w:color="auto"/>
              </w:rPr>
              <w:t>：项目噪声监测计划表</w:t>
            </w:r>
          </w:p>
          <w:tbl>
            <w:tblPr>
              <w:tblStyle w:val="29"/>
              <w:tblW w:w="494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382"/>
              <w:gridCol w:w="1242"/>
              <w:gridCol w:w="1933"/>
              <w:gridCol w:w="26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144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监测点位</w:t>
                  </w:r>
                </w:p>
              </w:tc>
              <w:tc>
                <w:tcPr>
                  <w:tcW w:w="75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监测指标</w:t>
                  </w:r>
                </w:p>
              </w:tc>
              <w:tc>
                <w:tcPr>
                  <w:tcW w:w="117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监测频次</w:t>
                  </w:r>
                </w:p>
              </w:tc>
              <w:tc>
                <w:tcPr>
                  <w:tcW w:w="162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执行排放标准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144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rPr>
                    <w:t>项目边界</w:t>
                  </w:r>
                  <w:r>
                    <w:rPr>
                      <w:rFonts w:hint="default" w:ascii="Times New Roman" w:hAnsi="Times New Roman" w:eastAsia="宋体" w:cs="Times New Roman"/>
                      <w:color w:val="auto"/>
                      <w:u w:val="none" w:color="auto"/>
                      <w:lang w:val="en-US" w:eastAsia="zh-CN"/>
                    </w:rPr>
                    <w:t>东西北</w:t>
                  </w:r>
                  <w:r>
                    <w:rPr>
                      <w:rFonts w:hint="default" w:ascii="Times New Roman" w:hAnsi="Times New Roman" w:eastAsia="宋体" w:cs="Times New Roman"/>
                      <w:color w:val="auto"/>
                      <w:u w:val="none" w:color="auto"/>
                    </w:rPr>
                    <w:t>外</w:t>
                  </w:r>
                  <w:r>
                    <w:rPr>
                      <w:rFonts w:hint="default" w:ascii="Times New Roman" w:hAnsi="Times New Roman" w:eastAsia="宋体" w:cs="Times New Roman"/>
                      <w:color w:val="auto"/>
                      <w:u w:val="none" w:color="auto"/>
                      <w:lang w:val="en-US"/>
                    </w:rPr>
                    <w:t>1m</w:t>
                  </w:r>
                </w:p>
              </w:tc>
              <w:tc>
                <w:tcPr>
                  <w:tcW w:w="753"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噪声</w:t>
                  </w:r>
                </w:p>
              </w:tc>
              <w:tc>
                <w:tcPr>
                  <w:tcW w:w="117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每季度一次</w:t>
                  </w:r>
                </w:p>
              </w:tc>
              <w:tc>
                <w:tcPr>
                  <w:tcW w:w="1628"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highlight w:val="none"/>
                      <w:u w:val="none" w:color="auto"/>
                      <w:lang w:val="en-US"/>
                    </w:rPr>
                    <w:t>《工业企业厂界环境噪声排放标准》中</w:t>
                  </w:r>
                  <w:r>
                    <w:rPr>
                      <w:rFonts w:hint="default" w:ascii="Times New Roman" w:hAnsi="Times New Roman" w:eastAsia="宋体"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lang w:val="en-US"/>
                    </w:rPr>
                    <w:t>类区标准</w:t>
                  </w:r>
                </w:p>
              </w:tc>
            </w:tr>
          </w:tbl>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4.2.4固体废物环境影响分析</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（1）固体废物产排量及去向</w:t>
            </w:r>
          </w:p>
          <w:p>
            <w:pPr>
              <w:bidi w:val="0"/>
              <w:rPr>
                <w:rFonts w:hint="default" w:ascii="Times New Roman" w:hAnsi="Times New Roman" w:cs="Times New Roman"/>
                <w:u w:val="none" w:color="auto"/>
              </w:rPr>
            </w:pPr>
            <w:r>
              <w:rPr>
                <w:rFonts w:hint="default" w:ascii="Times New Roman" w:hAnsi="Times New Roman" w:cs="Times New Roman"/>
                <w:u w:val="none" w:color="auto"/>
              </w:rPr>
              <w:t>本项目产生的固废主要为</w:t>
            </w:r>
            <w:r>
              <w:rPr>
                <w:rFonts w:hint="default" w:ascii="Times New Roman" w:hAnsi="Times New Roman" w:cs="Times New Roman"/>
                <w:u w:val="none" w:color="auto"/>
                <w:lang w:val="en-US" w:eastAsia="zh-CN"/>
              </w:rPr>
              <w:t>废包装袋、</w:t>
            </w:r>
            <w:r>
              <w:rPr>
                <w:rFonts w:hint="default" w:ascii="Times New Roman" w:hAnsi="Times New Roman" w:cs="Times New Roman"/>
                <w:u w:val="none" w:color="auto"/>
              </w:rPr>
              <w:t>职工生活垃圾、</w:t>
            </w:r>
            <w:r>
              <w:rPr>
                <w:rFonts w:hint="default" w:ascii="Times New Roman" w:hAnsi="Times New Roman" w:cs="Times New Roman"/>
                <w:u w:val="none" w:color="auto"/>
                <w:lang w:eastAsia="zh-CN"/>
              </w:rPr>
              <w:t>米粉</w:t>
            </w:r>
            <w:r>
              <w:rPr>
                <w:rFonts w:hint="default" w:ascii="Times New Roman" w:hAnsi="Times New Roman" w:cs="Times New Roman"/>
                <w:u w:val="none" w:color="auto"/>
              </w:rPr>
              <w:t>生产加工过程产生的</w:t>
            </w:r>
            <w:r>
              <w:rPr>
                <w:rFonts w:hint="default" w:ascii="Times New Roman" w:hAnsi="Times New Roman" w:cs="Times New Roman"/>
                <w:u w:val="none" w:color="auto"/>
                <w:lang w:eastAsia="zh-CN"/>
              </w:rPr>
              <w:t>废料</w:t>
            </w:r>
            <w:r>
              <w:rPr>
                <w:rFonts w:hint="default" w:ascii="Times New Roman" w:hAnsi="Times New Roman" w:cs="Times New Roman"/>
                <w:u w:val="none" w:color="auto"/>
              </w:rPr>
              <w:t>等、污水处理站污泥</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过期原辅料、砂石、检验室固废、废紫外灯管、除尘灰、</w:t>
            </w:r>
            <w:r>
              <w:rPr>
                <w:rFonts w:hint="default" w:ascii="Times New Roman" w:hAnsi="Times New Roman" w:cs="Times New Roman"/>
                <w:u w:val="none" w:color="auto"/>
              </w:rPr>
              <w:t>锅炉灰渣</w:t>
            </w:r>
            <w:r>
              <w:rPr>
                <w:rFonts w:hint="eastAsia" w:cs="Times New Roman"/>
                <w:u w:val="none" w:color="auto"/>
                <w:lang w:eastAsia="zh-CN"/>
              </w:rPr>
              <w:t>、</w:t>
            </w:r>
            <w:r>
              <w:rPr>
                <w:rFonts w:hint="eastAsia" w:cs="Times New Roman"/>
                <w:u w:val="none" w:color="auto"/>
                <w:lang w:val="en-US" w:eastAsia="zh-CN"/>
              </w:rPr>
              <w:t>检验室废液</w:t>
            </w:r>
            <w:r>
              <w:rPr>
                <w:rFonts w:hint="default" w:ascii="Times New Roman" w:hAnsi="Times New Roman" w:cs="Times New Roman"/>
                <w:u w:val="none" w:color="auto"/>
              </w:rPr>
              <w:t>等。</w:t>
            </w:r>
          </w:p>
          <w:p>
            <w:pPr>
              <w:wordWrap/>
              <w:overflowPunct w:val="0"/>
              <w:topLinePunct w:val="0"/>
              <w:autoSpaceDE w:val="0"/>
              <w:autoSpaceDN w:val="0"/>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①废包装物</w:t>
            </w:r>
          </w:p>
          <w:p>
            <w:pPr>
              <w:wordWrap/>
              <w:overflowPunct w:val="0"/>
              <w:topLinePunct w:val="0"/>
              <w:autoSpaceDE w:val="0"/>
              <w:autoSpaceDN w:val="0"/>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项目原辅料用完后会产生废包装物（废塑料袋）。根据《一般固体废物分类与代码》（GBT39198-2020），该部分固体废物属于废弃资源—废复合包装类，类别代码为07。其产生量约</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lang w:val="en-US"/>
              </w:rPr>
              <w:t>t/a，收集后外售给废品回收站。</w:t>
            </w:r>
          </w:p>
          <w:p>
            <w:pPr>
              <w:wordWrap/>
              <w:overflowPunct w:val="0"/>
              <w:topLinePunct w:val="0"/>
              <w:autoSpaceDE w:val="0"/>
              <w:autoSpaceDN w:val="0"/>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②生活垃圾</w:t>
            </w:r>
          </w:p>
          <w:p>
            <w:pPr>
              <w:wordWrap/>
              <w:overflowPunct w:val="0"/>
              <w:topLinePunct w:val="0"/>
              <w:autoSpaceDE w:val="0"/>
              <w:autoSpaceDN w:val="0"/>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项目运营期员工约</w:t>
            </w:r>
            <w:r>
              <w:rPr>
                <w:rFonts w:hint="default" w:ascii="Times New Roman" w:hAnsi="Times New Roman" w:cs="Times New Roman"/>
                <w:color w:val="auto"/>
                <w:u w:val="none" w:color="auto"/>
                <w:lang w:val="en-US" w:eastAsia="zh-CN"/>
              </w:rPr>
              <w:t>10</w:t>
            </w:r>
            <w:r>
              <w:rPr>
                <w:rFonts w:hint="default" w:ascii="Times New Roman" w:hAnsi="Times New Roman" w:cs="Times New Roman"/>
                <w:color w:val="auto"/>
                <w:u w:val="none" w:color="auto"/>
                <w:lang w:val="en-US"/>
              </w:rPr>
              <w:t>人</w:t>
            </w:r>
            <w:r>
              <w:rPr>
                <w:rFonts w:hint="eastAsia" w:cs="Times New Roman"/>
                <w:color w:val="auto"/>
                <w:u w:val="none" w:color="auto"/>
                <w:lang w:val="en-US" w:eastAsia="zh-CN"/>
              </w:rPr>
              <w:t>，</w:t>
            </w:r>
            <w:r>
              <w:rPr>
                <w:rFonts w:hint="default" w:ascii="Times New Roman" w:hAnsi="Times New Roman" w:cs="Times New Roman"/>
                <w:color w:val="auto"/>
                <w:u w:val="none" w:color="auto"/>
                <w:lang w:val="en-US"/>
              </w:rPr>
              <w:t>年工作时间3</w:t>
            </w:r>
            <w:r>
              <w:rPr>
                <w:rFonts w:hint="default"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rPr>
              <w:t>0d，员工生活垃圾产生系数按0.5kg/d.人计，则项目员工生活垃圾产生量</w:t>
            </w:r>
            <w:r>
              <w:rPr>
                <w:rFonts w:hint="eastAsia" w:cs="Times New Roman"/>
                <w:color w:val="auto"/>
                <w:u w:val="none" w:color="auto"/>
                <w:lang w:val="en-US" w:eastAsia="zh-CN"/>
              </w:rPr>
              <w:t>共计1.8</w:t>
            </w:r>
            <w:r>
              <w:rPr>
                <w:rFonts w:hint="default" w:ascii="Times New Roman" w:hAnsi="Times New Roman" w:cs="Times New Roman"/>
                <w:color w:val="auto"/>
                <w:u w:val="none" w:color="auto"/>
                <w:lang w:val="en-US"/>
              </w:rPr>
              <w:t>t/a</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rPr>
              <w:t>项目生活垃圾统一收集后由环卫部门清运</w:t>
            </w:r>
            <w:r>
              <w:rPr>
                <w:rFonts w:hint="default" w:ascii="Times New Roman" w:hAnsi="Times New Roman" w:cs="Times New Roman"/>
                <w:color w:val="auto"/>
                <w:u w:val="none" w:color="auto"/>
                <w:lang w:val="en-US" w:eastAsia="zh-CN"/>
              </w:rPr>
              <w:t>至吉首市垃圾焚烧厂焚烧处理</w:t>
            </w:r>
            <w:r>
              <w:rPr>
                <w:rFonts w:hint="default" w:ascii="Times New Roman" w:hAnsi="Times New Roman" w:cs="Times New Roman"/>
                <w:color w:val="auto"/>
                <w:u w:val="none" w:color="auto"/>
                <w:lang w:val="en-US"/>
              </w:rPr>
              <w:t>。</w:t>
            </w:r>
          </w:p>
          <w:p>
            <w:pPr>
              <w:wordWrap/>
              <w:overflowPunct w:val="0"/>
              <w:topLinePunct w:val="0"/>
              <w:autoSpaceDE w:val="0"/>
              <w:autoSpaceDN w:val="0"/>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rPr>
              <w:t>③污水处</w:t>
            </w:r>
            <w:r>
              <w:rPr>
                <w:rFonts w:hint="default" w:ascii="Times New Roman" w:hAnsi="Times New Roman" w:cs="Times New Roman"/>
                <w:color w:val="auto"/>
                <w:highlight w:val="none"/>
                <w:u w:val="none" w:color="auto"/>
                <w:lang w:val="en-US"/>
              </w:rPr>
              <w:t>理站</w:t>
            </w:r>
            <w:r>
              <w:rPr>
                <w:rFonts w:hint="default" w:ascii="Times New Roman" w:hAnsi="Times New Roman" w:cs="Times New Roman"/>
                <w:color w:val="auto"/>
                <w:highlight w:val="none"/>
                <w:u w:val="none" w:color="auto"/>
                <w:lang w:val="en-US" w:eastAsia="zh-CN"/>
              </w:rPr>
              <w:t>污泥</w:t>
            </w:r>
          </w:p>
          <w:p>
            <w:pPr>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rPr>
              <w:t>本项目污水处理站在处理污水的过程会产生少量污泥，每处理1kgBOD</w:t>
            </w:r>
            <w:r>
              <w:rPr>
                <w:rFonts w:hint="default" w:ascii="Times New Roman" w:hAnsi="Times New Roman" w:cs="Times New Roman"/>
                <w:color w:val="auto"/>
                <w:u w:val="none" w:color="auto"/>
                <w:vertAlign w:val="subscript"/>
              </w:rPr>
              <w:t>5</w:t>
            </w:r>
            <w:r>
              <w:rPr>
                <w:rFonts w:hint="default" w:ascii="Times New Roman" w:hAnsi="Times New Roman" w:cs="Times New Roman"/>
                <w:color w:val="auto"/>
                <w:u w:val="none" w:color="auto"/>
              </w:rPr>
              <w:t>的平均产泥量为0.37kg污泥，项目</w:t>
            </w:r>
            <w:r>
              <w:rPr>
                <w:rFonts w:hint="eastAsia" w:cs="Times New Roman"/>
                <w:color w:val="auto"/>
                <w:u w:val="none" w:color="auto"/>
                <w:lang w:val="en-US" w:eastAsia="zh-CN"/>
              </w:rPr>
              <w:t>两期工程</w:t>
            </w:r>
            <w:r>
              <w:rPr>
                <w:rFonts w:hint="default" w:ascii="Times New Roman" w:hAnsi="Times New Roman" w:cs="Times New Roman"/>
                <w:color w:val="auto"/>
                <w:u w:val="none" w:color="auto"/>
              </w:rPr>
              <w:t>预计削减BOD</w:t>
            </w:r>
            <w:r>
              <w:rPr>
                <w:rFonts w:hint="default" w:ascii="Times New Roman" w:hAnsi="Times New Roman" w:cs="Times New Roman"/>
                <w:color w:val="auto"/>
                <w:u w:val="none" w:color="auto"/>
                <w:vertAlign w:val="subscript"/>
              </w:rPr>
              <w:t>5</w:t>
            </w:r>
            <w:r>
              <w:rPr>
                <w:rFonts w:hint="default" w:ascii="Times New Roman" w:hAnsi="Times New Roman" w:cs="Times New Roman"/>
                <w:color w:val="auto"/>
                <w:u w:val="none" w:color="auto"/>
              </w:rPr>
              <w:t>：</w:t>
            </w:r>
            <w:r>
              <w:rPr>
                <w:rFonts w:hint="eastAsia" w:cs="Times New Roman"/>
                <w:highlight w:val="none"/>
                <w:u w:val="none" w:color="auto"/>
                <w:lang w:val="en-US" w:eastAsia="zh-CN"/>
              </w:rPr>
              <w:t>5.346</w:t>
            </w:r>
            <w:r>
              <w:rPr>
                <w:rFonts w:hint="default" w:ascii="Times New Roman" w:hAnsi="Times New Roman" w:cs="Times New Roman"/>
                <w:color w:val="auto"/>
                <w:u w:val="none" w:color="auto"/>
              </w:rPr>
              <w:t>t/a，则本项目污泥产生量约</w:t>
            </w:r>
            <w:r>
              <w:rPr>
                <w:rFonts w:hint="eastAsia" w:cs="Times New Roman"/>
                <w:color w:val="auto"/>
                <w:u w:val="none" w:color="auto"/>
                <w:lang w:val="en-US" w:eastAsia="zh-CN"/>
              </w:rPr>
              <w:t>1.98</w:t>
            </w:r>
            <w:r>
              <w:rPr>
                <w:rFonts w:hint="default" w:ascii="Times New Roman" w:hAnsi="Times New Roman" w:cs="Times New Roman"/>
                <w:color w:val="auto"/>
                <w:u w:val="none" w:color="auto"/>
              </w:rPr>
              <w:t>t/a，</w:t>
            </w:r>
            <w:r>
              <w:rPr>
                <w:rFonts w:hint="default" w:ascii="Times New Roman" w:hAnsi="Times New Roman" w:cs="Times New Roman"/>
                <w:color w:val="auto"/>
                <w:u w:val="none" w:color="auto"/>
                <w:lang w:val="en-US"/>
              </w:rPr>
              <w:t>根据《一般固体废物分类与代码》（GBT39198-2020），该部分固体废物属于属非特定行业中生产过程中产生的一般固体废物—非特定行业中产生的有机废水污泥。固废代码为62。</w:t>
            </w:r>
            <w:r>
              <w:rPr>
                <w:rFonts w:hint="default" w:ascii="Times New Roman" w:hAnsi="Times New Roman" w:cs="Times New Roman"/>
                <w:color w:val="auto"/>
                <w:u w:val="none" w:color="auto"/>
                <w:lang w:val="en-US" w:eastAsia="zh-CN"/>
              </w:rPr>
              <w:t>于污水处理站</w:t>
            </w:r>
            <w:r>
              <w:rPr>
                <w:rFonts w:hint="eastAsia" w:ascii="Times New Roman" w:hAnsi="Times New Roman" w:cs="Times New Roman"/>
                <w:color w:val="auto"/>
                <w:u w:val="none" w:color="auto"/>
                <w:lang w:val="en-US" w:eastAsia="zh-CN"/>
              </w:rPr>
              <w:t>处</w:t>
            </w:r>
            <w:r>
              <w:rPr>
                <w:rFonts w:hint="default" w:ascii="Times New Roman" w:hAnsi="Times New Roman" w:cs="Times New Roman"/>
                <w:color w:val="auto"/>
                <w:u w:val="none" w:color="auto"/>
                <w:lang w:eastAsia="zh-CN"/>
              </w:rPr>
              <w:t>修建</w:t>
            </w:r>
            <w:r>
              <w:rPr>
                <w:rFonts w:hint="eastAsia" w:ascii="Times New Roman" w:hAnsi="Times New Roman" w:cs="Times New Roman"/>
                <w:color w:val="auto"/>
                <w:u w:val="none" w:color="auto"/>
                <w:lang w:val="en-US" w:eastAsia="zh-CN"/>
              </w:rPr>
              <w:t>1个</w:t>
            </w:r>
            <w:r>
              <w:rPr>
                <w:rFonts w:hint="default" w:ascii="Times New Roman" w:hAnsi="Times New Roman" w:cs="Times New Roman"/>
                <w:color w:val="auto"/>
                <w:u w:val="none" w:color="auto"/>
                <w:lang w:eastAsia="zh-CN"/>
              </w:rPr>
              <w:t>污泥干化池（</w:t>
            </w:r>
            <w:r>
              <w:rPr>
                <w:rFonts w:hint="default" w:ascii="Times New Roman" w:hAnsi="Times New Roman" w:cs="Times New Roman"/>
                <w:color w:val="auto"/>
                <w:u w:val="none" w:color="auto"/>
                <w:lang w:val="en-US" w:eastAsia="zh-CN"/>
              </w:rPr>
              <w:t>3m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eastAsia="zh-CN"/>
              </w:rPr>
              <w:t>）对污泥进行脱水，</w:t>
            </w:r>
            <w:r>
              <w:rPr>
                <w:rFonts w:hint="default" w:ascii="Times New Roman" w:hAnsi="Times New Roman" w:cs="Times New Roman"/>
                <w:color w:val="auto"/>
                <w:u w:val="none" w:color="auto"/>
                <w:lang w:val="en-US" w:eastAsia="zh-CN"/>
              </w:rPr>
              <w:t>无需设置</w:t>
            </w:r>
            <w:r>
              <w:rPr>
                <w:rFonts w:hint="default" w:ascii="Times New Roman" w:hAnsi="Times New Roman" w:cs="Times New Roman"/>
                <w:u w:val="none" w:color="auto"/>
                <w:lang w:val="en-US" w:eastAsia="zh-CN"/>
              </w:rPr>
              <w:t>污泥压滤机</w:t>
            </w:r>
            <w:r>
              <w:rPr>
                <w:rFonts w:hint="default" w:ascii="Times New Roman" w:hAnsi="Times New Roman" w:cs="Times New Roman"/>
                <w:color w:val="auto"/>
                <w:u w:val="none" w:color="auto"/>
                <w:lang w:val="en-US" w:eastAsia="zh-CN"/>
              </w:rPr>
              <w:t>，</w:t>
            </w:r>
            <w:r>
              <w:rPr>
                <w:rFonts w:ascii="Times New Roman" w:hAnsi="Times New Roman" w:cs="Times New Roman"/>
                <w:color w:val="auto"/>
                <w:u w:val="none" w:color="auto"/>
              </w:rPr>
              <w:t>经污泥干化池脱水后的污泥</w:t>
            </w:r>
            <w:r>
              <w:rPr>
                <w:rFonts w:hint="default" w:ascii="Times New Roman" w:hAnsi="Times New Roman" w:cs="Times New Roman"/>
                <w:color w:val="auto"/>
                <w:u w:val="none" w:color="auto"/>
                <w:lang w:val="en-US" w:eastAsia="zh-CN"/>
              </w:rPr>
              <w:t>含水率约为80%，</w:t>
            </w:r>
            <w:r>
              <w:rPr>
                <w:rFonts w:hint="default" w:ascii="Times New Roman" w:hAnsi="Times New Roman" w:cs="Times New Roman"/>
                <w:color w:val="auto"/>
                <w:u w:val="none" w:color="auto"/>
                <w:lang w:eastAsia="zh-CN"/>
              </w:rPr>
              <w:t>采取</w:t>
            </w:r>
            <w:r>
              <w:rPr>
                <w:rFonts w:ascii="Times New Roman" w:hAnsi="Times New Roman" w:cs="Times New Roman"/>
                <w:color w:val="auto"/>
                <w:u w:val="none" w:color="auto"/>
              </w:rPr>
              <w:t>密闭</w:t>
            </w:r>
            <w:r>
              <w:rPr>
                <w:rFonts w:hint="default" w:ascii="Times New Roman" w:hAnsi="Times New Roman" w:cs="Times New Roman"/>
                <w:color w:val="auto"/>
                <w:u w:val="none" w:color="auto"/>
                <w:lang w:val="en-US" w:eastAsia="zh-CN"/>
              </w:rPr>
              <w:t>袋</w:t>
            </w:r>
            <w:r>
              <w:rPr>
                <w:rFonts w:ascii="Times New Roman" w:hAnsi="Times New Roman" w:cs="Times New Roman"/>
                <w:color w:val="auto"/>
                <w:u w:val="none" w:color="auto"/>
              </w:rPr>
              <w:t>封装</w:t>
            </w:r>
            <w:r>
              <w:rPr>
                <w:rFonts w:hint="default" w:ascii="Times New Roman" w:hAnsi="Times New Roman" w:cs="Times New Roman"/>
                <w:color w:val="auto"/>
                <w:u w:val="none" w:color="auto"/>
                <w:lang w:val="en-US" w:eastAsia="zh-CN"/>
              </w:rPr>
              <w:t>，交由环卫部门清运至吉首市垃圾焚烧厂焚烧处理</w:t>
            </w:r>
            <w:r>
              <w:rPr>
                <w:rFonts w:hint="default" w:ascii="Times New Roman" w:hAnsi="Times New Roman" w:cs="Times New Roman"/>
                <w:color w:val="auto"/>
                <w:u w:val="none" w:color="auto"/>
                <w:lang w:val="en-US"/>
              </w:rPr>
              <w:t>。</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④</w:t>
            </w:r>
            <w:r>
              <w:rPr>
                <w:rFonts w:hint="default" w:ascii="Times New Roman" w:hAnsi="Times New Roman" w:cs="Times New Roman"/>
                <w:u w:val="none" w:color="auto"/>
                <w:lang w:eastAsia="zh-CN"/>
              </w:rPr>
              <w:t>米粉</w:t>
            </w:r>
            <w:r>
              <w:rPr>
                <w:rFonts w:hint="default" w:ascii="Times New Roman" w:hAnsi="Times New Roman" w:cs="Times New Roman"/>
                <w:u w:val="none" w:color="auto"/>
              </w:rPr>
              <w:t>生产加工过程产生的</w:t>
            </w:r>
            <w:r>
              <w:rPr>
                <w:rFonts w:hint="default" w:ascii="Times New Roman" w:hAnsi="Times New Roman" w:cs="Times New Roman"/>
                <w:u w:val="none" w:color="auto"/>
                <w:lang w:eastAsia="zh-CN"/>
              </w:rPr>
              <w:t>废料</w:t>
            </w:r>
            <w:r>
              <w:rPr>
                <w:rFonts w:hint="default" w:ascii="Times New Roman" w:hAnsi="Times New Roman" w:cs="Times New Roman"/>
                <w:u w:val="none" w:color="auto"/>
              </w:rPr>
              <w:t>等</w:t>
            </w:r>
          </w:p>
          <w:p>
            <w:pPr>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项目各生产线会产生一些废弃料，包括</w:t>
            </w:r>
            <w:r>
              <w:rPr>
                <w:rFonts w:hint="default" w:ascii="Times New Roman" w:hAnsi="Times New Roman" w:cs="Times New Roman"/>
                <w:i w:val="0"/>
                <w:iCs w:val="0"/>
                <w:u w:val="none" w:color="auto"/>
                <w:lang w:eastAsia="zh-CN"/>
              </w:rPr>
              <w:t>生产过程中的废料、质检不合格产品等</w:t>
            </w:r>
            <w:r>
              <w:rPr>
                <w:rFonts w:hint="default" w:ascii="Times New Roman" w:hAnsi="Times New Roman" w:cs="Times New Roman"/>
                <w:color w:val="auto"/>
                <w:u w:val="none" w:color="auto"/>
                <w:lang w:val="en-US"/>
              </w:rPr>
              <w:t>。</w:t>
            </w:r>
            <w:r>
              <w:rPr>
                <w:rFonts w:hint="default" w:ascii="Times New Roman" w:hAnsi="Times New Roman" w:cs="Times New Roman"/>
                <w:color w:val="auto"/>
                <w:highlight w:val="none"/>
                <w:u w:val="none" w:color="auto"/>
                <w:lang w:val="en-US"/>
              </w:rPr>
              <w:t>根据物料平衡表，项目产生的废弃料</w:t>
            </w:r>
            <w:r>
              <w:rPr>
                <w:rFonts w:hint="eastAsia" w:cs="Times New Roman"/>
                <w:color w:val="auto"/>
                <w:highlight w:val="none"/>
                <w:u w:val="none" w:color="auto"/>
                <w:lang w:val="en-US" w:eastAsia="zh-CN"/>
              </w:rPr>
              <w:t>合计</w:t>
            </w:r>
            <w:r>
              <w:rPr>
                <w:rFonts w:hint="default" w:ascii="Times New Roman" w:hAnsi="Times New Roman" w:cs="Times New Roman"/>
                <w:color w:val="auto"/>
                <w:highlight w:val="none"/>
                <w:u w:val="none" w:color="auto"/>
                <w:lang w:val="en-US"/>
              </w:rPr>
              <w:t>为</w:t>
            </w:r>
            <w:r>
              <w:rPr>
                <w:rFonts w:hint="eastAsia" w:cs="Times New Roman"/>
                <w:color w:val="auto"/>
                <w:highlight w:val="none"/>
                <w:u w:val="none" w:color="auto"/>
                <w:lang w:val="en-US" w:eastAsia="zh-CN"/>
              </w:rPr>
              <w:t>8.365</w:t>
            </w:r>
            <w:r>
              <w:rPr>
                <w:rFonts w:hint="default" w:ascii="Times New Roman" w:hAnsi="Times New Roman" w:cs="Times New Roman"/>
                <w:color w:val="auto"/>
                <w:highlight w:val="none"/>
                <w:u w:val="none" w:color="auto"/>
                <w:lang w:val="en-US"/>
              </w:rPr>
              <w:t>t/a。</w:t>
            </w:r>
            <w:r>
              <w:rPr>
                <w:rFonts w:hint="default" w:ascii="Times New Roman" w:hAnsi="Times New Roman" w:cs="Times New Roman"/>
                <w:color w:val="auto"/>
                <w:u w:val="none" w:color="auto"/>
                <w:lang w:val="en-US"/>
              </w:rPr>
              <w:t>根据《一般固体废物分类与代码》（GBT39198-2020），该部分固体废物属于食品、饮料等行业产生的一般固体废物—其他食品加工废物，类别代码为39。这部分废物</w:t>
            </w:r>
            <w:r>
              <w:rPr>
                <w:rFonts w:hint="default" w:ascii="Times New Roman" w:hAnsi="Times New Roman" w:cs="Times New Roman"/>
                <w:color w:val="auto"/>
                <w:u w:val="none" w:color="auto"/>
                <w:lang w:val="en-US" w:eastAsia="zh-CN"/>
              </w:rPr>
              <w:t>易发酵腐臭，须日产日清，</w:t>
            </w:r>
            <w:r>
              <w:rPr>
                <w:rFonts w:hint="default" w:ascii="Times New Roman" w:hAnsi="Times New Roman" w:cs="Times New Roman"/>
                <w:i w:val="0"/>
                <w:iCs w:val="0"/>
                <w:u w:val="none" w:color="auto"/>
              </w:rPr>
              <w:t>集中收集后外售</w:t>
            </w:r>
            <w:r>
              <w:rPr>
                <w:rFonts w:hint="default" w:ascii="Times New Roman" w:hAnsi="Times New Roman" w:cs="Times New Roman"/>
                <w:i w:val="0"/>
                <w:iCs w:val="0"/>
                <w:u w:val="none" w:color="auto"/>
                <w:lang w:val="en-US" w:eastAsia="zh-CN"/>
              </w:rPr>
              <w:t>给猪场</w:t>
            </w:r>
            <w:r>
              <w:rPr>
                <w:rFonts w:hint="default" w:ascii="Times New Roman" w:hAnsi="Times New Roman" w:cs="Times New Roman"/>
                <w:i w:val="0"/>
                <w:iCs w:val="0"/>
                <w:u w:val="none" w:color="auto"/>
              </w:rPr>
              <w:t>用于饲料等</w:t>
            </w:r>
            <w:r>
              <w:rPr>
                <w:rFonts w:hint="default" w:ascii="Times New Roman" w:hAnsi="Times New Roman" w:cs="Times New Roman"/>
                <w:color w:val="auto"/>
                <w:u w:val="none" w:color="auto"/>
                <w:lang w:val="en-US"/>
              </w:rPr>
              <w:t>。</w:t>
            </w:r>
          </w:p>
          <w:p>
            <w:pPr>
              <w:keepNext w:val="0"/>
              <w:keepLines w:val="0"/>
              <w:pageBreakBefore w:val="0"/>
              <w:widowControl w:val="0"/>
              <w:kinsoku/>
              <w:overflowPunct/>
              <w:autoSpaceDE/>
              <w:autoSpaceDN/>
              <w:bidi w:val="0"/>
              <w:adjustRightInd/>
              <w:snapToGrid/>
              <w:spacing w:line="360" w:lineRule="auto"/>
              <w:ind w:left="0" w:leftChars="0" w:firstLine="480" w:firstLineChars="200"/>
              <w:textAlignment w:val="auto"/>
              <w:rPr>
                <w:rFonts w:ascii="Times New Roman" w:hAnsi="Times New Roman" w:cs="Times New Roman"/>
                <w:color w:val="auto"/>
                <w:sz w:val="24"/>
                <w:szCs w:val="24"/>
                <w:u w:val="none" w:color="auto"/>
                <w:lang w:val="en-US"/>
              </w:rPr>
            </w:pPr>
            <w:r>
              <w:rPr>
                <w:rFonts w:hint="default" w:ascii="Times New Roman" w:hAnsi="Times New Roman" w:cs="Times New Roman"/>
                <w:color w:val="auto"/>
                <w:sz w:val="24"/>
                <w:szCs w:val="24"/>
                <w:u w:val="none" w:color="auto"/>
                <w:lang w:val="en-US" w:eastAsia="zh-CN"/>
              </w:rPr>
              <w:t>⑤</w:t>
            </w:r>
            <w:r>
              <w:rPr>
                <w:rFonts w:hint="default" w:ascii="Times New Roman" w:hAnsi="Times New Roman" w:cs="Times New Roman"/>
                <w:color w:val="auto"/>
                <w:sz w:val="24"/>
                <w:szCs w:val="24"/>
                <w:u w:val="none" w:color="auto"/>
                <w:lang w:val="en-US"/>
              </w:rPr>
              <w:t>过期原辅料</w:t>
            </w:r>
          </w:p>
          <w:p>
            <w:pPr>
              <w:keepNext w:val="0"/>
              <w:keepLines w:val="0"/>
              <w:pageBreakBefore w:val="0"/>
              <w:widowControl w:val="0"/>
              <w:kinsoku/>
              <w:overflowPunct/>
              <w:autoSpaceDE/>
              <w:autoSpaceDN/>
              <w:bidi w:val="0"/>
              <w:adjustRightInd/>
              <w:snapToGrid/>
              <w:spacing w:line="360" w:lineRule="auto"/>
              <w:ind w:left="0" w:leftChars="0" w:firstLine="480" w:firstLineChars="200"/>
              <w:textAlignment w:val="auto"/>
              <w:rPr>
                <w:rFonts w:ascii="Times New Roman" w:hAnsi="Times New Roman" w:cs="Times New Roman"/>
                <w:color w:val="auto"/>
                <w:sz w:val="24"/>
                <w:szCs w:val="24"/>
                <w:u w:val="none" w:color="auto"/>
                <w:lang w:val="en-US"/>
              </w:rPr>
            </w:pPr>
            <w:r>
              <w:rPr>
                <w:rFonts w:hint="default" w:ascii="Times New Roman" w:hAnsi="Times New Roman" w:cs="Times New Roman"/>
                <w:color w:val="auto"/>
                <w:sz w:val="24"/>
                <w:szCs w:val="24"/>
                <w:u w:val="none" w:color="auto"/>
                <w:lang w:val="en-US"/>
              </w:rPr>
              <w:t>根据建设单位提供材料，项目生产会产生部分过期原辅料，一般产生量为</w:t>
            </w:r>
            <w:r>
              <w:rPr>
                <w:rFonts w:hint="eastAsia" w:cs="Times New Roman"/>
                <w:color w:val="auto"/>
                <w:sz w:val="24"/>
                <w:szCs w:val="24"/>
                <w:u w:val="none" w:color="auto"/>
                <w:lang w:val="en-US" w:eastAsia="zh-CN"/>
              </w:rPr>
              <w:t>1</w:t>
            </w:r>
            <w:r>
              <w:rPr>
                <w:rFonts w:hint="default" w:ascii="Times New Roman" w:hAnsi="Times New Roman" w:cs="Times New Roman"/>
                <w:color w:val="auto"/>
                <w:sz w:val="24"/>
                <w:szCs w:val="24"/>
                <w:u w:val="none" w:color="auto"/>
                <w:lang w:val="en-US"/>
              </w:rPr>
              <w:t>t/a</w:t>
            </w:r>
            <w:r>
              <w:rPr>
                <w:rFonts w:hint="default" w:ascii="Times New Roman" w:hAnsi="Times New Roman" w:cs="Times New Roman"/>
                <w:color w:val="auto"/>
                <w:sz w:val="24"/>
                <w:szCs w:val="24"/>
                <w:u w:val="none" w:color="auto"/>
                <w:lang w:val="en-US" w:eastAsia="zh-CN"/>
              </w:rPr>
              <w:t>，</w:t>
            </w:r>
            <w:r>
              <w:rPr>
                <w:rFonts w:hint="default" w:ascii="Times New Roman" w:hAnsi="Times New Roman" w:cs="Times New Roman"/>
                <w:color w:val="auto"/>
                <w:sz w:val="24"/>
                <w:szCs w:val="24"/>
                <w:u w:val="none" w:color="auto"/>
                <w:lang w:val="en-US"/>
              </w:rPr>
              <w:t>根据《一般固体废物分类与代码》（GBT39198-2020），该部分固体废物属于食品、饮料等行业产生的一般固体废物—其他食品加工废物，类别代码为39</w:t>
            </w:r>
            <w:r>
              <w:rPr>
                <w:rFonts w:hint="default" w:ascii="Times New Roman" w:hAnsi="Times New Roman" w:cs="Times New Roman"/>
                <w:color w:val="auto"/>
                <w:sz w:val="24"/>
                <w:szCs w:val="24"/>
                <w:u w:val="none" w:color="auto"/>
                <w:lang w:val="en-US" w:eastAsia="zh-CN"/>
              </w:rPr>
              <w:t>，</w:t>
            </w:r>
            <w:r>
              <w:rPr>
                <w:rFonts w:hint="default" w:ascii="Times New Roman" w:hAnsi="Times New Roman" w:cs="Times New Roman"/>
                <w:color w:val="auto"/>
                <w:sz w:val="24"/>
                <w:szCs w:val="24"/>
                <w:u w:val="none" w:color="auto"/>
                <w:lang w:val="en-US"/>
              </w:rPr>
              <w:t>项目过期原辅料</w:t>
            </w:r>
            <w:r>
              <w:rPr>
                <w:rFonts w:hint="default" w:ascii="Times New Roman" w:hAnsi="Times New Roman" w:cs="Times New Roman"/>
                <w:color w:val="auto"/>
                <w:sz w:val="24"/>
                <w:szCs w:val="24"/>
                <w:u w:val="none" w:color="auto"/>
                <w:lang w:val="en-US" w:eastAsia="zh-CN"/>
              </w:rPr>
              <w:t>可</w:t>
            </w:r>
            <w:r>
              <w:rPr>
                <w:rFonts w:hint="default" w:ascii="Times New Roman" w:hAnsi="Times New Roman" w:cs="Times New Roman"/>
                <w:i w:val="0"/>
                <w:iCs w:val="0"/>
                <w:u w:val="none" w:color="auto"/>
              </w:rPr>
              <w:t>集中收集后外售</w:t>
            </w:r>
            <w:r>
              <w:rPr>
                <w:rFonts w:hint="default" w:ascii="Times New Roman" w:hAnsi="Times New Roman" w:cs="Times New Roman"/>
                <w:i w:val="0"/>
                <w:iCs w:val="0"/>
                <w:u w:val="none" w:color="auto"/>
                <w:lang w:val="en-US" w:eastAsia="zh-CN"/>
              </w:rPr>
              <w:t>给猪场</w:t>
            </w:r>
            <w:r>
              <w:rPr>
                <w:rFonts w:hint="default" w:ascii="Times New Roman" w:hAnsi="Times New Roman" w:cs="Times New Roman"/>
                <w:i w:val="0"/>
                <w:iCs w:val="0"/>
                <w:u w:val="none" w:color="auto"/>
              </w:rPr>
              <w:t>用于饲料</w:t>
            </w:r>
            <w:r>
              <w:rPr>
                <w:rFonts w:hint="default" w:ascii="Times New Roman" w:hAnsi="Times New Roman" w:cs="Times New Roman"/>
                <w:color w:val="auto"/>
                <w:sz w:val="24"/>
                <w:szCs w:val="24"/>
                <w:u w:val="none" w:color="auto"/>
                <w:lang w:val="en-US"/>
              </w:rPr>
              <w:t>。</w:t>
            </w:r>
          </w:p>
          <w:p>
            <w:pPr>
              <w:keepNext w:val="0"/>
              <w:keepLines w:val="0"/>
              <w:pageBreakBefore w:val="0"/>
              <w:widowControl w:val="0"/>
              <w:kinsoku/>
              <w:overflowPunct/>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⑥砂石</w:t>
            </w:r>
          </w:p>
          <w:p>
            <w:pPr>
              <w:pStyle w:val="36"/>
              <w:keepNext w:val="0"/>
              <w:keepLines w:val="0"/>
              <w:pageBreakBefore w:val="0"/>
              <w:widowControl w:val="0"/>
              <w:kinsoku/>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u w:val="none" w:color="auto"/>
                <w:lang w:val="en-US"/>
              </w:rPr>
            </w:pPr>
            <w:r>
              <w:rPr>
                <w:rFonts w:hint="default" w:ascii="Times New Roman" w:hAnsi="Times New Roman" w:cs="Times New Roman"/>
                <w:color w:val="auto"/>
                <w:sz w:val="24"/>
                <w:szCs w:val="24"/>
                <w:u w:val="none" w:color="auto"/>
                <w:lang w:val="en-US"/>
              </w:rPr>
              <w:t>根据建设单位提供材料，</w:t>
            </w:r>
            <w:r>
              <w:rPr>
                <w:rFonts w:hint="default" w:ascii="Times New Roman" w:hAnsi="Times New Roman" w:cs="Times New Roman"/>
                <w:color w:val="auto"/>
                <w:sz w:val="24"/>
                <w:szCs w:val="24"/>
                <w:u w:val="none" w:color="auto"/>
              </w:rPr>
              <w:t>项目</w:t>
            </w:r>
            <w:r>
              <w:rPr>
                <w:rFonts w:hint="default" w:ascii="Times New Roman" w:hAnsi="Times New Roman" w:cs="Times New Roman"/>
                <w:color w:val="auto"/>
                <w:sz w:val="24"/>
                <w:szCs w:val="24"/>
                <w:u w:val="none" w:color="auto"/>
                <w:lang w:eastAsia="zh-CN"/>
              </w:rPr>
              <w:t>淘米产生的砂石</w:t>
            </w:r>
            <w:r>
              <w:rPr>
                <w:rFonts w:hint="default" w:ascii="Times New Roman" w:hAnsi="Times New Roman" w:cs="Times New Roman"/>
                <w:color w:val="auto"/>
                <w:sz w:val="24"/>
                <w:szCs w:val="24"/>
                <w:u w:val="none" w:color="auto"/>
              </w:rPr>
              <w:t>约为产品的</w:t>
            </w:r>
            <w:r>
              <w:rPr>
                <w:rFonts w:hint="default" w:ascii="Times New Roman" w:hAnsi="Times New Roman" w:cs="Times New Roman"/>
                <w:color w:val="auto"/>
                <w:sz w:val="24"/>
                <w:szCs w:val="24"/>
                <w:u w:val="none" w:color="auto"/>
                <w:lang w:val="en-US" w:eastAsia="zh-CN"/>
              </w:rPr>
              <w:t>0.01</w:t>
            </w:r>
            <w:r>
              <w:rPr>
                <w:rFonts w:hint="eastAsia" w:ascii="Times New Roman" w:cs="Times New Roman"/>
                <w:color w:val="auto"/>
                <w:sz w:val="24"/>
                <w:szCs w:val="24"/>
                <w:u w:val="none" w:color="auto"/>
                <w:lang w:val="en-US" w:eastAsia="zh-CN"/>
              </w:rPr>
              <w:t>%</w:t>
            </w:r>
            <w:r>
              <w:rPr>
                <w:rFonts w:hint="default" w:ascii="Times New Roman" w:hAnsi="Times New Roman" w:cs="Times New Roman"/>
                <w:color w:val="auto"/>
                <w:sz w:val="24"/>
                <w:szCs w:val="24"/>
                <w:u w:val="none" w:color="auto"/>
                <w:lang w:val="en-US"/>
              </w:rPr>
              <w:t>，则项目</w:t>
            </w:r>
            <w:r>
              <w:rPr>
                <w:rFonts w:hint="default" w:ascii="Times New Roman" w:hAnsi="Times New Roman" w:cs="Times New Roman"/>
                <w:color w:val="auto"/>
                <w:sz w:val="24"/>
                <w:szCs w:val="24"/>
                <w:u w:val="none" w:color="auto"/>
                <w:lang w:val="en-US" w:eastAsia="zh-CN"/>
              </w:rPr>
              <w:t>砂石</w:t>
            </w:r>
            <w:r>
              <w:rPr>
                <w:rFonts w:hint="default" w:ascii="Times New Roman" w:hAnsi="Times New Roman" w:cs="Times New Roman"/>
                <w:color w:val="auto"/>
                <w:sz w:val="24"/>
                <w:szCs w:val="24"/>
                <w:u w:val="none" w:color="auto"/>
                <w:lang w:val="en-US"/>
              </w:rPr>
              <w:t>产生量</w:t>
            </w:r>
            <w:r>
              <w:rPr>
                <w:rFonts w:hint="eastAsia" w:ascii="Times New Roman" w:cs="Times New Roman"/>
                <w:color w:val="auto"/>
                <w:sz w:val="24"/>
                <w:szCs w:val="24"/>
                <w:u w:val="none" w:color="auto"/>
                <w:lang w:val="en-US" w:eastAsia="zh-CN"/>
              </w:rPr>
              <w:t>合计</w:t>
            </w:r>
            <w:r>
              <w:rPr>
                <w:rFonts w:hint="default" w:ascii="Times New Roman" w:hAnsi="Times New Roman" w:cs="Times New Roman"/>
                <w:color w:val="auto"/>
                <w:sz w:val="24"/>
                <w:szCs w:val="24"/>
                <w:u w:val="none" w:color="auto"/>
                <w:lang w:val="en-US"/>
              </w:rPr>
              <w:t>为</w:t>
            </w:r>
            <w:r>
              <w:rPr>
                <w:rFonts w:hint="eastAsia" w:ascii="Times New Roman" w:cs="Times New Roman"/>
                <w:color w:val="auto"/>
                <w:sz w:val="24"/>
                <w:szCs w:val="24"/>
                <w:u w:val="none" w:color="auto"/>
                <w:lang w:val="en-US" w:eastAsia="zh-CN"/>
              </w:rPr>
              <w:t>0.18</w:t>
            </w:r>
            <w:r>
              <w:rPr>
                <w:rFonts w:hint="default" w:ascii="Times New Roman" w:hAnsi="Times New Roman" w:cs="Times New Roman"/>
                <w:color w:val="auto"/>
                <w:sz w:val="24"/>
                <w:szCs w:val="24"/>
                <w:u w:val="none" w:color="auto"/>
                <w:lang w:val="en-US"/>
              </w:rPr>
              <w:t>t</w:t>
            </w:r>
            <w:r>
              <w:rPr>
                <w:rFonts w:hint="default" w:ascii="Times New Roman" w:hAnsi="Times New Roman" w:cs="Times New Roman"/>
                <w:color w:val="auto"/>
                <w:sz w:val="24"/>
                <w:szCs w:val="24"/>
                <w:u w:val="none" w:color="auto"/>
                <w:lang w:val="en-US" w:eastAsia="zh-CN"/>
              </w:rPr>
              <w:t>，与</w:t>
            </w:r>
            <w:r>
              <w:rPr>
                <w:rFonts w:hint="default" w:ascii="Times New Roman" w:hAnsi="Times New Roman" w:cs="Times New Roman"/>
                <w:color w:val="auto"/>
                <w:sz w:val="24"/>
                <w:szCs w:val="24"/>
                <w:u w:val="none" w:color="auto"/>
                <w:lang w:val="en-US"/>
              </w:rPr>
              <w:t>生活垃圾统一收集后由环卫部门清运处理。根据《一般固体废物分类与代码》（GBT39198-2020），该部分固体废物属于食品、饮料等行业产生的一般固体废物—其他食品加工废物，类别代码为39。</w:t>
            </w:r>
          </w:p>
          <w:p>
            <w:pPr>
              <w:bidi w:val="0"/>
              <w:rPr>
                <w:rFonts w:hint="default" w:ascii="Times New Roman" w:hAnsi="Times New Roman" w:eastAsia="宋体" w:cs="Times New Roman"/>
                <w:highlight w:val="none"/>
                <w:u w:val="none" w:color="auto"/>
                <w:lang w:val="en-US" w:eastAsia="zh-CN"/>
              </w:rPr>
            </w:pPr>
            <w:r>
              <w:rPr>
                <w:rFonts w:hint="default" w:ascii="Times New Roman" w:hAnsi="Times New Roman" w:cs="Times New Roman"/>
                <w:highlight w:val="none"/>
                <w:u w:val="none" w:color="auto"/>
                <w:lang w:val="en-US" w:eastAsia="zh-CN"/>
              </w:rPr>
              <w:t>⑦检验室固废</w:t>
            </w:r>
          </w:p>
          <w:p>
            <w:pPr>
              <w:bidi w:val="0"/>
              <w:ind w:firstLine="480"/>
              <w:rPr>
                <w:rFonts w:hint="default" w:ascii="Times New Roman" w:hAnsi="Times New Roman" w:cs="Times New Roman"/>
                <w:color w:val="auto"/>
                <w:sz w:val="24"/>
                <w:szCs w:val="24"/>
                <w:highlight w:val="none"/>
                <w:u w:val="none" w:color="auto"/>
                <w:lang w:val="en-US"/>
              </w:rPr>
            </w:pPr>
            <w:r>
              <w:rPr>
                <w:rFonts w:hint="default" w:ascii="Times New Roman" w:hAnsi="Times New Roman" w:cs="Times New Roman"/>
                <w:highlight w:val="none"/>
                <w:u w:val="none" w:color="auto"/>
                <w:lang w:eastAsia="zh-CN"/>
              </w:rPr>
              <w:t>检验室主要利用仪器检测产品</w:t>
            </w:r>
            <w:r>
              <w:rPr>
                <w:rFonts w:hint="default" w:ascii="Times New Roman" w:hAnsi="Times New Roman" w:cs="Times New Roman"/>
                <w:highlight w:val="none"/>
                <w:u w:val="none" w:color="auto"/>
                <w:lang w:val="en-US" w:eastAsia="zh-CN"/>
              </w:rPr>
              <w:t>的</w:t>
            </w:r>
            <w:r>
              <w:rPr>
                <w:rFonts w:hint="default" w:ascii="Times New Roman" w:hAnsi="Times New Roman" w:cs="Times New Roman"/>
                <w:highlight w:val="none"/>
                <w:u w:val="none" w:color="auto"/>
              </w:rPr>
              <w:t>感官、水分、酸碱度、微生物菌落总数、大肠菌群等指标</w:t>
            </w:r>
            <w:r>
              <w:rPr>
                <w:rFonts w:hint="eastAsia" w:cs="Times New Roman"/>
                <w:highlight w:val="none"/>
                <w:u w:val="none" w:color="auto"/>
                <w:lang w:eastAsia="zh-CN"/>
              </w:rPr>
              <w:t>，</w:t>
            </w:r>
            <w:r>
              <w:rPr>
                <w:rFonts w:hint="eastAsia" w:cs="Times New Roman"/>
                <w:highlight w:val="none"/>
                <w:u w:val="none" w:color="auto"/>
                <w:lang w:val="en-US" w:eastAsia="zh-CN"/>
              </w:rPr>
              <w:t>不涉及重金属试剂的使用</w:t>
            </w:r>
            <w:r>
              <w:rPr>
                <w:rFonts w:hint="default" w:ascii="Times New Roman" w:hAnsi="Times New Roman" w:cs="Times New Roman"/>
                <w:szCs w:val="21"/>
                <w:highlight w:val="none"/>
                <w:u w:val="none" w:color="auto"/>
                <w:lang w:eastAsia="zh-CN"/>
              </w:rPr>
              <w:t>。</w:t>
            </w:r>
            <w:r>
              <w:rPr>
                <w:rFonts w:hint="default" w:ascii="Times New Roman" w:hAnsi="Times New Roman" w:cs="Times New Roman"/>
                <w:highlight w:val="none"/>
                <w:u w:val="none" w:color="auto"/>
                <w:lang w:eastAsia="zh-CN"/>
              </w:rPr>
              <w:t>检验</w:t>
            </w:r>
            <w:r>
              <w:rPr>
                <w:rFonts w:hint="default" w:ascii="Times New Roman" w:hAnsi="Times New Roman" w:cs="Times New Roman"/>
                <w:highlight w:val="none"/>
                <w:u w:val="none" w:color="auto"/>
              </w:rPr>
              <w:t>室进行检验工作时会产生</w:t>
            </w:r>
            <w:r>
              <w:rPr>
                <w:rFonts w:hint="default" w:ascii="Times New Roman" w:hAnsi="Times New Roman" w:cs="Times New Roman"/>
                <w:highlight w:val="none"/>
                <w:u w:val="none" w:color="auto"/>
                <w:lang w:eastAsia="zh-CN"/>
              </w:rPr>
              <w:t>一定的</w:t>
            </w:r>
            <w:r>
              <w:rPr>
                <w:rFonts w:hint="default" w:ascii="Times New Roman" w:hAnsi="Times New Roman" w:cs="Times New Roman"/>
                <w:highlight w:val="none"/>
                <w:u w:val="none" w:color="auto"/>
              </w:rPr>
              <w:t>固废，</w:t>
            </w:r>
            <w:r>
              <w:rPr>
                <w:rFonts w:hint="default" w:ascii="Times New Roman" w:hAnsi="Times New Roman" w:cs="Times New Roman"/>
                <w:highlight w:val="none"/>
                <w:u w:val="none" w:color="auto"/>
                <w:lang w:val="en-US" w:eastAsia="zh-CN"/>
              </w:rPr>
              <w:t>检验室</w:t>
            </w:r>
            <w:r>
              <w:rPr>
                <w:rFonts w:hint="eastAsia" w:cs="Times New Roman"/>
                <w:highlight w:val="none"/>
                <w:u w:val="none" w:color="auto"/>
                <w:lang w:val="en-US" w:eastAsia="zh-CN"/>
              </w:rPr>
              <w:t>固废</w:t>
            </w:r>
            <w:r>
              <w:rPr>
                <w:rFonts w:hint="default" w:ascii="Times New Roman" w:hAnsi="Times New Roman" w:cs="Times New Roman"/>
                <w:highlight w:val="none"/>
                <w:u w:val="none" w:color="auto"/>
              </w:rPr>
              <w:t>包括多余的样品、消耗或破碎的实验室用品</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rPr>
              <w:t>如</w:t>
            </w:r>
            <w:r>
              <w:rPr>
                <w:rFonts w:hint="default" w:ascii="Times New Roman" w:hAnsi="Times New Roman" w:cs="Times New Roman"/>
                <w:highlight w:val="none"/>
                <w:u w:val="none" w:color="auto"/>
                <w:lang w:val="en-US" w:eastAsia="zh-CN"/>
              </w:rPr>
              <w:t>按实验室管理要求进行清洗后的废弃的烧杯、量器、 漏斗等实验室用品</w:t>
            </w:r>
            <w:r>
              <w:rPr>
                <w:rFonts w:hint="default" w:ascii="Times New Roman" w:hAnsi="Times New Roman" w:cs="Times New Roman"/>
                <w:highlight w:val="none"/>
                <w:u w:val="none" w:color="auto"/>
              </w:rPr>
              <w:t>等</w:t>
            </w:r>
            <w:r>
              <w:rPr>
                <w:rFonts w:hint="default" w:ascii="Times New Roman" w:hAnsi="Times New Roman" w:cs="Times New Roman"/>
                <w:highlight w:val="none"/>
                <w:u w:val="none" w:color="auto"/>
                <w:lang w:eastAsia="zh-CN"/>
              </w:rPr>
              <w:t>）</w:t>
            </w:r>
            <w:r>
              <w:rPr>
                <w:rFonts w:hint="eastAsia" w:cs="Times New Roman"/>
                <w:highlight w:val="none"/>
                <w:u w:val="none" w:color="auto"/>
                <w:lang w:eastAsia="zh-CN"/>
              </w:rPr>
              <w:t>、</w:t>
            </w:r>
            <w:r>
              <w:rPr>
                <w:rFonts w:hint="default" w:ascii="Times New Roman" w:hAnsi="Times New Roman" w:cs="Times New Roman"/>
                <w:highlight w:val="none"/>
                <w:u w:val="none" w:color="auto"/>
              </w:rPr>
              <w:t>分析产品</w:t>
            </w:r>
            <w:r>
              <w:rPr>
                <w:rFonts w:hint="eastAsia" w:cs="Times New Roman"/>
                <w:highlight w:val="none"/>
                <w:u w:val="none" w:color="auto"/>
                <w:lang w:eastAsia="zh-CN"/>
              </w:rPr>
              <w:t>（</w:t>
            </w:r>
            <w:r>
              <w:rPr>
                <w:rFonts w:hint="eastAsia" w:cs="Times New Roman"/>
                <w:highlight w:val="none"/>
                <w:u w:val="none" w:color="auto"/>
                <w:lang w:val="en-US" w:eastAsia="zh-CN"/>
              </w:rPr>
              <w:t>如培养基</w:t>
            </w:r>
            <w:r>
              <w:rPr>
                <w:rFonts w:hint="eastAsia" w:cs="Times New Roman"/>
                <w:highlight w:val="none"/>
                <w:u w:val="none" w:color="auto"/>
                <w:lang w:eastAsia="zh-CN"/>
              </w:rPr>
              <w:t>）</w:t>
            </w:r>
            <w:r>
              <w:rPr>
                <w:rFonts w:hint="default" w:ascii="Times New Roman" w:hAnsi="Times New Roman" w:cs="Times New Roman"/>
                <w:highlight w:val="none"/>
                <w:u w:val="none" w:color="auto"/>
              </w:rPr>
              <w:t>等</w:t>
            </w:r>
            <w:r>
              <w:rPr>
                <w:rFonts w:hint="default" w:ascii="Times New Roman" w:hAnsi="Times New Roman" w:cs="Times New Roman"/>
                <w:highlight w:val="none"/>
                <w:u w:val="none" w:color="auto"/>
                <w:lang w:eastAsia="zh-CN"/>
              </w:rPr>
              <w:t>，</w:t>
            </w:r>
            <w:r>
              <w:rPr>
                <w:rFonts w:hint="default" w:ascii="Times New Roman" w:hAnsi="Times New Roman" w:cs="Times New Roman"/>
                <w:highlight w:val="none"/>
                <w:u w:val="none" w:color="auto"/>
              </w:rPr>
              <w:t>产生量约为0.5t/a，产生量较小</w:t>
            </w:r>
            <w:r>
              <w:rPr>
                <w:rFonts w:hint="default" w:ascii="Times New Roman" w:hAnsi="Times New Roman" w:cs="Times New Roman"/>
                <w:highlight w:val="none"/>
                <w:u w:val="none" w:color="auto"/>
                <w:lang w:eastAsia="zh-CN"/>
              </w:rPr>
              <w:t>，</w:t>
            </w:r>
            <w:r>
              <w:rPr>
                <w:rFonts w:hint="eastAsia" w:cs="Times New Roman"/>
                <w:highlight w:val="none"/>
                <w:u w:val="none" w:color="auto"/>
                <w:lang w:val="en-US" w:eastAsia="zh-CN"/>
              </w:rPr>
              <w:t>培养基经高温灭活后可按一般固废处置；因此检验室固废均</w:t>
            </w:r>
            <w:r>
              <w:rPr>
                <w:rFonts w:hint="default" w:ascii="Times New Roman" w:hAnsi="Times New Roman" w:cs="Times New Roman"/>
                <w:highlight w:val="none"/>
                <w:u w:val="none" w:color="auto"/>
                <w:lang w:eastAsia="zh-CN"/>
              </w:rPr>
              <w:t>属于一般固废，交由环卫部门清运，</w:t>
            </w:r>
            <w:r>
              <w:rPr>
                <w:rFonts w:hint="default" w:ascii="Times New Roman" w:hAnsi="Times New Roman" w:cs="Times New Roman"/>
                <w:color w:val="auto"/>
                <w:sz w:val="24"/>
                <w:szCs w:val="24"/>
                <w:highlight w:val="none"/>
                <w:u w:val="none" w:color="auto"/>
                <w:lang w:val="en-US"/>
              </w:rPr>
              <w:t>该部分固体废物属于</w:t>
            </w:r>
            <w:r>
              <w:rPr>
                <w:rFonts w:hint="default" w:ascii="Times New Roman" w:hAnsi="Times New Roman" w:cs="Times New Roman"/>
                <w:color w:val="auto"/>
                <w:sz w:val="24"/>
                <w:szCs w:val="24"/>
                <w:highlight w:val="none"/>
                <w:u w:val="none" w:color="auto"/>
                <w:lang w:val="en-US" w:eastAsia="zh-CN"/>
              </w:rPr>
              <w:t>非特定行业生产过程中产生</w:t>
            </w:r>
            <w:r>
              <w:rPr>
                <w:rFonts w:hint="default" w:ascii="Times New Roman" w:hAnsi="Times New Roman" w:cs="Times New Roman"/>
                <w:color w:val="auto"/>
                <w:sz w:val="24"/>
                <w:szCs w:val="24"/>
                <w:highlight w:val="none"/>
                <w:u w:val="none" w:color="auto"/>
                <w:lang w:val="en-US"/>
              </w:rPr>
              <w:t>的一般固体废物—其他废物，类别代码为</w:t>
            </w:r>
            <w:r>
              <w:rPr>
                <w:rFonts w:hint="default" w:ascii="Times New Roman" w:hAnsi="Times New Roman" w:cs="Times New Roman"/>
                <w:color w:val="auto"/>
                <w:sz w:val="24"/>
                <w:szCs w:val="24"/>
                <w:highlight w:val="none"/>
                <w:u w:val="none" w:color="auto"/>
                <w:lang w:val="en-US" w:eastAsia="zh-CN"/>
              </w:rPr>
              <w:t>99</w:t>
            </w:r>
            <w:r>
              <w:rPr>
                <w:rFonts w:hint="default" w:ascii="Times New Roman" w:hAnsi="Times New Roman" w:cs="Times New Roman"/>
                <w:color w:val="auto"/>
                <w:sz w:val="24"/>
                <w:szCs w:val="24"/>
                <w:highlight w:val="none"/>
                <w:u w:val="none" w:color="auto"/>
                <w:lang w:val="en-US"/>
              </w:rPr>
              <w:t>。</w:t>
            </w:r>
          </w:p>
          <w:p>
            <w:pPr>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⑧除尘灰</w:t>
            </w:r>
          </w:p>
          <w:p>
            <w:pPr>
              <w:bidi w:val="0"/>
              <w:rPr>
                <w:rFonts w:hint="default" w:ascii="Times New Roman" w:hAnsi="Times New Roman" w:cs="Times New Roman"/>
                <w:color w:val="auto"/>
                <w:sz w:val="24"/>
                <w:szCs w:val="24"/>
                <w:u w:val="none" w:color="auto"/>
                <w:lang w:val="en-US"/>
              </w:rPr>
            </w:pPr>
            <w:r>
              <w:rPr>
                <w:rFonts w:hint="default" w:ascii="Times New Roman" w:hAnsi="Times New Roman" w:cs="Times New Roman"/>
                <w:u w:val="none" w:color="auto"/>
                <w:lang w:val="en-US" w:eastAsia="zh-CN"/>
              </w:rPr>
              <w:t>生物质蒸汽发生器燃烧废气中的颗粒物经设备自带的湿式除尘器收集处理后自20m的DA001高空排放，被收集的粉尘量根据废气工程分析章节可知为130.5kg/a，属于</w:t>
            </w:r>
            <w:r>
              <w:rPr>
                <w:rFonts w:hint="default" w:ascii="Times New Roman" w:hAnsi="Times New Roman" w:cs="Times New Roman"/>
                <w:color w:val="auto"/>
                <w:sz w:val="24"/>
                <w:szCs w:val="24"/>
                <w:u w:val="none" w:color="auto"/>
                <w:lang w:val="en-US" w:eastAsia="zh-CN"/>
              </w:rPr>
              <w:t>非特定行业生产过程中产生</w:t>
            </w:r>
            <w:r>
              <w:rPr>
                <w:rFonts w:hint="default" w:ascii="Times New Roman" w:hAnsi="Times New Roman" w:cs="Times New Roman"/>
                <w:color w:val="auto"/>
                <w:sz w:val="24"/>
                <w:szCs w:val="24"/>
                <w:u w:val="none" w:color="auto"/>
                <w:lang w:val="en-US"/>
              </w:rPr>
              <w:t>的一般固体废物—</w:t>
            </w:r>
            <w:r>
              <w:rPr>
                <w:rFonts w:hint="default" w:ascii="Times New Roman" w:hAnsi="Times New Roman" w:cs="Times New Roman"/>
                <w:color w:val="auto"/>
                <w:sz w:val="24"/>
                <w:szCs w:val="24"/>
                <w:u w:val="none" w:color="auto"/>
                <w:lang w:val="en-US" w:eastAsia="zh-CN"/>
              </w:rPr>
              <w:t>工业粉尘</w:t>
            </w:r>
            <w:r>
              <w:rPr>
                <w:rFonts w:hint="default" w:ascii="Times New Roman" w:hAnsi="Times New Roman" w:cs="Times New Roman"/>
                <w:color w:val="auto"/>
                <w:sz w:val="24"/>
                <w:szCs w:val="24"/>
                <w:u w:val="none" w:color="auto"/>
                <w:lang w:val="en-US"/>
              </w:rPr>
              <w:t>，类别代码为</w:t>
            </w:r>
            <w:r>
              <w:rPr>
                <w:rFonts w:hint="default" w:ascii="Times New Roman" w:hAnsi="Times New Roman" w:cs="Times New Roman"/>
                <w:color w:val="auto"/>
                <w:sz w:val="24"/>
                <w:szCs w:val="24"/>
                <w:u w:val="none" w:color="auto"/>
                <w:lang w:val="en-US" w:eastAsia="zh-CN"/>
              </w:rPr>
              <w:t>66</w:t>
            </w:r>
            <w:r>
              <w:rPr>
                <w:rFonts w:hint="default" w:ascii="Times New Roman" w:hAnsi="Times New Roman" w:cs="Times New Roman"/>
                <w:color w:val="auto"/>
                <w:sz w:val="24"/>
                <w:szCs w:val="24"/>
                <w:u w:val="none" w:color="auto"/>
                <w:lang w:val="en-US"/>
              </w:rPr>
              <w:t>。</w:t>
            </w:r>
          </w:p>
          <w:p>
            <w:pPr>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⑨废紫外灯管</w:t>
            </w:r>
          </w:p>
          <w:p>
            <w:pPr>
              <w:bidi w:val="0"/>
              <w:rPr>
                <w:rFonts w:hint="default" w:ascii="Times New Roman" w:hAnsi="Times New Roman" w:cs="Times New Roman"/>
                <w:color w:val="auto"/>
                <w:sz w:val="24"/>
                <w:szCs w:val="24"/>
                <w:u w:val="none" w:color="auto"/>
                <w:lang w:val="en-US"/>
              </w:rPr>
            </w:pPr>
            <w:r>
              <w:rPr>
                <w:rFonts w:hint="default" w:ascii="Times New Roman" w:hAnsi="Times New Roman" w:cs="Times New Roman"/>
                <w:u w:val="none" w:color="auto"/>
                <w:lang w:val="en-US" w:eastAsia="zh-CN"/>
              </w:rPr>
              <w:t>污水处理站消毒采用紫外消毒</w:t>
            </w:r>
            <w:r>
              <w:rPr>
                <w:rFonts w:hint="eastAsia" w:cs="Times New Roman"/>
                <w:u w:val="none" w:color="auto"/>
                <w:lang w:val="en-US" w:eastAsia="zh-CN"/>
              </w:rPr>
              <w:t>以及车间内的消毒</w:t>
            </w:r>
            <w:r>
              <w:rPr>
                <w:rFonts w:hint="default" w:ascii="Times New Roman" w:hAnsi="Times New Roman" w:cs="Times New Roman"/>
                <w:u w:val="none" w:color="auto"/>
                <w:lang w:val="en-US" w:eastAsia="zh-CN"/>
              </w:rPr>
              <w:t>，因此会产生废紫外灯管，</w:t>
            </w:r>
            <w:r>
              <w:rPr>
                <w:rFonts w:hint="default" w:ascii="Times New Roman" w:hAnsi="Times New Roman" w:cs="Times New Roman"/>
                <w:u w:val="none" w:color="auto"/>
              </w:rPr>
              <w:t>产生量约为0.</w:t>
            </w:r>
            <w:r>
              <w:rPr>
                <w:rFonts w:hint="default" w:ascii="Times New Roman" w:hAnsi="Times New Roman" w:cs="Times New Roman"/>
                <w:u w:val="none" w:color="auto"/>
                <w:lang w:val="en-US" w:eastAsia="zh-CN"/>
              </w:rPr>
              <w:t>02</w:t>
            </w:r>
            <w:r>
              <w:rPr>
                <w:rFonts w:hint="default" w:ascii="Times New Roman" w:hAnsi="Times New Roman" w:cs="Times New Roman"/>
                <w:u w:val="none" w:color="auto"/>
              </w:rPr>
              <w:t>t/a，产生量较小</w:t>
            </w:r>
            <w:r>
              <w:rPr>
                <w:rFonts w:hint="default" w:ascii="Times New Roman" w:hAnsi="Times New Roman" w:cs="Times New Roman"/>
                <w:u w:val="none" w:color="auto"/>
                <w:lang w:eastAsia="zh-CN"/>
              </w:rPr>
              <w:t>，属于</w:t>
            </w:r>
            <w:r>
              <w:rPr>
                <w:rFonts w:hint="default" w:ascii="Times New Roman" w:hAnsi="Times New Roman" w:cs="Times New Roman"/>
                <w:u w:val="none" w:color="auto"/>
                <w:lang w:val="en-US" w:eastAsia="zh-CN"/>
              </w:rPr>
              <w:t>危险废物</w:t>
            </w:r>
            <w:r>
              <w:rPr>
                <w:rFonts w:hint="default" w:ascii="Times New Roman" w:hAnsi="Times New Roman" w:cs="Times New Roman"/>
                <w:u w:val="none" w:color="auto"/>
                <w:lang w:eastAsia="zh-CN"/>
              </w:rPr>
              <w:t>，交由</w:t>
            </w:r>
            <w:r>
              <w:rPr>
                <w:rFonts w:hint="default" w:ascii="Times New Roman" w:hAnsi="Times New Roman" w:cs="Times New Roman"/>
                <w:u w:val="none" w:color="auto"/>
                <w:lang w:val="en-US" w:eastAsia="zh-CN"/>
              </w:rPr>
              <w:t>有资质的单位处置，</w:t>
            </w:r>
            <w:r>
              <w:rPr>
                <w:rFonts w:hint="default" w:ascii="Times New Roman" w:hAnsi="Times New Roman" w:cs="Times New Roman"/>
                <w:color w:val="auto"/>
                <w:sz w:val="24"/>
                <w:szCs w:val="24"/>
                <w:u w:val="none" w:color="auto"/>
                <w:lang w:val="en-US"/>
              </w:rPr>
              <w:t>该部分固体废物属于</w:t>
            </w:r>
            <w:r>
              <w:rPr>
                <w:rFonts w:hint="default" w:ascii="Times New Roman" w:hAnsi="Times New Roman" w:cs="Times New Roman"/>
                <w:color w:val="auto"/>
                <w:sz w:val="24"/>
                <w:szCs w:val="24"/>
                <w:u w:val="none" w:color="auto"/>
                <w:lang w:val="en-US" w:eastAsia="zh-CN"/>
              </w:rPr>
              <w:t>《国家危险废物管理名录》中的HW29含汞废物，非特定行业中</w:t>
            </w:r>
            <w:r>
              <w:rPr>
                <w:rFonts w:hint="default" w:ascii="Times New Roman" w:hAnsi="Times New Roman" w:cs="Times New Roman"/>
                <w:color w:val="auto"/>
                <w:sz w:val="24"/>
                <w:szCs w:val="24"/>
                <w:u w:val="none" w:color="auto"/>
                <w:lang w:val="en-US"/>
              </w:rPr>
              <w:t>的</w:t>
            </w:r>
            <w:r>
              <w:rPr>
                <w:rFonts w:hint="default" w:ascii="Times New Roman" w:hAnsi="Times New Roman" w:cs="Times New Roman"/>
                <w:color w:val="auto"/>
                <w:sz w:val="24"/>
                <w:szCs w:val="24"/>
                <w:u w:val="none" w:color="auto"/>
                <w:lang w:val="en-US" w:eastAsia="zh-CN"/>
              </w:rPr>
              <w:t>900-023-29</w:t>
            </w:r>
            <w:r>
              <w:rPr>
                <w:rFonts w:hint="default" w:ascii="Times New Roman" w:hAnsi="Times New Roman" w:cs="Times New Roman"/>
                <w:color w:val="auto"/>
                <w:sz w:val="24"/>
                <w:szCs w:val="24"/>
                <w:u w:val="none" w:color="auto"/>
                <w:lang w:val="en-US"/>
              </w:rPr>
              <w:t>。</w:t>
            </w:r>
          </w:p>
          <w:p>
            <w:pPr>
              <w:bidi w:val="0"/>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⑩</w:t>
            </w:r>
            <w:r>
              <w:rPr>
                <w:rFonts w:hint="default" w:ascii="Times New Roman" w:hAnsi="Times New Roman" w:cs="Times New Roman"/>
                <w:u w:val="none" w:color="auto"/>
              </w:rPr>
              <w:t>锅炉灰渣</w:t>
            </w:r>
          </w:p>
          <w:p>
            <w:pPr>
              <w:ind w:firstLine="480"/>
              <w:rPr>
                <w:rFonts w:hint="default" w:ascii="Times New Roman" w:hAnsi="Times New Roman" w:cs="Times New Roman"/>
                <w:u w:val="none" w:color="auto"/>
              </w:rPr>
            </w:pPr>
            <w:r>
              <w:rPr>
                <w:rFonts w:hint="default" w:ascii="Times New Roman" w:hAnsi="Times New Roman" w:cs="Times New Roman"/>
                <w:u w:val="none" w:color="auto"/>
              </w:rPr>
              <w:t>根据本项目燃烧的成型生物质颗粒计算，灰分含量占5.0%，</w:t>
            </w:r>
            <w:r>
              <w:rPr>
                <w:rFonts w:hint="eastAsia" w:cs="Times New Roman"/>
                <w:u w:val="none" w:color="auto"/>
                <w:lang w:val="en-US" w:eastAsia="zh-CN"/>
              </w:rPr>
              <w:t>项目</w:t>
            </w:r>
            <w:r>
              <w:rPr>
                <w:rFonts w:hint="eastAsia" w:cs="Times New Roman"/>
                <w:color w:val="auto"/>
                <w:u w:val="none" w:color="auto"/>
                <w:lang w:val="en-US" w:eastAsia="zh-CN"/>
              </w:rPr>
              <w:t>两期工程</w:t>
            </w:r>
            <w:r>
              <w:rPr>
                <w:rFonts w:hint="default" w:ascii="Times New Roman" w:hAnsi="Times New Roman" w:cs="Times New Roman"/>
                <w:u w:val="none" w:color="auto"/>
              </w:rPr>
              <w:t>年耗燃料量</w:t>
            </w:r>
            <w:r>
              <w:rPr>
                <w:rFonts w:hint="default" w:ascii="Times New Roman" w:hAnsi="Times New Roman" w:cs="Times New Roman"/>
                <w:u w:val="none" w:color="auto"/>
                <w:lang w:val="en-US" w:eastAsia="zh-CN"/>
              </w:rPr>
              <w:t>300</w:t>
            </w:r>
            <w:r>
              <w:rPr>
                <w:rFonts w:hint="default" w:ascii="Times New Roman" w:hAnsi="Times New Roman" w:cs="Times New Roman"/>
                <w:u w:val="none" w:color="auto"/>
              </w:rPr>
              <w:t>t，根据《环境统计手册》P165中暗按灰渣平衡法计算锅炉灰渣产生量。由灰渣平衡公式可以导出灰渣产生量计算公式：</w:t>
            </w:r>
          </w:p>
          <w:p>
            <w:pPr>
              <w:tabs>
                <w:tab w:val="center" w:pos="4472"/>
                <w:tab w:val="left" w:pos="7065"/>
              </w:tabs>
              <w:ind w:firstLine="643"/>
              <w:jc w:val="center"/>
              <w:rPr>
                <w:rFonts w:hint="default" w:ascii="Times New Roman" w:hAnsi="Times New Roman" w:cs="Times New Roman"/>
                <w:b/>
                <w:bCs/>
                <w:szCs w:val="24"/>
                <w:u w:val="none" w:color="auto"/>
              </w:rPr>
            </w:pPr>
            <w:r>
              <w:rPr>
                <w:rFonts w:ascii="Times New Roman" w:hAnsi="Times New Roman" w:cs="Times New Roman"/>
                <w:b/>
                <w:bCs/>
                <w:sz w:val="32"/>
                <w:szCs w:val="32"/>
                <w:u w:val="none" w:color="auto"/>
              </w:rPr>
              <w:t>G</w:t>
            </w:r>
            <w:r>
              <w:rPr>
                <w:rFonts w:ascii="Times New Roman" w:hAnsi="Times New Roman" w:cs="Times New Roman"/>
                <w:b/>
                <w:bCs/>
                <w:sz w:val="32"/>
                <w:szCs w:val="32"/>
                <w:u w:val="none" w:color="auto"/>
                <w:vertAlign w:val="subscript"/>
              </w:rPr>
              <w:t>灰渣</w:t>
            </w:r>
            <w:r>
              <w:rPr>
                <w:rFonts w:ascii="Times New Roman" w:hAnsi="Times New Roman" w:cs="Times New Roman"/>
                <w:b/>
                <w:bCs/>
                <w:sz w:val="32"/>
                <w:szCs w:val="32"/>
                <w:u w:val="none" w:color="auto"/>
              </w:rPr>
              <w:t>=</w:t>
            </w:r>
            <w:r>
              <w:rPr>
                <w:rFonts w:ascii="Times New Roman" w:hAnsi="Times New Roman" w:cs="Times New Roman"/>
                <w:b/>
                <w:bCs/>
                <w:sz w:val="32"/>
                <w:szCs w:val="32"/>
                <w:u w:val="none" w:color="auto"/>
              </w:rPr>
              <w:fldChar w:fldCharType="begin"/>
            </w:r>
            <w:r>
              <w:rPr>
                <w:rFonts w:ascii="Times New Roman" w:hAnsi="Times New Roman" w:cs="Times New Roman"/>
                <w:b/>
                <w:bCs/>
                <w:sz w:val="32"/>
                <w:szCs w:val="32"/>
                <w:u w:val="none" w:color="auto"/>
              </w:rPr>
              <w:instrText xml:space="preserve"> QUOTE </w:instrText>
            </w:r>
            <w:r>
              <w:rPr>
                <w:rFonts w:ascii="Times New Roman" w:hAnsi="Times New Roman" w:cs="Times New Roman"/>
                <w:b/>
                <w:bCs/>
                <w:position w:val="-24"/>
                <w:sz w:val="32"/>
                <w:szCs w:val="32"/>
                <w:u w:val="none" w:color="auto"/>
              </w:rPr>
              <w:drawing>
                <wp:inline distT="0" distB="0" distL="114300" distR="114300">
                  <wp:extent cx="400050" cy="400050"/>
                  <wp:effectExtent l="0" t="0" r="0" b="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400050" cy="400050"/>
                          </a:xfrm>
                          <a:prstGeom prst="rect">
                            <a:avLst/>
                          </a:prstGeom>
                          <a:noFill/>
                          <a:ln>
                            <a:noFill/>
                          </a:ln>
                        </pic:spPr>
                      </pic:pic>
                    </a:graphicData>
                  </a:graphic>
                </wp:inline>
              </w:drawing>
            </w:r>
            <w:r>
              <w:rPr>
                <w:rFonts w:ascii="Times New Roman" w:hAnsi="Times New Roman" w:cs="Times New Roman"/>
                <w:b/>
                <w:bCs/>
                <w:sz w:val="32"/>
                <w:szCs w:val="32"/>
                <w:u w:val="none" w:color="auto"/>
              </w:rPr>
              <w:instrText xml:space="preserve"> </w:instrText>
            </w:r>
            <w:r>
              <w:rPr>
                <w:rFonts w:ascii="Times New Roman" w:hAnsi="Times New Roman" w:cs="Times New Roman"/>
                <w:b/>
                <w:bCs/>
                <w:sz w:val="32"/>
                <w:szCs w:val="32"/>
                <w:u w:val="none" w:color="auto"/>
              </w:rPr>
              <w:fldChar w:fldCharType="separate"/>
            </w:r>
            <w:r>
              <w:rPr>
                <w:rFonts w:ascii="Times New Roman" w:hAnsi="Times New Roman" w:cs="Times New Roman"/>
                <w:b/>
                <w:bCs/>
                <w:position w:val="-24"/>
                <w:sz w:val="32"/>
                <w:szCs w:val="32"/>
                <w:u w:val="none" w:color="auto"/>
              </w:rPr>
              <w:drawing>
                <wp:inline distT="0" distB="0" distL="114300" distR="114300">
                  <wp:extent cx="591185" cy="591185"/>
                  <wp:effectExtent l="0" t="0" r="18415" b="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591185" cy="591185"/>
                          </a:xfrm>
                          <a:prstGeom prst="rect">
                            <a:avLst/>
                          </a:prstGeom>
                          <a:noFill/>
                          <a:ln>
                            <a:noFill/>
                          </a:ln>
                        </pic:spPr>
                      </pic:pic>
                    </a:graphicData>
                  </a:graphic>
                </wp:inline>
              </w:drawing>
            </w:r>
            <w:r>
              <w:rPr>
                <w:rFonts w:ascii="Times New Roman" w:hAnsi="Times New Roman" w:cs="Times New Roman"/>
                <w:b/>
                <w:bCs/>
                <w:sz w:val="32"/>
                <w:szCs w:val="32"/>
                <w:u w:val="none" w:color="auto"/>
              </w:rPr>
              <w:fldChar w:fldCharType="end"/>
            </w:r>
            <w:r>
              <w:rPr>
                <w:rFonts w:ascii="Times New Roman" w:hAnsi="Times New Roman" w:cs="Times New Roman"/>
                <w:b/>
                <w:bCs/>
                <w:sz w:val="32"/>
                <w:szCs w:val="32"/>
                <w:u w:val="none" w:color="auto"/>
              </w:rPr>
              <w:t>+</w:t>
            </w:r>
            <w:r>
              <w:rPr>
                <w:rFonts w:ascii="Times New Roman" w:hAnsi="Times New Roman" w:cs="Times New Roman"/>
                <w:b/>
                <w:bCs/>
                <w:sz w:val="32"/>
                <w:szCs w:val="32"/>
                <w:u w:val="none" w:color="auto"/>
              </w:rPr>
              <w:fldChar w:fldCharType="begin"/>
            </w:r>
            <w:r>
              <w:rPr>
                <w:rFonts w:ascii="Times New Roman" w:hAnsi="Times New Roman" w:cs="Times New Roman"/>
                <w:b/>
                <w:bCs/>
                <w:sz w:val="32"/>
                <w:szCs w:val="32"/>
                <w:u w:val="none" w:color="auto"/>
              </w:rPr>
              <w:instrText xml:space="preserve"> QUOTE </w:instrText>
            </w:r>
            <w:r>
              <w:rPr>
                <w:rFonts w:ascii="Times New Roman" w:hAnsi="Times New Roman" w:cs="Times New Roman"/>
                <w:b/>
                <w:bCs/>
                <w:position w:val="-24"/>
                <w:sz w:val="32"/>
                <w:szCs w:val="32"/>
                <w:u w:val="none" w:color="auto"/>
              </w:rPr>
              <w:drawing>
                <wp:inline distT="0" distB="0" distL="114300" distR="114300">
                  <wp:extent cx="495300" cy="400050"/>
                  <wp:effectExtent l="0" t="0" r="0" b="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495300" cy="400050"/>
                          </a:xfrm>
                          <a:prstGeom prst="rect">
                            <a:avLst/>
                          </a:prstGeom>
                          <a:noFill/>
                          <a:ln>
                            <a:noFill/>
                          </a:ln>
                        </pic:spPr>
                      </pic:pic>
                    </a:graphicData>
                  </a:graphic>
                </wp:inline>
              </w:drawing>
            </w:r>
            <w:r>
              <w:rPr>
                <w:rFonts w:ascii="Times New Roman" w:hAnsi="Times New Roman" w:cs="Times New Roman"/>
                <w:b/>
                <w:bCs/>
                <w:sz w:val="32"/>
                <w:szCs w:val="32"/>
                <w:u w:val="none" w:color="auto"/>
              </w:rPr>
              <w:instrText xml:space="preserve"> </w:instrText>
            </w:r>
            <w:r>
              <w:rPr>
                <w:rFonts w:ascii="Times New Roman" w:hAnsi="Times New Roman" w:cs="Times New Roman"/>
                <w:b/>
                <w:bCs/>
                <w:sz w:val="32"/>
                <w:szCs w:val="32"/>
                <w:u w:val="none" w:color="auto"/>
              </w:rPr>
              <w:fldChar w:fldCharType="separate"/>
            </w:r>
            <w:r>
              <w:rPr>
                <w:rFonts w:ascii="Times New Roman" w:hAnsi="Times New Roman" w:cs="Times New Roman"/>
                <w:b/>
                <w:bCs/>
                <w:position w:val="-24"/>
                <w:sz w:val="32"/>
                <w:szCs w:val="32"/>
                <w:u w:val="none" w:color="auto"/>
              </w:rPr>
              <w:drawing>
                <wp:inline distT="0" distB="0" distL="114300" distR="114300">
                  <wp:extent cx="694690" cy="560070"/>
                  <wp:effectExtent l="0" t="0" r="1016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694690" cy="560070"/>
                          </a:xfrm>
                          <a:prstGeom prst="rect">
                            <a:avLst/>
                          </a:prstGeom>
                          <a:noFill/>
                          <a:ln>
                            <a:noFill/>
                          </a:ln>
                        </pic:spPr>
                      </pic:pic>
                    </a:graphicData>
                  </a:graphic>
                </wp:inline>
              </w:drawing>
            </w:r>
            <w:r>
              <w:rPr>
                <w:rFonts w:ascii="Times New Roman" w:hAnsi="Times New Roman" w:cs="Times New Roman"/>
                <w:b/>
                <w:bCs/>
                <w:sz w:val="32"/>
                <w:szCs w:val="32"/>
                <w:u w:val="none" w:color="auto"/>
              </w:rPr>
              <w:fldChar w:fldCharType="end"/>
            </w:r>
            <w:r>
              <w:rPr>
                <w:rFonts w:hint="default" w:ascii="Times New Roman" w:hAnsi="Times New Roman" w:cs="Times New Roman"/>
                <w:b/>
                <w:bCs/>
                <w:szCs w:val="24"/>
                <w:u w:val="none" w:color="auto"/>
              </w:rPr>
              <w:t>（6-29）</w:t>
            </w:r>
          </w:p>
          <w:p>
            <w:pPr>
              <w:tabs>
                <w:tab w:val="center" w:pos="4472"/>
                <w:tab w:val="left" w:pos="7065"/>
              </w:tabs>
              <w:ind w:firstLine="0" w:firstLineChars="0"/>
              <w:jc w:val="left"/>
              <w:rPr>
                <w:rFonts w:hint="default" w:ascii="Times New Roman" w:hAnsi="Times New Roman" w:cs="Times New Roman"/>
                <w:b/>
                <w:bCs/>
                <w:szCs w:val="24"/>
                <w:u w:val="none" w:color="auto"/>
              </w:rPr>
            </w:pPr>
            <w:r>
              <w:rPr>
                <w:rFonts w:hint="default" w:ascii="Times New Roman" w:hAnsi="Times New Roman" w:cs="Times New Roman"/>
                <w:b/>
                <w:bCs/>
                <w:szCs w:val="24"/>
                <w:u w:val="none" w:color="auto"/>
              </w:rPr>
              <w:t>式中：</w:t>
            </w:r>
          </w:p>
          <w:p>
            <w:pPr>
              <w:tabs>
                <w:tab w:val="center" w:pos="4472"/>
                <w:tab w:val="left" w:pos="7065"/>
              </w:tabs>
              <w:ind w:firstLine="465" w:firstLineChars="0"/>
              <w:jc w:val="left"/>
              <w:rPr>
                <w:rFonts w:hint="default" w:ascii="Times New Roman" w:hAnsi="Times New Roman" w:cs="Times New Roman"/>
                <w:szCs w:val="24"/>
                <w:u w:val="none" w:color="auto"/>
              </w:rPr>
            </w:pPr>
            <w:r>
              <w:rPr>
                <w:rFonts w:hint="default" w:ascii="Times New Roman" w:hAnsi="Times New Roman" w:cs="Times New Roman"/>
                <w:szCs w:val="24"/>
                <w:u w:val="none" w:color="auto"/>
              </w:rPr>
              <w:t>B——耗燃料量（t/a）；</w:t>
            </w:r>
          </w:p>
          <w:p>
            <w:pPr>
              <w:tabs>
                <w:tab w:val="center" w:pos="4472"/>
                <w:tab w:val="left" w:pos="7065"/>
              </w:tabs>
              <w:ind w:firstLine="465" w:firstLineChars="0"/>
              <w:jc w:val="left"/>
              <w:rPr>
                <w:rFonts w:hint="default" w:ascii="Times New Roman" w:hAnsi="Times New Roman" w:cs="Times New Roman"/>
                <w:szCs w:val="24"/>
                <w:u w:val="none" w:color="auto"/>
              </w:rPr>
            </w:pPr>
            <w:r>
              <w:rPr>
                <w:rFonts w:hint="default" w:ascii="Times New Roman" w:hAnsi="Times New Roman" w:cs="Times New Roman"/>
                <w:u w:val="none" w:color="auto"/>
              </w:rPr>
              <w:t>A</w:t>
            </w:r>
            <w:r>
              <w:rPr>
                <w:rFonts w:hint="default" w:ascii="Times New Roman" w:hAnsi="Times New Roman" w:cs="Times New Roman"/>
                <w:u w:val="none" w:color="auto"/>
                <w:vertAlign w:val="superscript"/>
              </w:rPr>
              <w:t>g</w:t>
            </w:r>
            <w:r>
              <w:rPr>
                <w:rFonts w:hint="default" w:ascii="Times New Roman" w:hAnsi="Times New Roman" w:cs="Times New Roman"/>
                <w:szCs w:val="24"/>
                <w:u w:val="none" w:color="auto"/>
              </w:rPr>
              <w:t>——燃料的应用基灰分（%）；</w:t>
            </w:r>
          </w:p>
          <w:p>
            <w:pPr>
              <w:tabs>
                <w:tab w:val="center" w:pos="4472"/>
                <w:tab w:val="left" w:pos="7065"/>
              </w:tabs>
              <w:ind w:firstLine="465" w:firstLineChars="0"/>
              <w:jc w:val="left"/>
              <w:rPr>
                <w:rFonts w:hint="default" w:ascii="Times New Roman" w:hAnsi="Times New Roman" w:cs="Times New Roman"/>
                <w:szCs w:val="24"/>
                <w:u w:val="none" w:color="auto"/>
              </w:rPr>
            </w:pPr>
            <w:r>
              <w:rPr>
                <w:rFonts w:ascii="Times New Roman" w:hAnsi="Times New Roman" w:cs="Times New Roman"/>
                <w:szCs w:val="24"/>
                <w:u w:val="none" w:color="auto"/>
              </w:rPr>
              <w:t>d</w:t>
            </w:r>
            <w:r>
              <w:rPr>
                <w:rFonts w:ascii="Times New Roman" w:hAnsi="Times New Roman" w:cs="Times New Roman"/>
                <w:szCs w:val="24"/>
                <w:u w:val="none" w:color="auto"/>
                <w:vertAlign w:val="subscript"/>
              </w:rPr>
              <w:t>fh</w:t>
            </w:r>
            <w:r>
              <w:rPr>
                <w:rFonts w:hint="default" w:ascii="Times New Roman" w:hAnsi="Times New Roman" w:cs="Times New Roman"/>
                <w:szCs w:val="24"/>
                <w:u w:val="none" w:color="auto"/>
              </w:rPr>
              <w:t>——烟尘占燃料中总灰分的百分比（100%），本项目中的</w:t>
            </w:r>
            <w:r>
              <w:rPr>
                <w:rFonts w:ascii="Times New Roman" w:hAnsi="Times New Roman" w:cs="Times New Roman"/>
                <w:szCs w:val="24"/>
                <w:u w:val="none" w:color="auto"/>
              </w:rPr>
              <w:t>d</w:t>
            </w:r>
            <w:r>
              <w:rPr>
                <w:rFonts w:ascii="Times New Roman" w:hAnsi="Times New Roman" w:cs="Times New Roman"/>
                <w:szCs w:val="24"/>
                <w:u w:val="none" w:color="auto"/>
                <w:vertAlign w:val="subscript"/>
              </w:rPr>
              <w:t>fh</w:t>
            </w:r>
            <w:r>
              <w:rPr>
                <w:rFonts w:hint="default" w:ascii="Times New Roman" w:hAnsi="Times New Roman" w:cs="Times New Roman"/>
                <w:szCs w:val="24"/>
                <w:u w:val="none" w:color="auto"/>
              </w:rPr>
              <w:t>取20%</w:t>
            </w:r>
          </w:p>
          <w:p>
            <w:pPr>
              <w:tabs>
                <w:tab w:val="center" w:pos="4472"/>
                <w:tab w:val="left" w:pos="7065"/>
              </w:tabs>
              <w:ind w:firstLine="465" w:firstLineChars="0"/>
              <w:jc w:val="left"/>
              <w:rPr>
                <w:rFonts w:hint="default" w:ascii="Times New Roman" w:hAnsi="Times New Roman" w:cs="Times New Roman"/>
                <w:szCs w:val="24"/>
                <w:u w:val="none" w:color="auto"/>
              </w:rPr>
            </w:pPr>
            <w:r>
              <w:rPr>
                <w:rFonts w:ascii="Times New Roman" w:hAnsi="Times New Roman" w:cs="Times New Roman"/>
                <w:szCs w:val="24"/>
                <w:u w:val="none" w:color="auto"/>
              </w:rPr>
              <w:t>d</w:t>
            </w:r>
            <w:r>
              <w:rPr>
                <w:rFonts w:ascii="Times New Roman" w:hAnsi="Times New Roman" w:cs="Times New Roman"/>
                <w:szCs w:val="24"/>
                <w:u w:val="none" w:color="auto"/>
                <w:vertAlign w:val="subscript"/>
              </w:rPr>
              <w:t>ls</w:t>
            </w:r>
            <w:r>
              <w:rPr>
                <w:rFonts w:hint="default" w:ascii="Times New Roman" w:hAnsi="Times New Roman" w:cs="Times New Roman"/>
                <w:szCs w:val="24"/>
                <w:u w:val="none" w:color="auto"/>
              </w:rPr>
              <w:t>——炉渣中的灰占燃料中总灰分的百分比（100%），</w:t>
            </w:r>
            <w:r>
              <w:rPr>
                <w:rFonts w:ascii="Times New Roman" w:hAnsi="Times New Roman" w:cs="Times New Roman"/>
                <w:szCs w:val="24"/>
                <w:u w:val="none" w:color="auto"/>
              </w:rPr>
              <w:t>d</w:t>
            </w:r>
            <w:r>
              <w:rPr>
                <w:rFonts w:ascii="Times New Roman" w:hAnsi="Times New Roman" w:cs="Times New Roman"/>
                <w:szCs w:val="24"/>
                <w:u w:val="none" w:color="auto"/>
                <w:vertAlign w:val="subscript"/>
              </w:rPr>
              <w:t>ls</w:t>
            </w:r>
            <w:r>
              <w:rPr>
                <w:rFonts w:hint="default" w:ascii="Times New Roman" w:hAnsi="Times New Roman" w:cs="Times New Roman"/>
                <w:szCs w:val="24"/>
                <w:u w:val="none" w:color="auto"/>
              </w:rPr>
              <w:t>=1-</w:t>
            </w:r>
            <w:r>
              <w:rPr>
                <w:rFonts w:ascii="Times New Roman" w:hAnsi="Times New Roman" w:cs="Times New Roman"/>
                <w:szCs w:val="24"/>
                <w:u w:val="none" w:color="auto"/>
              </w:rPr>
              <w:t>d</w:t>
            </w:r>
            <w:r>
              <w:rPr>
                <w:rFonts w:ascii="Times New Roman" w:hAnsi="Times New Roman" w:cs="Times New Roman"/>
                <w:szCs w:val="24"/>
                <w:u w:val="none" w:color="auto"/>
                <w:vertAlign w:val="subscript"/>
              </w:rPr>
              <w:t>fh</w:t>
            </w:r>
            <w:r>
              <w:rPr>
                <w:rFonts w:hint="default" w:ascii="Times New Roman" w:hAnsi="Times New Roman" w:cs="Times New Roman"/>
                <w:szCs w:val="24"/>
                <w:u w:val="none" w:color="auto"/>
              </w:rPr>
              <w:t>；</w:t>
            </w:r>
          </w:p>
          <w:p>
            <w:pPr>
              <w:tabs>
                <w:tab w:val="center" w:pos="4472"/>
                <w:tab w:val="left" w:pos="7065"/>
              </w:tabs>
              <w:ind w:firstLine="465" w:firstLineChars="0"/>
              <w:jc w:val="left"/>
              <w:rPr>
                <w:rFonts w:ascii="Times New Roman" w:hAnsi="Times New Roman" w:cs="Times New Roman"/>
                <w:szCs w:val="24"/>
                <w:u w:val="none" w:color="auto"/>
              </w:rPr>
            </w:pPr>
            <w:r>
              <w:rPr>
                <w:rFonts w:ascii="Times New Roman" w:hAnsi="Times New Roman" w:cs="Times New Roman"/>
                <w:szCs w:val="24"/>
                <w:u w:val="none" w:color="auto"/>
              </w:rPr>
              <w:t>C</w:t>
            </w:r>
            <w:r>
              <w:rPr>
                <w:rFonts w:ascii="Times New Roman" w:hAnsi="Times New Roman" w:cs="Times New Roman"/>
                <w:szCs w:val="24"/>
                <w:u w:val="none" w:color="auto"/>
                <w:vertAlign w:val="subscript"/>
              </w:rPr>
              <w:t>ls</w:t>
            </w:r>
            <w:r>
              <w:rPr>
                <w:rFonts w:hint="default" w:ascii="Times New Roman" w:hAnsi="Times New Roman" w:cs="Times New Roman"/>
                <w:szCs w:val="24"/>
                <w:u w:val="none" w:color="auto"/>
              </w:rPr>
              <w:t>、</w:t>
            </w:r>
            <w:r>
              <w:rPr>
                <w:rFonts w:ascii="Times New Roman" w:hAnsi="Times New Roman" w:cs="Times New Roman"/>
                <w:szCs w:val="24"/>
                <w:u w:val="none" w:color="auto"/>
              </w:rPr>
              <w:t>C</w:t>
            </w:r>
            <w:r>
              <w:rPr>
                <w:rFonts w:ascii="Times New Roman" w:hAnsi="Times New Roman" w:cs="Times New Roman"/>
                <w:szCs w:val="24"/>
                <w:u w:val="none" w:color="auto"/>
                <w:vertAlign w:val="subscript"/>
              </w:rPr>
              <w:t>fh</w:t>
            </w:r>
            <w:r>
              <w:rPr>
                <w:rFonts w:hint="default" w:ascii="Times New Roman" w:hAnsi="Times New Roman" w:cs="Times New Roman"/>
                <w:szCs w:val="24"/>
                <w:u w:val="none" w:color="auto"/>
              </w:rPr>
              <w:t>——分别为炉渣、粉煤灰中的可燃物百分含量（100%），可根据锅炉热平衡资料选取。无热工测试资料时，一般</w:t>
            </w:r>
            <w:r>
              <w:rPr>
                <w:rFonts w:ascii="Times New Roman" w:hAnsi="Times New Roman" w:cs="Times New Roman"/>
                <w:szCs w:val="24"/>
                <w:u w:val="none" w:color="auto"/>
              </w:rPr>
              <w:t>C</w:t>
            </w:r>
            <w:r>
              <w:rPr>
                <w:rFonts w:ascii="Times New Roman" w:hAnsi="Times New Roman" w:cs="Times New Roman"/>
                <w:szCs w:val="24"/>
                <w:u w:val="none" w:color="auto"/>
                <w:vertAlign w:val="subscript"/>
              </w:rPr>
              <w:t>ls</w:t>
            </w:r>
            <w:r>
              <w:rPr>
                <w:rFonts w:hint="default" w:ascii="Times New Roman" w:hAnsi="Times New Roman" w:cs="Times New Roman"/>
                <w:szCs w:val="24"/>
                <w:u w:val="none" w:color="auto"/>
              </w:rPr>
              <w:t>=10~25%；烟尘中可燃物一般取</w:t>
            </w:r>
            <w:r>
              <w:rPr>
                <w:rFonts w:ascii="Times New Roman" w:hAnsi="Times New Roman" w:cs="Times New Roman"/>
                <w:szCs w:val="24"/>
                <w:u w:val="none" w:color="auto"/>
              </w:rPr>
              <w:t>C</w:t>
            </w:r>
            <w:r>
              <w:rPr>
                <w:rFonts w:ascii="Times New Roman" w:hAnsi="Times New Roman" w:cs="Times New Roman"/>
                <w:szCs w:val="24"/>
                <w:u w:val="none" w:color="auto"/>
                <w:vertAlign w:val="subscript"/>
              </w:rPr>
              <w:t>fh</w:t>
            </w:r>
            <w:r>
              <w:rPr>
                <w:rFonts w:hint="default" w:ascii="Times New Roman" w:hAnsi="Times New Roman" w:cs="Times New Roman"/>
                <w:szCs w:val="24"/>
                <w:u w:val="none" w:color="auto"/>
              </w:rPr>
              <w:t>为15~45；η——除尘效率（%）；</w:t>
            </w:r>
            <w:r>
              <w:rPr>
                <w:rFonts w:ascii="Times New Roman" w:hAnsi="Times New Roman" w:cs="Times New Roman"/>
                <w:szCs w:val="24"/>
                <w:u w:val="none" w:color="auto"/>
              </w:rPr>
              <w:t>G</w:t>
            </w:r>
            <w:r>
              <w:rPr>
                <w:rFonts w:ascii="Times New Roman" w:hAnsi="Times New Roman" w:cs="Times New Roman"/>
                <w:szCs w:val="24"/>
                <w:u w:val="none" w:color="auto"/>
                <w:vertAlign w:val="subscript"/>
              </w:rPr>
              <w:t>灰渣</w:t>
            </w:r>
            <w:r>
              <w:rPr>
                <w:rFonts w:hint="default" w:ascii="Times New Roman" w:hAnsi="Times New Roman" w:cs="Times New Roman"/>
                <w:szCs w:val="24"/>
                <w:u w:val="none" w:color="auto"/>
              </w:rPr>
              <w:t>——灰渣产生量（吨）。</w:t>
            </w:r>
          </w:p>
          <w:p>
            <w:pPr>
              <w:bidi w:val="0"/>
              <w:rPr>
                <w:rFonts w:hint="default" w:ascii="Times New Roman" w:hAnsi="Times New Roman" w:cs="Times New Roman"/>
                <w:u w:val="none" w:color="auto"/>
                <w:lang w:eastAsia="zh-CN"/>
              </w:rPr>
            </w:pPr>
            <w:r>
              <w:rPr>
                <w:rFonts w:hint="default" w:ascii="Times New Roman" w:hAnsi="Times New Roman" w:cs="Times New Roman"/>
                <w:u w:val="none" w:color="auto"/>
              </w:rPr>
              <w:t>本项目中</w:t>
            </w:r>
            <w:r>
              <w:rPr>
                <w:rFonts w:ascii="Times New Roman" w:hAnsi="Times New Roman" w:cs="Times New Roman"/>
                <w:szCs w:val="24"/>
                <w:u w:val="none" w:color="auto"/>
              </w:rPr>
              <w:t>C</w:t>
            </w:r>
            <w:r>
              <w:rPr>
                <w:rFonts w:ascii="Times New Roman" w:hAnsi="Times New Roman" w:cs="Times New Roman"/>
                <w:szCs w:val="24"/>
                <w:u w:val="none" w:color="auto"/>
                <w:vertAlign w:val="subscript"/>
              </w:rPr>
              <w:t>ls</w:t>
            </w:r>
            <w:r>
              <w:rPr>
                <w:rFonts w:hint="default" w:ascii="Times New Roman" w:hAnsi="Times New Roman" w:cs="Times New Roman"/>
                <w:u w:val="none" w:color="auto"/>
              </w:rPr>
              <w:t>取25%，</w:t>
            </w:r>
            <w:r>
              <w:rPr>
                <w:rFonts w:ascii="Times New Roman" w:hAnsi="Times New Roman" w:cs="Times New Roman"/>
                <w:szCs w:val="24"/>
                <w:u w:val="none" w:color="auto"/>
              </w:rPr>
              <w:t>C</w:t>
            </w:r>
            <w:r>
              <w:rPr>
                <w:rFonts w:ascii="Times New Roman" w:hAnsi="Times New Roman" w:cs="Times New Roman"/>
                <w:szCs w:val="24"/>
                <w:u w:val="none" w:color="auto"/>
                <w:vertAlign w:val="subscript"/>
              </w:rPr>
              <w:t>fh</w:t>
            </w:r>
            <w:r>
              <w:rPr>
                <w:rFonts w:hint="default" w:ascii="Times New Roman" w:hAnsi="Times New Roman" w:cs="Times New Roman"/>
                <w:u w:val="none" w:color="auto"/>
              </w:rPr>
              <w:t>取45%，除尘措施，所以η=</w:t>
            </w:r>
            <w:r>
              <w:rPr>
                <w:rFonts w:hint="default" w:ascii="Times New Roman" w:hAnsi="Times New Roman" w:cs="Times New Roman"/>
                <w:u w:val="none" w:color="auto"/>
                <w:lang w:val="en-US" w:eastAsia="zh-CN"/>
              </w:rPr>
              <w:t>87</w:t>
            </w:r>
            <w:r>
              <w:rPr>
                <w:rFonts w:hint="default" w:ascii="Times New Roman" w:hAnsi="Times New Roman" w:cs="Times New Roman"/>
                <w:u w:val="none" w:color="auto"/>
              </w:rPr>
              <w:t>%，则锅炉灰渣产生量：G=（</w:t>
            </w:r>
            <w:r>
              <w:rPr>
                <w:rFonts w:hint="default" w:ascii="Times New Roman" w:hAnsi="Times New Roman" w:cs="Times New Roman"/>
                <w:u w:val="none" w:color="auto"/>
                <w:lang w:val="en-US" w:eastAsia="zh-CN"/>
              </w:rPr>
              <w:t>300</w:t>
            </w:r>
            <w:r>
              <w:rPr>
                <w:rFonts w:hint="default" w:ascii="Times New Roman" w:hAnsi="Times New Roman" w:cs="Times New Roman"/>
                <w:u w:val="none" w:color="auto"/>
              </w:rPr>
              <w:t>×5.0%×</w:t>
            </w:r>
            <w:r>
              <w:rPr>
                <w:rFonts w:hint="default" w:ascii="Times New Roman" w:hAnsi="Times New Roman" w:cs="Times New Roman"/>
                <w:u w:val="none" w:color="auto"/>
                <w:lang w:val="en-US" w:eastAsia="zh-CN"/>
              </w:rPr>
              <w:t>80%</w:t>
            </w:r>
            <w:r>
              <w:rPr>
                <w:rFonts w:hint="default" w:ascii="Times New Roman" w:hAnsi="Times New Roman" w:cs="Times New Roman"/>
                <w:u w:val="none" w:color="auto"/>
              </w:rPr>
              <w:t>）/75%+（</w:t>
            </w:r>
            <w:r>
              <w:rPr>
                <w:rFonts w:hint="default" w:ascii="Times New Roman" w:hAnsi="Times New Roman" w:cs="Times New Roman"/>
                <w:u w:val="none" w:color="auto"/>
                <w:lang w:val="en-US" w:eastAsia="zh-CN"/>
              </w:rPr>
              <w:t>300</w:t>
            </w:r>
            <w:r>
              <w:rPr>
                <w:rFonts w:hint="default" w:ascii="Times New Roman" w:hAnsi="Times New Roman" w:cs="Times New Roman"/>
                <w:u w:val="none" w:color="auto"/>
              </w:rPr>
              <w:t>×5.0%×</w:t>
            </w:r>
            <w:r>
              <w:rPr>
                <w:rFonts w:hint="default" w:ascii="Times New Roman" w:hAnsi="Times New Roman" w:cs="Times New Roman"/>
                <w:u w:val="none" w:color="auto"/>
                <w:lang w:val="en-US" w:eastAsia="zh-CN"/>
              </w:rPr>
              <w:t>20%</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87%</w:t>
            </w:r>
            <w:r>
              <w:rPr>
                <w:rFonts w:hint="default" w:ascii="Times New Roman" w:hAnsi="Times New Roman" w:cs="Times New Roman"/>
                <w:u w:val="none" w:color="auto"/>
              </w:rPr>
              <w:t>）/</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1-45%</w:t>
            </w:r>
            <w:r>
              <w:rPr>
                <w:rFonts w:hint="default" w:ascii="Times New Roman" w:hAnsi="Times New Roman" w:cs="Times New Roman"/>
                <w:u w:val="none" w:color="auto"/>
                <w:lang w:eastAsia="zh-CN"/>
              </w:rPr>
              <w:t>）</w:t>
            </w:r>
            <w:r>
              <w:rPr>
                <w:rFonts w:hint="default" w:ascii="Times New Roman" w:hAnsi="Times New Roman" w:cs="Times New Roman"/>
                <w:u w:val="none" w:color="auto"/>
              </w:rPr>
              <w:t>=</w:t>
            </w:r>
            <w:r>
              <w:rPr>
                <w:rFonts w:hint="default" w:ascii="Times New Roman" w:hAnsi="Times New Roman" w:cs="Times New Roman"/>
                <w:u w:val="none" w:color="auto"/>
                <w:lang w:val="en-US" w:eastAsia="zh-CN"/>
              </w:rPr>
              <w:t>20.75</w:t>
            </w:r>
            <w:r>
              <w:rPr>
                <w:rFonts w:hint="default" w:ascii="Times New Roman" w:hAnsi="Times New Roman" w:cs="Times New Roman"/>
                <w:u w:val="none" w:color="auto"/>
              </w:rPr>
              <w:t>t/a</w:t>
            </w:r>
            <w:r>
              <w:rPr>
                <w:rFonts w:hint="default" w:ascii="Times New Roman" w:hAnsi="Times New Roman" w:cs="Times New Roman"/>
                <w:u w:val="none" w:color="auto"/>
                <w:lang w:eastAsia="zh-CN"/>
              </w:rPr>
              <w:t>。</w:t>
            </w:r>
          </w:p>
          <w:p>
            <w:pPr>
              <w:pStyle w:val="11"/>
              <w:rPr>
                <w:rFonts w:hint="default" w:ascii="Times New Roman" w:hAnsi="Times New Roman" w:cs="Times New Roman"/>
                <w:u w:val="none" w:color="auto"/>
                <w:lang w:eastAsia="zh-CN"/>
              </w:rPr>
            </w:pPr>
            <w:r>
              <w:rPr>
                <w:rFonts w:hint="default" w:ascii="Times New Roman" w:hAnsi="Times New Roman" w:cs="Times New Roman"/>
                <w:u w:val="none" w:color="auto"/>
              </w:rPr>
              <w:t>锅炉灰渣用袋装收集临时贮存于锅炉房内。由于生物质产生的灰渣和灰分属于含钾、钙、磷较丰富的一种有机农家肥料，</w:t>
            </w:r>
            <w:r>
              <w:rPr>
                <w:rFonts w:ascii="Times New Roman" w:hAnsi="Times New Roman" w:cs="Times New Roman"/>
                <w:u w:val="none" w:color="auto"/>
              </w:rPr>
              <w:t>交由附近村庄农户用作果园、苗圃、蔬菜地或绿化树木的肥料</w:t>
            </w:r>
            <w:r>
              <w:rPr>
                <w:rFonts w:hint="default" w:ascii="Times New Roman" w:hAnsi="Times New Roman" w:cs="Times New Roman"/>
                <w:u w:val="none" w:color="auto"/>
                <w:lang w:eastAsia="zh-CN"/>
              </w:rPr>
              <w:t>。</w:t>
            </w:r>
          </w:p>
          <w:p>
            <w:pPr>
              <w:pStyle w:val="96"/>
              <w:bidi w:val="0"/>
              <w:rPr>
                <w:rFonts w:hint="default" w:ascii="Times New Roman" w:hAnsi="Times New Roman" w:cs="Times New Roman"/>
                <w:u w:val="none" w:color="auto"/>
              </w:rPr>
            </w:pPr>
            <w:r>
              <w:rPr>
                <w:rFonts w:hint="default" w:ascii="Times New Roman" w:hAnsi="Times New Roman" w:eastAsia="微软雅黑" w:cs="Times New Roman"/>
                <w:u w:val="none" w:color="auto"/>
              </w:rPr>
              <w:t>⑪</w:t>
            </w:r>
            <w:r>
              <w:rPr>
                <w:rFonts w:hint="default" w:ascii="Times New Roman" w:hAnsi="Times New Roman" w:cs="Times New Roman"/>
                <w:u w:val="none" w:color="auto"/>
              </w:rPr>
              <w:t>软水制备产生的废滤芯和废反渗透膜</w:t>
            </w:r>
          </w:p>
          <w:p>
            <w:pPr>
              <w:rPr>
                <w:rFonts w:hint="default" w:ascii="Times New Roman" w:hAnsi="Times New Roman" w:eastAsia="宋体" w:cs="Times New Roman"/>
                <w:u w:val="none" w:color="auto"/>
              </w:rPr>
            </w:pPr>
            <w:r>
              <w:rPr>
                <w:rFonts w:hint="default" w:ascii="Times New Roman" w:hAnsi="Times New Roman" w:cs="Times New Roman"/>
                <w:u w:val="none" w:color="auto"/>
              </w:rPr>
              <w:t>来源于纯水制造设备定期更换的废滤芯</w:t>
            </w:r>
            <w:r>
              <w:rPr>
                <w:rFonts w:hint="eastAsia" w:cs="Times New Roman"/>
                <w:u w:val="none" w:color="auto"/>
                <w:lang w:eastAsia="zh-CN"/>
              </w:rPr>
              <w:t>（</w:t>
            </w:r>
            <w:r>
              <w:rPr>
                <w:rFonts w:hint="eastAsia" w:cs="Times New Roman"/>
                <w:u w:val="none" w:color="auto"/>
                <w:lang w:val="en-US" w:eastAsia="zh-CN"/>
              </w:rPr>
              <w:t>含活性炭</w:t>
            </w:r>
            <w:r>
              <w:rPr>
                <w:rFonts w:hint="eastAsia" w:cs="Times New Roman"/>
                <w:u w:val="none" w:color="auto"/>
                <w:lang w:eastAsia="zh-CN"/>
              </w:rPr>
              <w:t>）</w:t>
            </w:r>
            <w:r>
              <w:rPr>
                <w:rFonts w:hint="default" w:ascii="Times New Roman" w:hAnsi="Times New Roman" w:cs="Times New Roman"/>
                <w:u w:val="none" w:color="auto"/>
              </w:rPr>
              <w:t>、废反渗膜及废树脂</w:t>
            </w:r>
            <w:r>
              <w:rPr>
                <w:rFonts w:hint="default" w:ascii="Times New Roman" w:hAnsi="Times New Roman" w:eastAsia="宋体" w:cs="Times New Roman"/>
                <w:u w:val="none" w:color="auto"/>
              </w:rPr>
              <w:t>，根据《国家危险废物名录》（2021年版）</w:t>
            </w:r>
            <w:r>
              <w:rPr>
                <w:rFonts w:hint="eastAsia" w:cs="Times New Roman"/>
                <w:u w:val="none" w:color="auto"/>
                <w:lang w:val="en-US" w:eastAsia="zh-CN"/>
              </w:rPr>
              <w:t>规定：含有或者沾染毒性危险废物的废弃过滤吸附介质属于危险废物</w:t>
            </w:r>
            <w:r>
              <w:rPr>
                <w:rFonts w:hint="eastAsia" w:cs="Times New Roman"/>
                <w:u w:val="none" w:color="auto"/>
                <w:lang w:eastAsia="zh-CN"/>
              </w:rPr>
              <w:t>。</w:t>
            </w:r>
            <w:r>
              <w:rPr>
                <w:rFonts w:hint="eastAsia" w:cs="Times New Roman"/>
                <w:u w:val="none" w:color="auto"/>
                <w:lang w:val="en-US" w:eastAsia="zh-CN"/>
              </w:rPr>
              <w:t>本项目用水来源为自来水以及山泉水，属于可直接饮用水，因此</w:t>
            </w:r>
            <w:r>
              <w:rPr>
                <w:rFonts w:hint="default" w:ascii="Times New Roman" w:hAnsi="Times New Roman" w:eastAsia="宋体" w:cs="Times New Roman"/>
                <w:u w:val="none" w:color="auto"/>
              </w:rPr>
              <w:t>本项目所产生的的废滤芯</w:t>
            </w:r>
            <w:r>
              <w:rPr>
                <w:rFonts w:hint="eastAsia" w:cs="Times New Roman"/>
                <w:u w:val="none" w:color="auto"/>
                <w:lang w:eastAsia="zh-CN"/>
              </w:rPr>
              <w:t>（</w:t>
            </w:r>
            <w:r>
              <w:rPr>
                <w:rFonts w:hint="eastAsia" w:cs="Times New Roman"/>
                <w:u w:val="none" w:color="auto"/>
                <w:lang w:val="en-US" w:eastAsia="zh-CN"/>
              </w:rPr>
              <w:t>含活性炭</w:t>
            </w:r>
            <w:r>
              <w:rPr>
                <w:rFonts w:hint="eastAsia" w:cs="Times New Roman"/>
                <w:u w:val="none" w:color="auto"/>
                <w:lang w:eastAsia="zh-CN"/>
              </w:rPr>
              <w:t>）</w:t>
            </w:r>
            <w:r>
              <w:rPr>
                <w:rFonts w:hint="default" w:ascii="Times New Roman" w:hAnsi="Times New Roman" w:eastAsia="宋体" w:cs="Times New Roman"/>
                <w:u w:val="none" w:color="auto"/>
              </w:rPr>
              <w:t>、废反渗膜及废树脂不属于含有或沾染毒性、感染性危险废物</w:t>
            </w:r>
            <w:r>
              <w:rPr>
                <w:rFonts w:hint="eastAsia" w:cs="Times New Roman"/>
                <w:u w:val="none" w:color="auto"/>
                <w:lang w:val="en-US" w:eastAsia="zh-CN"/>
              </w:rPr>
              <w:t>的</w:t>
            </w:r>
            <w:r>
              <w:rPr>
                <w:rFonts w:hint="eastAsia" w:ascii="宋体" w:hAnsi="宋体" w:eastAsia="宋体" w:cs="宋体"/>
                <w:i w:val="0"/>
                <w:iCs w:val="0"/>
                <w:caps w:val="0"/>
                <w:color w:val="333333"/>
                <w:spacing w:val="0"/>
                <w:sz w:val="24"/>
                <w:szCs w:val="24"/>
                <w:shd w:val="clear" w:fill="FFFFFF"/>
              </w:rPr>
              <w:t>废弃过滤</w:t>
            </w:r>
            <w:r>
              <w:rPr>
                <w:rFonts w:hint="eastAsia" w:cs="Times New Roman"/>
                <w:u w:val="none" w:color="auto"/>
                <w:lang w:val="en-US" w:eastAsia="zh-CN"/>
              </w:rPr>
              <w:t>吸附介质</w:t>
            </w:r>
            <w:r>
              <w:rPr>
                <w:rFonts w:hint="default" w:ascii="Times New Roman" w:hAnsi="Times New Roman" w:eastAsia="宋体" w:cs="Times New Roman"/>
                <w:u w:val="none" w:color="auto"/>
              </w:rPr>
              <w:t>，按一般固废进行处理。更换周期一般为一年，产生量约为0.1t/a，建设单位将成套购买工业纯水设备和技术服务，工业纯水设备中过滤器</w:t>
            </w:r>
            <w:r>
              <w:rPr>
                <w:rFonts w:hint="eastAsia" w:cs="Times New Roman"/>
                <w:u w:val="none" w:color="auto"/>
                <w:lang w:eastAsia="zh-CN"/>
              </w:rPr>
              <w:t>（</w:t>
            </w:r>
            <w:r>
              <w:rPr>
                <w:rFonts w:hint="eastAsia" w:cs="Times New Roman"/>
                <w:u w:val="none" w:color="auto"/>
                <w:lang w:val="en-US" w:eastAsia="zh-CN"/>
              </w:rPr>
              <w:t>含活性炭</w:t>
            </w:r>
            <w:r>
              <w:rPr>
                <w:rFonts w:hint="eastAsia" w:cs="Times New Roman"/>
                <w:u w:val="none" w:color="auto"/>
                <w:lang w:eastAsia="zh-CN"/>
              </w:rPr>
              <w:t>）</w:t>
            </w:r>
            <w:r>
              <w:rPr>
                <w:rFonts w:hint="default" w:ascii="Times New Roman" w:hAnsi="Times New Roman" w:eastAsia="宋体" w:cs="Times New Roman"/>
                <w:u w:val="none" w:color="auto"/>
              </w:rPr>
              <w:t>、反渗透膜具备回收价值，</w:t>
            </w:r>
            <w:r>
              <w:rPr>
                <w:rFonts w:hint="eastAsia" w:cs="Times New Roman"/>
                <w:u w:val="none" w:color="auto"/>
                <w:lang w:val="en-US" w:eastAsia="zh-CN"/>
              </w:rPr>
              <w:t>与</w:t>
            </w:r>
            <w:r>
              <w:rPr>
                <w:rFonts w:hint="default" w:ascii="Times New Roman" w:hAnsi="Times New Roman" w:cs="Times New Roman"/>
                <w:u w:val="none" w:color="auto"/>
              </w:rPr>
              <w:t>废树脂</w:t>
            </w:r>
            <w:r>
              <w:rPr>
                <w:rFonts w:hint="default" w:ascii="Times New Roman" w:hAnsi="Times New Roman" w:eastAsia="宋体" w:cs="Times New Roman"/>
                <w:u w:val="none" w:color="auto"/>
              </w:rPr>
              <w:t>均由设备服务公司回收</w:t>
            </w:r>
            <w:r>
              <w:rPr>
                <w:rFonts w:hint="eastAsia" w:cs="Times New Roman"/>
                <w:u w:val="none" w:color="auto"/>
                <w:lang w:val="en-US" w:eastAsia="zh-CN"/>
              </w:rPr>
              <w:t>处置</w:t>
            </w:r>
            <w:r>
              <w:rPr>
                <w:rFonts w:hint="default" w:ascii="Times New Roman" w:hAnsi="Times New Roman" w:eastAsia="宋体" w:cs="Times New Roman"/>
                <w:u w:val="none" w:color="auto"/>
              </w:rPr>
              <w:t>。</w:t>
            </w:r>
          </w:p>
          <w:p>
            <w:pPr>
              <w:pStyle w:val="34"/>
              <w:rPr>
                <w:rFonts w:hint="default" w:ascii="Times New Roman" w:hAnsi="Times New Roman" w:eastAsia="宋体" w:cs="Times New Roman"/>
                <w:color w:val="auto"/>
                <w:u w:val="none" w:color="auto"/>
                <w:lang w:val="zh-CN" w:eastAsia="zh-CN" w:bidi="zh-CN"/>
              </w:rPr>
            </w:pPr>
            <w:r>
              <w:rPr>
                <w:rFonts w:hint="default" w:ascii="Times New Roman" w:hAnsi="Times New Roman" w:eastAsia="宋体" w:cs="Times New Roman"/>
                <w:color w:val="auto"/>
                <w:u w:val="none" w:color="auto"/>
                <w:lang w:val="zh-CN" w:bidi="zh-CN"/>
              </w:rPr>
              <w:t>⑫</w:t>
            </w:r>
            <w:r>
              <w:rPr>
                <w:rFonts w:hint="default" w:ascii="Times New Roman" w:hAnsi="Times New Roman" w:eastAsia="宋体" w:cs="Times New Roman"/>
                <w:color w:val="auto"/>
                <w:u w:val="none" w:color="auto"/>
                <w:lang w:val="zh-CN" w:eastAsia="zh-CN" w:bidi="zh-CN"/>
              </w:rPr>
              <w:t>检验室废液</w:t>
            </w:r>
          </w:p>
          <w:p>
            <w:pPr>
              <w:bidi w:val="0"/>
              <w:rPr>
                <w:rFonts w:hint="default" w:ascii="Times New Roman" w:hAnsi="Times New Roman" w:eastAsia="宋体" w:cs="Times New Roman"/>
                <w:highlight w:val="none"/>
                <w:u w:val="none" w:color="auto"/>
                <w:lang w:val="en-US" w:eastAsia="zh-CN"/>
              </w:rPr>
            </w:pPr>
            <w:r>
              <w:rPr>
                <w:rFonts w:hint="eastAsia"/>
                <w:u w:val="single" w:color="auto"/>
                <w:lang w:val="en-US" w:eastAsia="zh-CN"/>
              </w:rPr>
              <w:t>检验室</w:t>
            </w:r>
            <w:r>
              <w:rPr>
                <w:u w:val="single" w:color="auto"/>
              </w:rPr>
              <w:t>废液：项目</w:t>
            </w:r>
            <w:r>
              <w:rPr>
                <w:rFonts w:hint="eastAsia"/>
                <w:u w:val="single" w:color="auto"/>
                <w:lang w:val="en-US" w:eastAsia="zh-CN"/>
              </w:rPr>
              <w:t>检验</w:t>
            </w:r>
            <w:r>
              <w:rPr>
                <w:u w:val="single" w:color="auto"/>
              </w:rPr>
              <w:t>室将产生废酸碱等实验废液，</w:t>
            </w:r>
            <w:r>
              <w:rPr>
                <w:rFonts w:hint="eastAsia"/>
                <w:u w:val="single" w:color="auto"/>
              </w:rPr>
              <w:t>按《国家危险废物名录》（20</w:t>
            </w:r>
            <w:r>
              <w:rPr>
                <w:rFonts w:hint="eastAsia"/>
                <w:u w:val="single" w:color="auto"/>
                <w:lang w:val="en-US" w:eastAsia="zh-CN"/>
              </w:rPr>
              <w:t>21版</w:t>
            </w:r>
            <w:r>
              <w:rPr>
                <w:rFonts w:hint="eastAsia"/>
                <w:u w:val="single" w:color="auto"/>
              </w:rPr>
              <w:t>）规定属于</w:t>
            </w:r>
            <w:r>
              <w:rPr>
                <w:rFonts w:hint="eastAsia"/>
                <w:u w:val="single" w:color="auto"/>
                <w:lang w:eastAsia="zh-CN"/>
              </w:rPr>
              <w:t>“</w:t>
            </w:r>
            <w:r>
              <w:rPr>
                <w:rFonts w:hint="eastAsia"/>
                <w:u w:val="single" w:color="auto"/>
              </w:rPr>
              <w:t>HW49</w:t>
            </w:r>
            <w:r>
              <w:rPr>
                <w:rFonts w:hint="eastAsia"/>
                <w:u w:val="single" w:color="auto"/>
                <w:lang w:val="en-US" w:eastAsia="zh-CN"/>
              </w:rPr>
              <w:t>其他废物非特定行业中的900-047-49，生产活动中，产生的无极废液、有机溶剂、废酸、废碱”</w:t>
            </w:r>
            <w:r>
              <w:rPr>
                <w:rFonts w:hint="eastAsia"/>
                <w:u w:val="single" w:color="auto"/>
              </w:rPr>
              <w:t>的危险废物</w:t>
            </w:r>
            <w:r>
              <w:rPr>
                <w:u w:val="single" w:color="auto"/>
              </w:rPr>
              <w:t>，</w:t>
            </w:r>
            <w:r>
              <w:rPr>
                <w:rFonts w:hint="eastAsia"/>
                <w:u w:val="single" w:color="auto"/>
                <w:lang w:val="en-US" w:eastAsia="zh-CN"/>
              </w:rPr>
              <w:t>但产生量极少，约为0.01t/a，</w:t>
            </w:r>
            <w:r>
              <w:rPr>
                <w:u w:val="single" w:color="auto"/>
              </w:rPr>
              <w:t>须</w:t>
            </w:r>
            <w:r>
              <w:rPr>
                <w:rFonts w:hint="eastAsia"/>
                <w:u w:val="single" w:color="auto"/>
                <w:lang w:val="en-US" w:eastAsia="zh-CN"/>
              </w:rPr>
              <w:t>利用收集桶</w:t>
            </w:r>
            <w:r>
              <w:rPr>
                <w:u w:val="single" w:color="auto"/>
              </w:rPr>
              <w:t>收集后</w:t>
            </w:r>
            <w:r>
              <w:rPr>
                <w:rFonts w:hint="eastAsia"/>
                <w:u w:val="single" w:color="auto"/>
                <w:lang w:val="en-US" w:eastAsia="zh-CN"/>
              </w:rPr>
              <w:t>暂存于危废间中，</w:t>
            </w:r>
            <w:r>
              <w:rPr>
                <w:u w:val="single" w:color="auto"/>
              </w:rPr>
              <w:t>定期</w:t>
            </w:r>
            <w:r>
              <w:rPr>
                <w:rFonts w:hint="eastAsia"/>
                <w:u w:val="single" w:color="auto"/>
                <w:lang w:val="en-US" w:eastAsia="zh-CN"/>
              </w:rPr>
              <w:t>由</w:t>
            </w:r>
            <w:r>
              <w:rPr>
                <w:u w:val="single" w:color="auto"/>
              </w:rPr>
              <w:t>危险废物处理资质的单位统一处理。</w:t>
            </w:r>
          </w:p>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项目项目固废产生情况如下表所示：</w:t>
            </w:r>
          </w:p>
          <w:p>
            <w:pPr>
              <w:pStyle w:val="43"/>
              <w:bidi w:val="0"/>
              <w:rPr>
                <w:rFonts w:ascii="Times New Roman" w:hAnsi="Times New Roman" w:cs="Times New Roman"/>
                <w:u w:val="none" w:color="auto"/>
              </w:rPr>
            </w:pPr>
            <w:r>
              <w:rPr>
                <w:rFonts w:hint="default" w:ascii="Times New Roman" w:hAnsi="Times New Roman" w:cs="Times New Roman"/>
                <w:u w:val="none" w:color="auto"/>
              </w:rPr>
              <w:t>表</w:t>
            </w:r>
            <w:r>
              <w:rPr>
                <w:rFonts w:hint="default" w:ascii="Times New Roman" w:hAnsi="Times New Roman" w:cs="Times New Roman"/>
                <w:u w:val="none" w:color="auto"/>
                <w:lang w:val="en-US"/>
              </w:rPr>
              <w:t>4</w:t>
            </w:r>
            <w:r>
              <w:rPr>
                <w:rFonts w:hint="default" w:ascii="Times New Roman" w:hAnsi="Times New Roman" w:cs="Times New Roman"/>
                <w:u w:val="none" w:color="auto"/>
                <w:lang w:val="en-US" w:eastAsia="zh-CN"/>
              </w:rPr>
              <w:t>.2-</w:t>
            </w:r>
            <w:r>
              <w:rPr>
                <w:rFonts w:hint="eastAsia" w:cs="Times New Roman"/>
                <w:u w:val="none" w:color="auto"/>
                <w:lang w:val="en-US" w:eastAsia="zh-CN"/>
              </w:rPr>
              <w:t>24</w:t>
            </w:r>
            <w:r>
              <w:rPr>
                <w:rFonts w:hint="default" w:ascii="Times New Roman" w:hAnsi="Times New Roman" w:cs="Times New Roman"/>
                <w:u w:val="none" w:color="auto"/>
              </w:rPr>
              <w:t>：项目固废产生情况及去向表</w:t>
            </w:r>
          </w:p>
          <w:tbl>
            <w:tblPr>
              <w:tblStyle w:val="29"/>
              <w:tblW w:w="49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56"/>
              <w:gridCol w:w="937"/>
              <w:gridCol w:w="1047"/>
              <w:gridCol w:w="3241"/>
              <w:gridCol w:w="16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名称</w:t>
                  </w:r>
                </w:p>
              </w:tc>
              <w:tc>
                <w:tcPr>
                  <w:tcW w:w="56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属性</w:t>
                  </w: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年产生量</w:t>
                  </w:r>
                </w:p>
              </w:tc>
              <w:tc>
                <w:tcPr>
                  <w:tcW w:w="196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处置方式和去向</w:t>
                  </w:r>
                </w:p>
              </w:tc>
              <w:tc>
                <w:tcPr>
                  <w:tcW w:w="101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固废设施设置情况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6"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生活垃圾</w:t>
                  </w:r>
                </w:p>
              </w:tc>
              <w:tc>
                <w:tcPr>
                  <w:tcW w:w="56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生活垃圾</w:t>
                  </w: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1.8</w:t>
                  </w:r>
                  <w:r>
                    <w:rPr>
                      <w:rFonts w:hint="default" w:ascii="Times New Roman" w:hAnsi="Times New Roman" w:eastAsia="宋体" w:cs="Times New Roman"/>
                      <w:color w:val="auto"/>
                      <w:u w:val="none" w:color="auto"/>
                      <w:lang w:val="en-US"/>
                    </w:rPr>
                    <w:t>t</w:t>
                  </w:r>
                </w:p>
              </w:tc>
              <w:tc>
                <w:tcPr>
                  <w:tcW w:w="196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交由环卫部门清运至吉首市垃圾焚烧厂焚烧处理</w:t>
                  </w:r>
                </w:p>
              </w:tc>
              <w:tc>
                <w:tcPr>
                  <w:tcW w:w="101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分类垃圾桶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污水处理站</w:t>
                  </w:r>
                  <w:r>
                    <w:rPr>
                      <w:rFonts w:hint="default" w:ascii="Times New Roman" w:hAnsi="Times New Roman" w:eastAsia="宋体" w:cs="Times New Roman"/>
                      <w:color w:val="auto"/>
                      <w:u w:val="none" w:color="auto"/>
                      <w:lang w:val="en-US" w:eastAsia="zh-CN"/>
                    </w:rPr>
                    <w:t>污泥</w:t>
                  </w:r>
                </w:p>
              </w:tc>
              <w:tc>
                <w:tcPr>
                  <w:tcW w:w="567"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一般固废</w:t>
                  </w:r>
                </w:p>
              </w:tc>
              <w:tc>
                <w:tcPr>
                  <w:tcW w:w="634"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1.98</w:t>
                  </w:r>
                  <w:r>
                    <w:rPr>
                      <w:rFonts w:hint="default" w:ascii="Times New Roman" w:hAnsi="Times New Roman" w:eastAsia="宋体" w:cs="Times New Roman"/>
                      <w:color w:val="auto"/>
                      <w:u w:val="none" w:color="auto"/>
                      <w:lang w:val="en-US"/>
                    </w:rPr>
                    <w:t>t</w:t>
                  </w:r>
                </w:p>
              </w:tc>
              <w:tc>
                <w:tcPr>
                  <w:tcW w:w="1962" w:type="pct"/>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交由环卫部门清运至吉首市垃圾焚烧厂焚烧处理</w:t>
                  </w:r>
                </w:p>
              </w:tc>
              <w:tc>
                <w:tcPr>
                  <w:tcW w:w="101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污泥干化池，位于污水处理站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废包装物</w:t>
                  </w:r>
                </w:p>
              </w:tc>
              <w:tc>
                <w:tcPr>
                  <w:tcW w:w="567"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一般固废</w:t>
                  </w: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val="en-US"/>
                    </w:rPr>
                    <w:t>t</w:t>
                  </w:r>
                </w:p>
              </w:tc>
              <w:tc>
                <w:tcPr>
                  <w:tcW w:w="196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外售至废品回收站</w:t>
                  </w:r>
                </w:p>
              </w:tc>
              <w:tc>
                <w:tcPr>
                  <w:tcW w:w="1014"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暂存于辅助楼的一般固废暂存间10m</w:t>
                  </w:r>
                  <w:r>
                    <w:rPr>
                      <w:rFonts w:hint="default" w:ascii="Times New Roman" w:hAnsi="Times New Roman" w:eastAsia="宋体" w:cs="Times New Roman"/>
                      <w:color w:val="auto"/>
                      <w:u w:val="none" w:color="auto"/>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2"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生产性废料</w:t>
                  </w:r>
                </w:p>
              </w:tc>
              <w:tc>
                <w:tcPr>
                  <w:tcW w:w="567"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highlight w:val="none"/>
                      <w:u w:val="none" w:color="auto"/>
                      <w:lang w:val="en-US" w:eastAsia="zh-CN"/>
                    </w:rPr>
                    <w:t>8.365</w:t>
                  </w:r>
                  <w:r>
                    <w:rPr>
                      <w:rFonts w:hint="default" w:ascii="Times New Roman" w:hAnsi="Times New Roman" w:eastAsia="宋体" w:cs="Times New Roman"/>
                      <w:color w:val="auto"/>
                      <w:highlight w:val="none"/>
                      <w:u w:val="none" w:color="auto"/>
                      <w:lang w:val="en-US"/>
                    </w:rPr>
                    <w:t>t</w:t>
                  </w:r>
                </w:p>
              </w:tc>
              <w:tc>
                <w:tcPr>
                  <w:tcW w:w="1962"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日产日清，</w:t>
                  </w:r>
                  <w:r>
                    <w:rPr>
                      <w:rFonts w:hint="default" w:ascii="Times New Roman" w:hAnsi="Times New Roman" w:eastAsia="宋体" w:cs="Times New Roman"/>
                      <w:color w:val="auto"/>
                      <w:u w:val="none" w:color="auto"/>
                      <w:lang w:val="en-US"/>
                    </w:rPr>
                    <w:t>出售给养殖户作为饲料使用</w:t>
                  </w:r>
                </w:p>
              </w:tc>
              <w:tc>
                <w:tcPr>
                  <w:tcW w:w="101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2"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过期原辅料</w:t>
                  </w:r>
                </w:p>
              </w:tc>
              <w:tc>
                <w:tcPr>
                  <w:tcW w:w="567"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rPr>
                    <w:t>t</w:t>
                  </w:r>
                </w:p>
              </w:tc>
              <w:tc>
                <w:tcPr>
                  <w:tcW w:w="1962"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101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1"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砂石</w:t>
                  </w:r>
                </w:p>
              </w:tc>
              <w:tc>
                <w:tcPr>
                  <w:tcW w:w="567"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0.18t</w:t>
                  </w:r>
                </w:p>
              </w:tc>
              <w:tc>
                <w:tcPr>
                  <w:tcW w:w="196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日产日清，</w:t>
                  </w:r>
                  <w:r>
                    <w:rPr>
                      <w:rFonts w:hint="default" w:ascii="Times New Roman" w:hAnsi="Times New Roman" w:eastAsia="宋体" w:cs="Times New Roman"/>
                      <w:color w:val="auto"/>
                      <w:u w:val="none" w:color="auto"/>
                      <w:lang w:val="en-US"/>
                    </w:rPr>
                    <w:t>环卫部门统一处理</w:t>
                  </w:r>
                </w:p>
              </w:tc>
              <w:tc>
                <w:tcPr>
                  <w:tcW w:w="101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1"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u w:val="none" w:color="auto"/>
                      <w:lang w:val="en-US" w:eastAsia="zh-CN"/>
                    </w:rPr>
                    <w:t>检验室固废</w:t>
                  </w:r>
                </w:p>
              </w:tc>
              <w:tc>
                <w:tcPr>
                  <w:tcW w:w="567"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0.5t</w:t>
                  </w:r>
                </w:p>
              </w:tc>
              <w:tc>
                <w:tcPr>
                  <w:tcW w:w="196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rPr>
                    <w:t>多余的样品、消耗或破碎的实验室用品</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rPr>
                    <w:t>如玻璃器皿、纱布等</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rPr>
                    <w:t>分析产品</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lang w:val="en-US" w:eastAsia="zh-CN"/>
                    </w:rPr>
                    <w:t>如培养基</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rPr>
                    <w:t>等</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lang w:val="en-US" w:eastAsia="zh-CN"/>
                    </w:rPr>
                    <w:t>培养基经高温灭活后可按一般固废处置,可均</w:t>
                  </w:r>
                  <w:r>
                    <w:rPr>
                      <w:rFonts w:hint="default" w:ascii="Times New Roman" w:hAnsi="Times New Roman" w:eastAsia="宋体" w:cs="Times New Roman"/>
                      <w:u w:val="none" w:color="auto"/>
                      <w:lang w:eastAsia="zh-CN"/>
                    </w:rPr>
                    <w:t>交由环卫部门清运</w:t>
                  </w:r>
                </w:p>
              </w:tc>
              <w:tc>
                <w:tcPr>
                  <w:tcW w:w="101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1"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u w:val="none" w:color="auto"/>
                      <w:lang w:val="en-US" w:eastAsia="zh-CN"/>
                    </w:rPr>
                    <w:t>除尘灰</w:t>
                  </w:r>
                </w:p>
              </w:tc>
              <w:tc>
                <w:tcPr>
                  <w:tcW w:w="567"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0.1305t</w:t>
                  </w:r>
                </w:p>
              </w:tc>
              <w:tc>
                <w:tcPr>
                  <w:tcW w:w="1962"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rPr>
                    <w:t>交由附近村庄农户用作果园、苗圃、蔬菜地或绿化树木的肥料</w:t>
                  </w:r>
                </w:p>
              </w:tc>
              <w:tc>
                <w:tcPr>
                  <w:tcW w:w="101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1"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rPr>
                    <w:t>锅炉灰渣</w:t>
                  </w:r>
                </w:p>
              </w:tc>
              <w:tc>
                <w:tcPr>
                  <w:tcW w:w="567"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20.75t</w:t>
                  </w:r>
                </w:p>
              </w:tc>
              <w:tc>
                <w:tcPr>
                  <w:tcW w:w="1962"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101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4"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rPr>
                    <w:t>软水制备产生的废滤芯和废反渗透膜</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lang w:val="en-US" w:eastAsia="zh-CN"/>
                    </w:rPr>
                    <w:t>废树脂</w:t>
                  </w:r>
                </w:p>
              </w:tc>
              <w:tc>
                <w:tcPr>
                  <w:tcW w:w="567"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0.1t</w:t>
                  </w:r>
                </w:p>
              </w:tc>
              <w:tc>
                <w:tcPr>
                  <w:tcW w:w="1962"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过滤器</w:t>
                  </w:r>
                  <w:r>
                    <w:rPr>
                      <w:rFonts w:hint="default" w:ascii="Times New Roman" w:hAnsi="Times New Roman" w:eastAsia="宋体" w:cs="Times New Roman"/>
                      <w:color w:val="auto"/>
                      <w:u w:val="none" w:color="auto"/>
                      <w:lang w:val="en-US" w:eastAsia="zh-CN"/>
                    </w:rPr>
                    <w:t>（含活性炭）</w:t>
                  </w:r>
                  <w:r>
                    <w:rPr>
                      <w:rFonts w:hint="default" w:ascii="Times New Roman" w:hAnsi="Times New Roman" w:eastAsia="宋体" w:cs="Times New Roman"/>
                      <w:color w:val="auto"/>
                      <w:u w:val="none" w:color="auto"/>
                      <w:lang w:val="en-US"/>
                    </w:rPr>
                    <w:t>、反渗透膜具备回收价值，</w:t>
                  </w:r>
                  <w:r>
                    <w:rPr>
                      <w:rFonts w:hint="default" w:ascii="Times New Roman" w:hAnsi="Times New Roman" w:eastAsia="宋体" w:cs="Times New Roman"/>
                      <w:color w:val="auto"/>
                      <w:u w:val="none" w:color="auto"/>
                      <w:lang w:val="en-US" w:eastAsia="zh-CN"/>
                    </w:rPr>
                    <w:t>与</w:t>
                  </w:r>
                  <w:r>
                    <w:rPr>
                      <w:rFonts w:hint="default" w:ascii="Times New Roman" w:hAnsi="Times New Roman" w:eastAsia="宋体" w:cs="Times New Roman"/>
                      <w:color w:val="auto"/>
                      <w:u w:val="none" w:color="auto"/>
                      <w:lang w:val="en-US"/>
                    </w:rPr>
                    <w:t>废树脂均由设备服务公司回收</w:t>
                  </w:r>
                  <w:r>
                    <w:rPr>
                      <w:rFonts w:hint="default" w:ascii="Times New Roman" w:hAnsi="Times New Roman" w:eastAsia="宋体" w:cs="Times New Roman"/>
                      <w:color w:val="auto"/>
                      <w:u w:val="none" w:color="auto"/>
                      <w:lang w:val="en-US" w:eastAsia="zh-CN"/>
                    </w:rPr>
                    <w:t>处置</w:t>
                  </w:r>
                </w:p>
              </w:tc>
              <w:tc>
                <w:tcPr>
                  <w:tcW w:w="101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由设备服务公司更换后及时带回，不在厂内暂存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9"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u w:val="none" w:color="auto"/>
                      <w:lang w:val="en-US" w:eastAsia="zh-CN"/>
                    </w:rPr>
                    <w:t>废紫外灯管</w:t>
                  </w:r>
                </w:p>
              </w:tc>
              <w:tc>
                <w:tcPr>
                  <w:tcW w:w="567"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危险废物</w:t>
                  </w: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0.02t</w:t>
                  </w:r>
                </w:p>
              </w:tc>
              <w:tc>
                <w:tcPr>
                  <w:tcW w:w="1962"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定期交由资质单位处置</w:t>
                  </w:r>
                </w:p>
              </w:tc>
              <w:tc>
                <w:tcPr>
                  <w:tcW w:w="1014" w:type="pct"/>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暂存于辅助楼的危废暂存间2m</w:t>
                  </w:r>
                  <w:r>
                    <w:rPr>
                      <w:rFonts w:hint="default" w:ascii="Times New Roman" w:hAnsi="Times New Roman" w:eastAsia="宋体" w:cs="Times New Roman"/>
                      <w:color w:val="auto"/>
                      <w:u w:val="none" w:color="auto"/>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9" w:hRule="atLeast"/>
                <w:jc w:val="center"/>
              </w:trPr>
              <w:tc>
                <w:tcPr>
                  <w:tcW w:w="821"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检验室</w:t>
                  </w:r>
                  <w:r>
                    <w:rPr>
                      <w:rFonts w:hint="default" w:ascii="Times New Roman" w:hAnsi="Times New Roman" w:eastAsia="宋体" w:cs="Times New Roman"/>
                      <w:u w:val="none" w:color="auto"/>
                    </w:rPr>
                    <w:t>废液</w:t>
                  </w:r>
                </w:p>
              </w:tc>
              <w:tc>
                <w:tcPr>
                  <w:tcW w:w="567"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p>
              </w:tc>
              <w:tc>
                <w:tcPr>
                  <w:tcW w:w="634" w:type="pc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0.01t</w:t>
                  </w:r>
                </w:p>
              </w:tc>
              <w:tc>
                <w:tcPr>
                  <w:tcW w:w="1962"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p>
              </w:tc>
              <w:tc>
                <w:tcPr>
                  <w:tcW w:w="1014" w:type="pct"/>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p>
              </w:tc>
            </w:tr>
          </w:tbl>
          <w:p>
            <w:pPr>
              <w:pStyle w:val="43"/>
              <w:bidi w:val="0"/>
              <w:rPr>
                <w:rFonts w:ascii="Times New Roman" w:hAnsi="Times New Roman" w:cs="Times New Roman"/>
                <w:u w:val="none" w:color="auto"/>
                <w:lang w:val="en-US"/>
              </w:rPr>
            </w:pPr>
            <w:r>
              <w:rPr>
                <w:rFonts w:hint="default" w:ascii="Times New Roman" w:hAnsi="Times New Roman" w:cs="Times New Roman"/>
                <w:u w:val="none" w:color="auto"/>
              </w:rPr>
              <w:t>表</w:t>
            </w:r>
            <w:r>
              <w:rPr>
                <w:rFonts w:hint="default" w:ascii="Times New Roman" w:hAnsi="Times New Roman" w:cs="Times New Roman"/>
                <w:u w:val="none" w:color="auto"/>
                <w:lang w:val="en-US"/>
              </w:rPr>
              <w:t>4</w:t>
            </w:r>
            <w:r>
              <w:rPr>
                <w:rFonts w:hint="default" w:ascii="Times New Roman" w:hAnsi="Times New Roman" w:cs="Times New Roman"/>
                <w:u w:val="none" w:color="auto"/>
                <w:lang w:val="en-US" w:eastAsia="zh-CN"/>
              </w:rPr>
              <w:t>.2-</w:t>
            </w:r>
            <w:r>
              <w:rPr>
                <w:rFonts w:hint="eastAsia" w:cs="Times New Roman"/>
                <w:u w:val="none" w:color="auto"/>
                <w:lang w:val="en-US" w:eastAsia="zh-CN"/>
              </w:rPr>
              <w:t>25</w:t>
            </w:r>
            <w:r>
              <w:rPr>
                <w:rFonts w:hint="default" w:ascii="Times New Roman" w:hAnsi="Times New Roman" w:cs="Times New Roman"/>
                <w:u w:val="none" w:color="auto"/>
              </w:rPr>
              <w:t>：项目</w:t>
            </w:r>
            <w:r>
              <w:rPr>
                <w:rFonts w:hint="default" w:ascii="Times New Roman" w:hAnsi="Times New Roman" w:cs="Times New Roman"/>
                <w:u w:val="none" w:color="auto"/>
                <w:lang w:val="en-US"/>
              </w:rPr>
              <w:t>物料平衡表</w:t>
            </w:r>
          </w:p>
          <w:tbl>
            <w:tblPr>
              <w:tblStyle w:val="29"/>
              <w:tblW w:w="484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12"/>
              <w:gridCol w:w="1829"/>
              <w:gridCol w:w="2209"/>
              <w:gridCol w:w="203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3831" w:type="dxa"/>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物料投入t/a</w:t>
                  </w:r>
                </w:p>
              </w:tc>
              <w:tc>
                <w:tcPr>
                  <w:tcW w:w="4231" w:type="dxa"/>
                  <w:gridSpan w:val="2"/>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u w:val="none" w:color="auto"/>
                      <w:lang w:val="en-US"/>
                    </w:rPr>
                  </w:pPr>
                  <w:r>
                    <w:rPr>
                      <w:rFonts w:hint="default" w:ascii="Times New Roman" w:hAnsi="Times New Roman" w:eastAsia="宋体" w:cs="Times New Roman"/>
                      <w:b/>
                      <w:bCs/>
                      <w:color w:val="auto"/>
                      <w:u w:val="none" w:color="auto"/>
                      <w:lang w:val="en-US"/>
                    </w:rPr>
                    <w:t>物料产出t/a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062" w:type="dxa"/>
                  <w:gridSpan w:val="4"/>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湿米粉生产线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07"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大米</w:t>
                  </w:r>
                </w:p>
              </w:tc>
              <w:tc>
                <w:tcPr>
                  <w:tcW w:w="1824" w:type="dxa"/>
                  <w:tcBorders>
                    <w:tl2br w:val="nil"/>
                    <w:tr2bl w:val="nil"/>
                  </w:tcBorders>
                  <w:vAlign w:val="center"/>
                </w:tcPr>
                <w:p>
                  <w:pPr>
                    <w:pStyle w:val="70"/>
                    <w:bidi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790</w:t>
                  </w:r>
                </w:p>
              </w:tc>
              <w:tc>
                <w:tcPr>
                  <w:tcW w:w="2204" w:type="dxa"/>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湿米粉</w:t>
                  </w:r>
                </w:p>
              </w:tc>
              <w:tc>
                <w:tcPr>
                  <w:tcW w:w="2027" w:type="dxa"/>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07"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玉米淀粉</w:t>
                  </w:r>
                </w:p>
              </w:tc>
              <w:tc>
                <w:tcPr>
                  <w:tcW w:w="1824" w:type="dxa"/>
                  <w:tcBorders>
                    <w:tl2br w:val="nil"/>
                    <w:tr2bl w:val="nil"/>
                  </w:tcBorders>
                  <w:vAlign w:val="center"/>
                </w:tcPr>
                <w:p>
                  <w:pPr>
                    <w:pStyle w:val="70"/>
                    <w:bidi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120</w:t>
                  </w:r>
                </w:p>
              </w:tc>
              <w:tc>
                <w:tcPr>
                  <w:tcW w:w="2204" w:type="dxa"/>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2027" w:type="dxa"/>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07"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生产过程中加水</w:t>
                  </w:r>
                </w:p>
              </w:tc>
              <w:tc>
                <w:tcPr>
                  <w:tcW w:w="1824" w:type="dxa"/>
                  <w:tcBorders>
                    <w:tl2br w:val="nil"/>
                    <w:tr2bl w:val="nil"/>
                  </w:tcBorders>
                  <w:vAlign w:val="center"/>
                </w:tcPr>
                <w:p>
                  <w:pPr>
                    <w:pStyle w:val="70"/>
                    <w:bidi w:val="0"/>
                    <w:ind w:firstLine="0" w:firstLineChars="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u w:val="none" w:color="auto"/>
                      <w:lang w:val="en-US" w:eastAsia="zh-CN"/>
                    </w:rPr>
                    <w:t>900</w:t>
                  </w:r>
                </w:p>
              </w:tc>
              <w:tc>
                <w:tcPr>
                  <w:tcW w:w="2204" w:type="dxa"/>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2027" w:type="dxa"/>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831" w:type="dxa"/>
                  <w:gridSpan w:val="2"/>
                  <w:vMerge w:val="restart"/>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w:t>
                  </w:r>
                </w:p>
              </w:tc>
              <w:tc>
                <w:tcPr>
                  <w:tcW w:w="2204"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生产性废料</w:t>
                  </w:r>
                </w:p>
              </w:tc>
              <w:tc>
                <w:tcPr>
                  <w:tcW w:w="2027"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highlight w:val="none"/>
                      <w:u w:val="none" w:color="auto"/>
                      <w:lang w:val="en-US" w:eastAsia="zh-CN"/>
                    </w:rPr>
                    <w:t>8.365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831" w:type="dxa"/>
                  <w:gridSpan w:val="2"/>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2204"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过期原辅料</w:t>
                  </w:r>
                </w:p>
              </w:tc>
              <w:tc>
                <w:tcPr>
                  <w:tcW w:w="2027"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831" w:type="dxa"/>
                  <w:gridSpan w:val="2"/>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2204"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砂石</w:t>
                  </w:r>
                </w:p>
              </w:tc>
              <w:tc>
                <w:tcPr>
                  <w:tcW w:w="2027" w:type="dxa"/>
                  <w:tcBorders>
                    <w:tl2br w:val="nil"/>
                    <w:tr2bl w:val="nil"/>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0.18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831" w:type="dxa"/>
                  <w:gridSpan w:val="2"/>
                  <w:vMerge w:val="continue"/>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p>
              </w:tc>
              <w:tc>
                <w:tcPr>
                  <w:tcW w:w="2204"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车间</w:t>
                  </w:r>
                  <w:r>
                    <w:rPr>
                      <w:rFonts w:hint="default" w:ascii="Times New Roman" w:hAnsi="Times New Roman" w:eastAsia="宋体" w:cs="Times New Roman"/>
                      <w:color w:val="auto"/>
                      <w:u w:val="none" w:color="auto"/>
                      <w:lang w:val="en-US"/>
                    </w:rPr>
                    <w:t>无组织排放粉尘</w:t>
                  </w:r>
                </w:p>
              </w:tc>
              <w:tc>
                <w:tcPr>
                  <w:tcW w:w="2027"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eastAsia="zh-CN"/>
                    </w:rPr>
                    <w:t>0.455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07"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highlight w:val="none"/>
                      <w:u w:val="none" w:color="auto"/>
                      <w:lang w:val="en-US"/>
                    </w:rPr>
                  </w:pPr>
                  <w:r>
                    <w:rPr>
                      <w:rFonts w:hint="default" w:ascii="Times New Roman" w:hAnsi="Times New Roman" w:eastAsia="宋体" w:cs="Times New Roman"/>
                      <w:color w:val="auto"/>
                      <w:highlight w:val="none"/>
                      <w:u w:val="none" w:color="auto"/>
                      <w:lang w:val="en-US"/>
                    </w:rPr>
                    <w:t>合计投入</w:t>
                  </w:r>
                </w:p>
              </w:tc>
              <w:tc>
                <w:tcPr>
                  <w:tcW w:w="1824"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1810</w:t>
                  </w:r>
                </w:p>
              </w:tc>
              <w:tc>
                <w:tcPr>
                  <w:tcW w:w="2204"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rPr>
                  </w:pPr>
                  <w:r>
                    <w:rPr>
                      <w:rFonts w:hint="default" w:ascii="Times New Roman" w:hAnsi="Times New Roman" w:eastAsia="宋体" w:cs="Times New Roman"/>
                      <w:color w:val="auto"/>
                      <w:u w:val="none" w:color="auto"/>
                      <w:lang w:val="en-US"/>
                    </w:rPr>
                    <w:t>合计产出</w:t>
                  </w:r>
                </w:p>
              </w:tc>
              <w:tc>
                <w:tcPr>
                  <w:tcW w:w="2027"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highlight w:val="none"/>
                      <w:u w:val="none" w:color="auto"/>
                      <w:lang w:val="en-US" w:eastAsia="zh-CN"/>
                    </w:rPr>
                    <w:t>1810</w:t>
                  </w:r>
                </w:p>
              </w:tc>
            </w:tr>
          </w:tbl>
          <w:p>
            <w:pPr>
              <w:ind w:firstLine="48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（2）环境管理要求</w:t>
            </w:r>
          </w:p>
          <w:p>
            <w:pPr>
              <w:keepNext w:val="0"/>
              <w:keepLines w:val="0"/>
              <w:pageBreakBefore w:val="0"/>
              <w:widowControl w:val="0"/>
              <w:kinsoku/>
              <w:wordWrap w:val="0"/>
              <w:overflowPunct/>
              <w:topLinePunct/>
              <w:autoSpaceDE/>
              <w:autoSpaceDN/>
              <w:bidi w:val="0"/>
              <w:adjustRightInd/>
              <w:snapToGrid/>
              <w:ind w:firstLine="480" w:firstLineChars="200"/>
              <w:jc w:val="both"/>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项目固废暂存区严格按照</w:t>
            </w:r>
            <w:r>
              <w:rPr>
                <w:rFonts w:ascii="Times New Roman" w:hAnsi="Times New Roman" w:cs="Times New Roman"/>
                <w:color w:val="auto"/>
                <w:highlight w:val="none"/>
                <w:u w:val="none" w:color="auto"/>
              </w:rPr>
              <w:t>《危险废物贮存污染物控制标准》（</w:t>
            </w:r>
            <w:r>
              <w:rPr>
                <w:rFonts w:ascii="Times New Roman" w:hAnsi="Times New Roman" w:eastAsia="Times New Roman" w:cs="Times New Roman"/>
                <w:color w:val="auto"/>
                <w:highlight w:val="none"/>
                <w:u w:val="none" w:color="auto"/>
              </w:rPr>
              <w:t>GB18597-20</w:t>
            </w:r>
            <w:r>
              <w:rPr>
                <w:rFonts w:hint="default" w:ascii="Times New Roman" w:hAnsi="Times New Roman" w:eastAsia="宋体" w:cs="Times New Roman"/>
                <w:color w:val="auto"/>
                <w:highlight w:val="none"/>
                <w:u w:val="none" w:color="auto"/>
                <w:lang w:val="en-US" w:eastAsia="zh-CN"/>
              </w:rPr>
              <w:t>23</w:t>
            </w:r>
            <w:r>
              <w:rPr>
                <w:rFonts w:ascii="Times New Roman" w:hAnsi="Times New Roman" w:cs="Times New Roman"/>
                <w:color w:val="auto"/>
                <w:highlight w:val="none"/>
                <w:u w:val="none" w:color="auto"/>
              </w:rPr>
              <w:t>）</w:t>
            </w:r>
            <w:r>
              <w:rPr>
                <w:rFonts w:hint="default" w:ascii="Times New Roman" w:hAnsi="Times New Roman" w:eastAsia="宋体" w:cs="Times New Roman"/>
                <w:sz w:val="24"/>
                <w:szCs w:val="24"/>
                <w:u w:val="none" w:color="auto"/>
              </w:rPr>
              <w:t>和</w:t>
            </w:r>
            <w:r>
              <w:rPr>
                <w:rFonts w:hint="default" w:ascii="Times New Roman" w:hAnsi="Times New Roman" w:cs="Times New Roman"/>
                <w:color w:val="auto"/>
                <w:spacing w:val="-1"/>
                <w:highlight w:val="none"/>
                <w:u w:val="none" w:color="auto"/>
              </w:rPr>
              <w:t>《一般工业固体废物贮存和填埋污染控制标准》（GB18599-2020）</w:t>
            </w:r>
            <w:r>
              <w:rPr>
                <w:rFonts w:hint="default" w:ascii="Times New Roman" w:hAnsi="Times New Roman" w:eastAsia="宋体" w:cs="Times New Roman"/>
                <w:sz w:val="24"/>
                <w:szCs w:val="24"/>
                <w:u w:val="none" w:color="auto"/>
              </w:rPr>
              <w:t>的要求规范建设和维护使用，其中危废间满足防雨、防风、防渗、防漏的 要求，地面与裙角要用坚固、防渗的材料建造，使用过程做好防雨、防风、防渗、 防漏等防止二次污染措施。</w:t>
            </w:r>
          </w:p>
          <w:p>
            <w:pPr>
              <w:spacing w:line="360" w:lineRule="auto"/>
              <w:ind w:left="0" w:leftChars="0" w:firstLine="480" w:firstLineChars="200"/>
              <w:rPr>
                <w:rFonts w:hint="eastAsia" w:ascii="Times New Roman" w:hAnsi="Times New Roman" w:eastAsia="宋体" w:cs="Times New Roman"/>
                <w:color w:val="auto"/>
                <w:sz w:val="24"/>
                <w:szCs w:val="24"/>
                <w:u w:val="none" w:color="auto"/>
                <w:lang w:eastAsia="zh-CN"/>
              </w:rPr>
            </w:pPr>
            <w:r>
              <w:rPr>
                <w:rFonts w:hint="eastAsia" w:ascii="Times New Roman" w:hAnsi="Times New Roman" w:cs="Times New Roman"/>
                <w:color w:val="auto"/>
                <w:sz w:val="24"/>
                <w:szCs w:val="24"/>
                <w:u w:val="none" w:color="auto"/>
                <w:lang w:val="en-US" w:eastAsia="zh-CN"/>
              </w:rPr>
              <w:t>一般</w:t>
            </w:r>
            <w:r>
              <w:rPr>
                <w:rFonts w:hint="default" w:ascii="Times New Roman" w:hAnsi="Times New Roman" w:cs="Times New Roman"/>
                <w:color w:val="auto"/>
                <w:sz w:val="24"/>
                <w:szCs w:val="24"/>
                <w:u w:val="none" w:color="auto"/>
              </w:rPr>
              <w:t>固废贮存场应满足如下要求</w:t>
            </w:r>
            <w:r>
              <w:rPr>
                <w:rFonts w:hint="eastAsia" w:ascii="Times New Roman" w:hAnsi="Times New Roman" w:cs="Times New Roman"/>
                <w:color w:val="auto"/>
                <w:sz w:val="24"/>
                <w:szCs w:val="24"/>
                <w:u w:val="none" w:color="auto"/>
                <w:lang w:eastAsia="zh-CN"/>
              </w:rPr>
              <w:t>：</w:t>
            </w:r>
          </w:p>
          <w:p>
            <w:pPr>
              <w:spacing w:line="360" w:lineRule="auto"/>
              <w:ind w:left="0" w:leftChars="0"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1）堆放场应选在防渗性能好的地基上天然基础层地表距地下水位的距离不得小于1.5m。临时堆放场四周应建有围墙，防止固废流失以及造成粉尘污染。</w:t>
            </w:r>
          </w:p>
          <w:p>
            <w:pPr>
              <w:spacing w:line="360" w:lineRule="auto"/>
              <w:ind w:left="0" w:leftChars="0"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2）堆放场应建有防雨淋、防渗透措施。本项目储存在钢结构仓库内，地面进行硬化，可以满足防雨淋、防渗透要求。</w:t>
            </w:r>
          </w:p>
          <w:p>
            <w:pPr>
              <w:spacing w:line="360" w:lineRule="auto"/>
              <w:ind w:left="0" w:leftChars="0"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3）为了便于管理，临时堆放场应按《环境保护图形标识—固体废物贮存(处置)场》(GB15562.2-1995）设置环境保护图形标志。</w:t>
            </w:r>
          </w:p>
          <w:p>
            <w:pPr>
              <w:keepNext w:val="0"/>
              <w:keepLines w:val="0"/>
              <w:pageBreakBefore w:val="0"/>
              <w:widowControl w:val="0"/>
              <w:kinsoku/>
              <w:wordWrap w:val="0"/>
              <w:overflowPunct/>
              <w:topLinePunct/>
              <w:autoSpaceDE/>
              <w:autoSpaceDN/>
              <w:bidi w:val="0"/>
              <w:adjustRightInd/>
              <w:snapToGrid/>
              <w:ind w:firstLine="480" w:firstLineChars="200"/>
              <w:jc w:val="both"/>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危废</w:t>
            </w:r>
            <w:r>
              <w:rPr>
                <w:rFonts w:hint="default" w:ascii="Times New Roman" w:hAnsi="Times New Roman" w:eastAsia="宋体" w:cs="Times New Roman"/>
                <w:sz w:val="24"/>
                <w:szCs w:val="24"/>
                <w:u w:val="none" w:color="auto"/>
                <w:lang w:val="en-US" w:eastAsia="zh-CN"/>
              </w:rPr>
              <w:t>间</w:t>
            </w:r>
            <w:r>
              <w:rPr>
                <w:rFonts w:hint="default" w:ascii="Times New Roman" w:hAnsi="Times New Roman" w:eastAsia="宋体" w:cs="Times New Roman"/>
                <w:sz w:val="24"/>
                <w:szCs w:val="24"/>
                <w:u w:val="none" w:color="auto"/>
              </w:rPr>
              <w:t xml:space="preserve">的建设要求包括： </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lang w:val="en-US" w:eastAsia="zh-CN"/>
              </w:rPr>
              <w:t>1</w:t>
            </w:r>
            <w:r>
              <w:rPr>
                <w:rFonts w:hint="default" w:ascii="Times New Roman" w:hAnsi="Times New Roman" w:eastAsia="宋体" w:cs="Times New Roman"/>
                <w:sz w:val="24"/>
                <w:szCs w:val="24"/>
                <w:u w:val="none" w:color="auto"/>
                <w:lang w:eastAsia="zh-CN"/>
              </w:rPr>
              <w:t>）</w:t>
            </w:r>
            <w:r>
              <w:rPr>
                <w:rFonts w:hint="default" w:ascii="Times New Roman" w:hAnsi="Times New Roman" w:eastAsia="宋体" w:cs="Times New Roman"/>
                <w:sz w:val="24"/>
                <w:szCs w:val="24"/>
                <w:u w:val="none" w:color="auto"/>
              </w:rPr>
              <w:t>地面与裙脚要用坚固、防渗的材料建造，建筑材料必须与危险废物相容。</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 xml:space="preserve"> 2）必须有泄漏液体收集装置、气体导出口及气体净化装置。</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cs="Times New Roman"/>
                <w:u w:val="none" w:color="auto"/>
                <w:lang w:val="en-US" w:eastAsia="zh-CN"/>
              </w:rPr>
            </w:pPr>
            <w:r>
              <w:rPr>
                <w:rFonts w:hint="default" w:ascii="Times New Roman" w:hAnsi="Times New Roman" w:eastAsia="宋体" w:cs="Times New Roman"/>
                <w:sz w:val="24"/>
                <w:szCs w:val="24"/>
                <w:u w:val="none" w:color="auto"/>
              </w:rPr>
              <w:t xml:space="preserve"> 3）设施内要有安全照明设施和观察窗口。</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cs="Times New Roman"/>
                <w:u w:val="none" w:color="auto"/>
                <w:lang w:val="en-US" w:eastAsia="zh-CN"/>
              </w:rPr>
            </w:pPr>
            <w:r>
              <w:rPr>
                <w:rFonts w:hint="default" w:ascii="Times New Roman" w:hAnsi="Times New Roman" w:eastAsia="宋体" w:cs="Times New Roman"/>
                <w:sz w:val="24"/>
                <w:szCs w:val="24"/>
                <w:u w:val="none" w:color="auto"/>
              </w:rPr>
              <w:t xml:space="preserve"> 4）用以存放装载液体、半固体危险废物容器的地方，必须有耐腐蚀的硬化地 面，且表面无裂隙。</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cs="Times New Roman"/>
                <w:u w:val="none" w:color="auto"/>
                <w:lang w:val="en-US" w:eastAsia="zh-CN"/>
              </w:rPr>
            </w:pPr>
            <w:r>
              <w:rPr>
                <w:rFonts w:hint="default" w:ascii="Times New Roman" w:hAnsi="Times New Roman" w:eastAsia="宋体" w:cs="Times New Roman"/>
                <w:sz w:val="24"/>
                <w:szCs w:val="24"/>
                <w:u w:val="none" w:color="auto"/>
              </w:rPr>
              <w:t xml:space="preserve"> 5）应设计堵截泄漏的裙脚，地面与裙脚所围建的容积不低于堵截最大容器的 最大储量或总储量的五分之一。</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cs="Times New Roman"/>
                <w:u w:val="none" w:color="auto"/>
                <w:lang w:val="en-US" w:eastAsia="zh-CN"/>
              </w:rPr>
            </w:pPr>
            <w:r>
              <w:rPr>
                <w:rFonts w:hint="default" w:ascii="Times New Roman" w:hAnsi="Times New Roman" w:eastAsia="宋体" w:cs="Times New Roman"/>
                <w:sz w:val="24"/>
                <w:szCs w:val="24"/>
                <w:u w:val="none" w:color="auto"/>
              </w:rPr>
              <w:t>6）不相容的危险废物必须分开存放，并设有隔离间隔断。</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cs="Times New Roman"/>
                <w:u w:val="none" w:color="auto"/>
                <w:lang w:val="en-US" w:eastAsia="zh-CN"/>
              </w:rPr>
            </w:pPr>
            <w:r>
              <w:rPr>
                <w:rFonts w:hint="default" w:ascii="Times New Roman" w:hAnsi="Times New Roman" w:eastAsia="宋体" w:cs="Times New Roman"/>
                <w:sz w:val="24"/>
                <w:szCs w:val="24"/>
                <w:u w:val="none" w:color="auto"/>
              </w:rPr>
              <w:t xml:space="preserve"> 7）</w:t>
            </w:r>
            <w:r>
              <w:rPr>
                <w:rFonts w:hint="default" w:ascii="Times New Roman" w:hAnsi="Times New Roman" w:cs="Times New Roman"/>
                <w:color w:val="000000"/>
                <w:sz w:val="24"/>
                <w:u w:val="none" w:color="auto"/>
              </w:rPr>
              <w:t>采用坚固、防渗、耐腐蚀的钢筋混凝土材料铺设，防渗层采用等效黏土防渗层Mb≥6.0m，k≤1×10</w:t>
            </w:r>
            <w:r>
              <w:rPr>
                <w:rFonts w:hint="default" w:ascii="Times New Roman" w:hAnsi="Times New Roman" w:cs="Times New Roman"/>
                <w:color w:val="000000"/>
                <w:sz w:val="24"/>
                <w:u w:val="none" w:color="auto"/>
                <w:vertAlign w:val="superscript"/>
              </w:rPr>
              <w:t>-7</w:t>
            </w:r>
            <w:r>
              <w:rPr>
                <w:rFonts w:hint="default" w:ascii="Times New Roman" w:hAnsi="Times New Roman" w:cs="Times New Roman"/>
                <w:color w:val="000000"/>
                <w:sz w:val="24"/>
                <w:u w:val="none" w:color="auto"/>
              </w:rPr>
              <w:t>cm/s，并采用环氧漆做防腐防渗处理，切断污染地下水途径。</w:t>
            </w:r>
            <w:r>
              <w:rPr>
                <w:rFonts w:hint="default" w:ascii="Times New Roman" w:hAnsi="Times New Roman" w:eastAsia="宋体" w:cs="Times New Roman"/>
                <w:sz w:val="24"/>
                <w:szCs w:val="24"/>
                <w:u w:val="none" w:color="auto"/>
              </w:rPr>
              <w:t>。</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危险废物应按照《危险废物贮存污染控制标准》（GB18597）及其修改单的相关要求进行贮存，</w:t>
            </w:r>
            <w:r>
              <w:rPr>
                <w:rFonts w:hint="default" w:ascii="Times New Roman" w:hAnsi="Times New Roman" w:cs="Times New Roman"/>
                <w:sz w:val="24"/>
                <w:szCs w:val="24"/>
                <w:u w:val="none" w:color="auto"/>
                <w:lang w:val="en-US" w:eastAsia="zh-CN"/>
              </w:rPr>
              <w:t>于辅助楼设置1处危废暂存间，占地面积为2m</w:t>
            </w:r>
            <w:r>
              <w:rPr>
                <w:rFonts w:hint="default" w:ascii="Times New Roman" w:hAnsi="Times New Roman" w:cs="Times New Roman"/>
                <w:sz w:val="24"/>
                <w:szCs w:val="24"/>
                <w:u w:val="none" w:color="auto"/>
                <w:vertAlign w:val="superscript"/>
                <w:lang w:val="en-US" w:eastAsia="zh-CN"/>
              </w:rPr>
              <w:t>2</w:t>
            </w:r>
            <w:r>
              <w:rPr>
                <w:rFonts w:hint="default" w:ascii="Times New Roman" w:hAnsi="Times New Roman" w:cs="Times New Roman"/>
                <w:sz w:val="24"/>
                <w:szCs w:val="24"/>
                <w:u w:val="none" w:color="auto"/>
                <w:vertAlign w:val="baseline"/>
                <w:lang w:val="en-US" w:eastAsia="zh-CN"/>
              </w:rPr>
              <w:t>，用于暂存废紫外灯管，并</w:t>
            </w:r>
            <w:r>
              <w:rPr>
                <w:rFonts w:hint="default" w:ascii="Times New Roman" w:hAnsi="Times New Roman" w:eastAsia="宋体" w:cs="Times New Roman"/>
                <w:sz w:val="24"/>
                <w:szCs w:val="24"/>
                <w:u w:val="none" w:color="auto"/>
              </w:rPr>
              <w:t>做好警示标识，定期检查储存容器是否有损坏，防止泄露，然后定期交由有危险废物资质单位回收处理，运输转移时装载危险废物的车辆必须做好防渗、防漏的措施，按《危险废物转移联单管理办法》做好申报转移记录。</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both"/>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另外，根据《建设项目危险废物环境影响评价指南》，企业须根据管理台账和近年生产计划，制订危险废物管理计划，并报当地环保部门备案。台帐应如实记载产生危险废物的种类、数量、利用、贮存、处置、流向等信息，以此作为向当地环保部门申报危险废物管理计划的编制依据。产生的危险废物实行分类收集后置于贮存设施内，贮存时限一般不得超过一年，并设专人管理。盛装危险废物的容器和包装物以及产生、收集、贮存、运输、处置危险废物的场所，必须依法设置相应标识、警示标志和标签，标签上应注明贮存的废物类别、危害性以及开始贮存时间等内容。企业必须严格执行危险废物转移计划报批和依法运行危险废物转移联单，并通过信息系统登记转移计划和电子转移联单。企业还需健全产生单位内部管理制 度，包括落实危险废物产生信息公开制度，建立员工培训和固体废物管理员制度，完善危险废物相关档案管理制度。</w:t>
            </w:r>
          </w:p>
          <w:p>
            <w:pPr>
              <w:ind w:firstLine="480"/>
              <w:rPr>
                <w:rFonts w:ascii="Times New Roman" w:hAnsi="Times New Roman" w:cs="Times New Roman"/>
                <w:color w:val="auto"/>
                <w:u w:val="none" w:color="auto"/>
                <w:lang w:val="en-US"/>
              </w:rPr>
            </w:pPr>
            <w:r>
              <w:rPr>
                <w:rFonts w:hint="default" w:ascii="Times New Roman" w:hAnsi="Times New Roman" w:eastAsia="宋体" w:cs="Times New Roman"/>
                <w:sz w:val="24"/>
                <w:szCs w:val="24"/>
                <w:u w:val="none" w:color="auto"/>
              </w:rPr>
              <w:t>本项目的危险废物在产生、收集、贮存、运输过程中主要的风险防范措施为：建设单位应严格按照相关要求，</w:t>
            </w:r>
            <w:r>
              <w:rPr>
                <w:rFonts w:hint="default" w:ascii="Times New Roman" w:hAnsi="Times New Roman" w:cs="Times New Roman"/>
                <w:sz w:val="24"/>
                <w:szCs w:val="24"/>
                <w:u w:val="none" w:color="auto"/>
                <w:lang w:val="en-US" w:eastAsia="zh-CN"/>
              </w:rPr>
              <w:t>规范暂存危险废物</w:t>
            </w:r>
            <w:r>
              <w:rPr>
                <w:rFonts w:hint="default" w:ascii="Times New Roman" w:hAnsi="Times New Roman" w:eastAsia="宋体" w:cs="Times New Roman"/>
                <w:sz w:val="24"/>
                <w:szCs w:val="24"/>
                <w:u w:val="none" w:color="auto"/>
              </w:rPr>
              <w:t>，然后定期交有资质单位处理，运输过程落实防渗、防漏措施，则本项目危险废物通过采取相应的风险防范措施，可以将项目的危险废物的环境风险水平降到较低的水平，因此本项目的危险废物环境风险水平在可接受的范围，不会对周围环境造成影响。</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4.2.5地下水、土壤环境影响分析</w:t>
            </w:r>
          </w:p>
          <w:p>
            <w:p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根据《环境影响评价技术导则 地下水环境》（HJ610-2016）生产线属于N轻工-107其他食品制作-除手工制作和单纯分装外的，属于IV类建设项目</w:t>
            </w:r>
            <w:r>
              <w:rPr>
                <w:rFonts w:hint="default" w:ascii="Times New Roman" w:hAnsi="Times New Roman" w:cs="Times New Roman"/>
                <w:color w:val="auto"/>
                <w:u w:val="none" w:color="auto"/>
                <w:lang w:eastAsia="zh-CN"/>
              </w:rPr>
              <w:t>；</w:t>
            </w:r>
            <w:r>
              <w:rPr>
                <w:rFonts w:ascii="Times New Roman" w:hAnsi="Times New Roman" w:cs="Times New Roman"/>
                <w:color w:val="auto"/>
                <w:u w:val="none" w:color="auto"/>
              </w:rPr>
              <w:t>根据《环境影响评价技术导则-土壤环境（试行）</w:t>
            </w:r>
            <w:r>
              <w:rPr>
                <w:rFonts w:hint="default" w:ascii="Times New Roman" w:hAnsi="Times New Roman" w:cs="Times New Roman"/>
                <w:color w:val="auto"/>
                <w:u w:val="none" w:color="auto"/>
              </w:rPr>
              <w:t>》土壤环境影响评价项目类别</w:t>
            </w:r>
            <w:r>
              <w:rPr>
                <w:rFonts w:ascii="Times New Roman" w:hAnsi="Times New Roman" w:cs="Times New Roman"/>
                <w:color w:val="auto"/>
                <w:u w:val="none" w:color="auto"/>
              </w:rPr>
              <w:t>，</w:t>
            </w:r>
            <w:r>
              <w:rPr>
                <w:rFonts w:hint="default" w:ascii="Times New Roman" w:hAnsi="Times New Roman" w:cs="Times New Roman"/>
                <w:color w:val="auto"/>
                <w:u w:val="none" w:color="auto"/>
                <w:lang w:val="en-US"/>
              </w:rPr>
              <w:t>本项目</w:t>
            </w:r>
            <w:r>
              <w:rPr>
                <w:rFonts w:ascii="Times New Roman" w:hAnsi="Times New Roman" w:cs="Times New Roman"/>
                <w:color w:val="auto"/>
                <w:u w:val="none" w:color="auto"/>
              </w:rPr>
              <w:t>属于附录A中的其他行业，属于</w:t>
            </w:r>
            <w:r>
              <w:rPr>
                <w:rFonts w:hint="default" w:ascii="Times New Roman" w:hAnsi="Times New Roman" w:cs="Times New Roman"/>
                <w:color w:val="auto"/>
                <w:u w:val="none" w:color="auto"/>
              </w:rPr>
              <w:t>Ⅳ</w:t>
            </w:r>
            <w:r>
              <w:rPr>
                <w:rFonts w:ascii="Times New Roman" w:hAnsi="Times New Roman" w:cs="Times New Roman"/>
                <w:color w:val="auto"/>
                <w:u w:val="none" w:color="auto"/>
              </w:rPr>
              <w:t>类项目</w:t>
            </w:r>
            <w:r>
              <w:rPr>
                <w:rFonts w:hint="default" w:ascii="Times New Roman" w:hAnsi="Times New Roman" w:cs="Times New Roman"/>
                <w:color w:val="auto"/>
                <w:u w:val="none" w:color="auto"/>
              </w:rPr>
              <w:t>。</w:t>
            </w:r>
          </w:p>
          <w:p>
            <w:pPr>
              <w:wordWrap/>
              <w:topLinePunct w:val="0"/>
              <w:ind w:firstLine="480"/>
              <w:jc w:val="left"/>
              <w:rPr>
                <w:rFonts w:hint="default" w:ascii="Times New Roman" w:hAnsi="Times New Roman" w:cs="Times New Roman"/>
                <w:u w:val="none" w:color="auto"/>
              </w:rPr>
            </w:pPr>
            <w:r>
              <w:rPr>
                <w:rFonts w:hint="default" w:ascii="Times New Roman" w:hAnsi="Times New Roman" w:cs="Times New Roman"/>
                <w:u w:val="none" w:color="auto"/>
              </w:rPr>
              <w:t>结合导则要求，本环评可</w:t>
            </w:r>
            <w:r>
              <w:rPr>
                <w:rFonts w:ascii="Times New Roman" w:hAnsi="Times New Roman" w:cs="Times New Roman"/>
                <w:u w:val="none" w:color="auto"/>
              </w:rPr>
              <w:t>不开展</w:t>
            </w:r>
            <w:r>
              <w:rPr>
                <w:rFonts w:hint="default" w:ascii="Times New Roman" w:hAnsi="Times New Roman" w:eastAsia="宋体" w:cs="Times New Roman"/>
                <w:sz w:val="24"/>
                <w:szCs w:val="24"/>
                <w:u w:val="none" w:color="auto"/>
              </w:rPr>
              <w:t>地下水</w:t>
            </w:r>
            <w:r>
              <w:rPr>
                <w:rFonts w:hint="default" w:ascii="Times New Roman" w:hAnsi="Times New Roman" w:eastAsia="宋体" w:cs="Times New Roman"/>
                <w:sz w:val="24"/>
                <w:szCs w:val="24"/>
                <w:u w:val="none" w:color="auto"/>
                <w:lang w:eastAsia="zh-CN"/>
              </w:rPr>
              <w:t>、</w:t>
            </w:r>
            <w:r>
              <w:rPr>
                <w:rFonts w:hint="default" w:ascii="Times New Roman" w:hAnsi="Times New Roman" w:eastAsia="宋体" w:cs="Times New Roman"/>
                <w:sz w:val="24"/>
                <w:szCs w:val="24"/>
                <w:u w:val="none" w:color="auto"/>
                <w:lang w:val="en-US" w:eastAsia="zh-CN"/>
              </w:rPr>
              <w:t>土壤</w:t>
            </w:r>
            <w:r>
              <w:rPr>
                <w:rFonts w:ascii="Times New Roman" w:hAnsi="Times New Roman" w:cs="Times New Roman"/>
                <w:u w:val="none" w:color="auto"/>
              </w:rPr>
              <w:t>环境影响评价。</w:t>
            </w:r>
            <w:r>
              <w:rPr>
                <w:rFonts w:hint="default" w:ascii="Times New Roman" w:hAnsi="Times New Roman" w:cs="Times New Roman"/>
                <w:u w:val="none" w:color="auto"/>
              </w:rPr>
              <w:t>但考虑项目会自建污水处理站，本环评着重考虑污水处理站区域对地下水污染，具体如下：</w:t>
            </w:r>
          </w:p>
          <w:p>
            <w:pPr>
              <w:wordWrap/>
              <w:topLinePunct w:val="0"/>
              <w:ind w:firstLine="480"/>
              <w:jc w:val="left"/>
              <w:rPr>
                <w:rFonts w:ascii="Times New Roman" w:hAnsi="Times New Roman" w:cs="Times New Roman"/>
                <w:u w:val="none" w:color="auto"/>
              </w:rPr>
            </w:pPr>
            <w:r>
              <w:rPr>
                <w:rFonts w:hint="default" w:ascii="Times New Roman" w:hAnsi="Times New Roman" w:cs="Times New Roman"/>
                <w:u w:val="none" w:color="auto"/>
              </w:rPr>
              <w:t xml:space="preserve">①废水收集、处理系统防渗措施不当造成污水直接下渗，影响区域周围地区浅层地下水。 </w:t>
            </w:r>
          </w:p>
          <w:p>
            <w:pPr>
              <w:wordWrap/>
              <w:topLinePunct w:val="0"/>
              <w:ind w:firstLine="480"/>
              <w:jc w:val="left"/>
              <w:rPr>
                <w:rFonts w:ascii="Times New Roman" w:hAnsi="Times New Roman" w:cs="Times New Roman"/>
                <w:u w:val="none" w:color="auto"/>
              </w:rPr>
            </w:pPr>
            <w:r>
              <w:rPr>
                <w:rFonts w:hint="default" w:ascii="Times New Roman" w:hAnsi="Times New Roman" w:cs="Times New Roman"/>
                <w:u w:val="none" w:color="auto"/>
              </w:rPr>
              <w:t xml:space="preserve">②收集管道下渗或漏水，污染管道附近的浅层地下水。 </w:t>
            </w:r>
          </w:p>
          <w:p>
            <w:pPr>
              <w:wordWrap/>
              <w:topLinePunct w:val="0"/>
              <w:ind w:firstLine="480"/>
              <w:jc w:val="left"/>
              <w:rPr>
                <w:rFonts w:ascii="Times New Roman" w:hAnsi="Times New Roman" w:cs="Times New Roman"/>
                <w:u w:val="none" w:color="auto"/>
              </w:rPr>
            </w:pPr>
            <w:r>
              <w:rPr>
                <w:rFonts w:hint="default" w:ascii="Times New Roman" w:hAnsi="Times New Roman" w:cs="Times New Roman"/>
                <w:u w:val="none" w:color="auto"/>
              </w:rPr>
              <w:t xml:space="preserve">③污水处理站污泥、废渣等暂存场所防渗不当，造成淋滤液下渗污染地下水。 </w:t>
            </w:r>
          </w:p>
          <w:p>
            <w:pPr>
              <w:widowControl/>
              <w:wordWrap/>
              <w:topLinePunct w:val="0"/>
              <w:ind w:firstLine="480"/>
              <w:jc w:val="left"/>
              <w:rPr>
                <w:rFonts w:ascii="Times New Roman" w:hAnsi="Times New Roman" w:cs="Times New Roman"/>
                <w:u w:val="none" w:color="auto"/>
              </w:rPr>
            </w:pPr>
            <w:r>
              <w:rPr>
                <w:rFonts w:hint="default" w:ascii="Times New Roman" w:hAnsi="Times New Roman" w:cs="Times New Roman"/>
                <w:u w:val="none" w:color="auto"/>
              </w:rPr>
              <w:t>若站区污水泄露，污染地下水，故</w:t>
            </w:r>
            <w:r>
              <w:rPr>
                <w:rFonts w:ascii="Times New Roman" w:hAnsi="Times New Roman" w:cs="Times New Roman"/>
                <w:u w:val="none" w:color="auto"/>
              </w:rPr>
              <w:t>针对项目可能发生的地下水污染，本项目地下水污染防治措施按照</w:t>
            </w:r>
            <w:r>
              <w:rPr>
                <w:rFonts w:hint="default" w:ascii="Times New Roman" w:hAnsi="Times New Roman" w:cs="Times New Roman"/>
                <w:u w:val="none" w:color="auto"/>
              </w:rPr>
              <w:t>“</w:t>
            </w:r>
            <w:r>
              <w:rPr>
                <w:rFonts w:ascii="Times New Roman" w:hAnsi="Times New Roman" w:cs="Times New Roman"/>
                <w:u w:val="none" w:color="auto"/>
              </w:rPr>
              <w:t>源头控制、分区防治、污染监控、应急响应</w:t>
            </w:r>
            <w:r>
              <w:rPr>
                <w:rFonts w:hint="default" w:ascii="Times New Roman" w:hAnsi="Times New Roman" w:cs="Times New Roman"/>
                <w:u w:val="none" w:color="auto"/>
              </w:rPr>
              <w:t>”</w:t>
            </w:r>
            <w:r>
              <w:rPr>
                <w:rFonts w:ascii="Times New Roman" w:hAnsi="Times New Roman" w:cs="Times New Roman"/>
                <w:u w:val="none" w:color="auto"/>
              </w:rPr>
              <w:t>相结合的原则，从污染物的生产、入渗、扩散、应急响应全方位进行控制。</w:t>
            </w:r>
          </w:p>
          <w:p>
            <w:pPr>
              <w:ind w:firstLine="480"/>
              <w:rPr>
                <w:rFonts w:ascii="Times New Roman" w:hAnsi="Times New Roman" w:cs="Times New Roman"/>
                <w:u w:val="none" w:color="auto"/>
              </w:rPr>
            </w:pPr>
            <w:r>
              <w:rPr>
                <w:rFonts w:ascii="Times New Roman" w:hAnsi="Times New Roman" w:cs="Times New Roman"/>
                <w:u w:val="none" w:color="auto"/>
              </w:rPr>
              <w:t>严格按照国家相关规范要求，对污水管道、污水储存及处理构筑物采取相应的防渗措施，以防止和降低污染物的跑、冒、滴、漏，将污染物泄漏的环境风险事故降低到最低程度；管线敷设尽量采用</w:t>
            </w:r>
            <w:r>
              <w:rPr>
                <w:rFonts w:hint="default" w:ascii="Times New Roman" w:hAnsi="Times New Roman" w:cs="Times New Roman"/>
                <w:u w:val="none" w:color="auto"/>
              </w:rPr>
              <w:t>“</w:t>
            </w:r>
            <w:r>
              <w:rPr>
                <w:rFonts w:ascii="Times New Roman" w:hAnsi="Times New Roman" w:cs="Times New Roman"/>
                <w:u w:val="none" w:color="auto"/>
              </w:rPr>
              <w:t>可视化</w:t>
            </w:r>
            <w:r>
              <w:rPr>
                <w:rFonts w:hint="default" w:ascii="Times New Roman" w:hAnsi="Times New Roman" w:cs="Times New Roman"/>
                <w:u w:val="none" w:color="auto"/>
              </w:rPr>
              <w:t>”</w:t>
            </w:r>
            <w:r>
              <w:rPr>
                <w:rFonts w:ascii="Times New Roman" w:hAnsi="Times New Roman" w:cs="Times New Roman"/>
                <w:u w:val="none" w:color="auto"/>
              </w:rPr>
              <w:t>原则，即管道尽可能地上敷设，做到污染物</w:t>
            </w:r>
            <w:r>
              <w:rPr>
                <w:rFonts w:hint="default" w:ascii="Times New Roman" w:hAnsi="Times New Roman" w:cs="Times New Roman"/>
                <w:u w:val="none" w:color="auto"/>
              </w:rPr>
              <w:t>“</w:t>
            </w:r>
            <w:r>
              <w:rPr>
                <w:rFonts w:ascii="Times New Roman" w:hAnsi="Times New Roman" w:cs="Times New Roman"/>
                <w:u w:val="none" w:color="auto"/>
              </w:rPr>
              <w:t>早发现、早处理</w:t>
            </w:r>
            <w:r>
              <w:rPr>
                <w:rFonts w:hint="default" w:ascii="Times New Roman" w:hAnsi="Times New Roman" w:cs="Times New Roman"/>
                <w:u w:val="none" w:color="auto"/>
              </w:rPr>
              <w:t>”，</w:t>
            </w:r>
            <w:r>
              <w:rPr>
                <w:rFonts w:ascii="Times New Roman" w:hAnsi="Times New Roman" w:cs="Times New Roman"/>
                <w:u w:val="none" w:color="auto"/>
              </w:rPr>
              <w:t>以减少由于埋地管道泄漏而可能造成的地下水污染。</w:t>
            </w:r>
          </w:p>
          <w:p>
            <w:pPr>
              <w:widowControl/>
              <w:wordWrap/>
              <w:topLinePunct w:val="0"/>
              <w:ind w:firstLine="480"/>
              <w:jc w:val="left"/>
              <w:rPr>
                <w:rFonts w:ascii="Times New Roman" w:hAnsi="Times New Roman" w:cs="Times New Roman"/>
                <w:u w:val="none" w:color="auto"/>
              </w:rPr>
            </w:pPr>
            <w:r>
              <w:rPr>
                <w:rFonts w:hint="default" w:ascii="Times New Roman" w:hAnsi="Times New Roman" w:cs="Times New Roman"/>
                <w:u w:val="none" w:color="auto"/>
              </w:rPr>
              <w:t>为保护区域地下水安全，需对区域进行防渗。</w:t>
            </w:r>
            <w:r>
              <w:rPr>
                <w:rFonts w:ascii="Times New Roman" w:hAnsi="Times New Roman" w:cs="Times New Roman"/>
                <w:u w:val="none" w:color="auto"/>
              </w:rPr>
              <w:t>污水池构筑物</w:t>
            </w:r>
            <w:r>
              <w:rPr>
                <w:rFonts w:hint="default" w:ascii="Times New Roman" w:hAnsi="Times New Roman" w:cs="Times New Roman"/>
                <w:u w:val="none" w:color="auto"/>
              </w:rPr>
              <w:t>、管道</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危险废物暂存间</w:t>
            </w:r>
            <w:r>
              <w:rPr>
                <w:rFonts w:hint="default" w:ascii="Times New Roman" w:hAnsi="Times New Roman" w:cs="Times New Roman"/>
                <w:u w:val="none" w:color="auto"/>
              </w:rPr>
              <w:t>列</w:t>
            </w:r>
            <w:r>
              <w:rPr>
                <w:rFonts w:hint="default" w:ascii="Times New Roman" w:hAnsi="Times New Roman" w:cs="Times New Roman"/>
                <w:szCs w:val="22"/>
                <w:u w:val="none" w:color="auto"/>
              </w:rPr>
              <w:t>为重点防渗区，</w:t>
            </w:r>
            <w:r>
              <w:rPr>
                <w:rFonts w:hint="default" w:ascii="Times New Roman" w:hAnsi="Times New Roman" w:cs="Times New Roman"/>
                <w:szCs w:val="22"/>
                <w:u w:val="none" w:color="auto"/>
                <w:lang w:val="en-US" w:eastAsia="zh-CN"/>
              </w:rPr>
              <w:t>化粪池</w:t>
            </w:r>
            <w:r>
              <w:rPr>
                <w:rFonts w:hint="default" w:ascii="Times New Roman" w:hAnsi="Times New Roman" w:cs="Times New Roman"/>
                <w:szCs w:val="22"/>
                <w:u w:val="none" w:color="auto"/>
              </w:rPr>
              <w:t>为一般防渗区，其他区域为</w:t>
            </w:r>
            <w:r>
              <w:rPr>
                <w:rFonts w:hint="default" w:ascii="Times New Roman" w:hAnsi="Times New Roman" w:cs="Times New Roman"/>
                <w:u w:val="none" w:color="auto"/>
              </w:rPr>
              <w:t>简单防渗区。</w:t>
            </w:r>
            <w:r>
              <w:rPr>
                <w:rFonts w:hint="default" w:ascii="Times New Roman" w:hAnsi="Times New Roman" w:cs="Times New Roman"/>
                <w:szCs w:val="22"/>
                <w:u w:val="none" w:color="auto"/>
              </w:rPr>
              <w:t>项目分区防渗一览表见下表</w:t>
            </w:r>
            <w:r>
              <w:rPr>
                <w:rFonts w:hint="default" w:ascii="Times New Roman" w:hAnsi="Times New Roman" w:cs="Times New Roman"/>
                <w:szCs w:val="22"/>
                <w:u w:val="none" w:color="auto"/>
                <w:lang w:val="en-US" w:eastAsia="zh-CN"/>
              </w:rPr>
              <w:t>4.2-</w:t>
            </w:r>
            <w:r>
              <w:rPr>
                <w:rFonts w:hint="eastAsia" w:cs="Times New Roman"/>
                <w:szCs w:val="22"/>
                <w:u w:val="none" w:color="auto"/>
                <w:lang w:val="en-US" w:eastAsia="zh-CN"/>
              </w:rPr>
              <w:t>26</w:t>
            </w:r>
            <w:r>
              <w:rPr>
                <w:rFonts w:hint="default" w:ascii="Times New Roman" w:hAnsi="Times New Roman" w:cs="Times New Roman"/>
                <w:u w:val="none" w:color="auto"/>
              </w:rPr>
              <w:t>。</w:t>
            </w:r>
          </w:p>
          <w:p>
            <w:pPr>
              <w:wordWrap/>
              <w:topLinePunct w:val="0"/>
              <w:spacing w:line="240" w:lineRule="auto"/>
              <w:ind w:firstLine="0" w:firstLineChars="0"/>
              <w:jc w:val="center"/>
              <w:rPr>
                <w:rFonts w:ascii="Times New Roman" w:hAnsi="Times New Roman" w:cs="Times New Roman"/>
                <w:b/>
                <w:bCs/>
                <w:sz w:val="21"/>
                <w:u w:val="none" w:color="auto"/>
              </w:rPr>
            </w:pPr>
            <w:r>
              <w:rPr>
                <w:rFonts w:hint="default" w:ascii="Times New Roman" w:hAnsi="Times New Roman" w:cs="Times New Roman"/>
                <w:b/>
                <w:bCs/>
                <w:sz w:val="21"/>
                <w:u w:val="none" w:color="auto"/>
              </w:rPr>
              <w:t>表</w:t>
            </w:r>
            <w:r>
              <w:rPr>
                <w:rFonts w:hint="default" w:ascii="Times New Roman" w:hAnsi="Times New Roman" w:cs="Times New Roman"/>
                <w:b/>
                <w:bCs/>
                <w:sz w:val="21"/>
                <w:u w:val="none" w:color="auto"/>
                <w:lang w:val="en-US" w:eastAsia="zh-CN"/>
              </w:rPr>
              <w:t>4.2-</w:t>
            </w:r>
            <w:r>
              <w:rPr>
                <w:rFonts w:hint="eastAsia" w:cs="Times New Roman"/>
                <w:b/>
                <w:bCs/>
                <w:sz w:val="21"/>
                <w:u w:val="none" w:color="auto"/>
                <w:lang w:val="en-US" w:eastAsia="zh-CN"/>
              </w:rPr>
              <w:t>26</w:t>
            </w:r>
            <w:r>
              <w:rPr>
                <w:rFonts w:hint="default" w:ascii="Times New Roman" w:hAnsi="Times New Roman" w:cs="Times New Roman"/>
                <w:b/>
                <w:bCs/>
                <w:sz w:val="21"/>
                <w:u w:val="none" w:color="auto"/>
              </w:rPr>
              <w:t xml:space="preserve"> </w:t>
            </w:r>
            <w:r>
              <w:rPr>
                <w:rFonts w:ascii="Times New Roman" w:hAnsi="Times New Roman" w:cs="Times New Roman"/>
                <w:b/>
                <w:bCs/>
                <w:sz w:val="21"/>
                <w:u w:val="none" w:color="auto"/>
              </w:rPr>
              <w:t>分区防渗一览表</w:t>
            </w:r>
          </w:p>
          <w:tbl>
            <w:tblPr>
              <w:tblStyle w:val="28"/>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6"/>
              <w:gridCol w:w="1574"/>
              <w:gridCol w:w="1176"/>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375" w:type="pct"/>
                  <w:noWrap w:val="0"/>
                  <w:vAlign w:val="center"/>
                </w:tcPr>
                <w:p>
                  <w:pPr>
                    <w:suppressAutoHyphens/>
                    <w:wordWrap/>
                    <w:snapToGrid w:val="0"/>
                    <w:spacing w:line="240" w:lineRule="auto"/>
                    <w:ind w:firstLine="0" w:firstLineChars="0"/>
                    <w:jc w:val="center"/>
                    <w:rPr>
                      <w:rFonts w:ascii="Times New Roman" w:hAnsi="Times New Roman" w:cs="Times New Roman"/>
                      <w:b/>
                      <w:bCs/>
                      <w:sz w:val="21"/>
                      <w:u w:val="none" w:color="auto"/>
                    </w:rPr>
                  </w:pPr>
                  <w:r>
                    <w:rPr>
                      <w:rFonts w:hint="default" w:ascii="Times New Roman" w:hAnsi="Times New Roman" w:cs="Times New Roman"/>
                      <w:b/>
                      <w:bCs/>
                      <w:sz w:val="21"/>
                      <w:u w:val="none" w:color="auto"/>
                    </w:rPr>
                    <w:t>序号</w:t>
                  </w:r>
                </w:p>
              </w:tc>
              <w:tc>
                <w:tcPr>
                  <w:tcW w:w="957" w:type="pct"/>
                  <w:noWrap w:val="0"/>
                  <w:vAlign w:val="center"/>
                </w:tcPr>
                <w:p>
                  <w:pPr>
                    <w:suppressAutoHyphens/>
                    <w:wordWrap/>
                    <w:snapToGrid w:val="0"/>
                    <w:spacing w:line="240" w:lineRule="auto"/>
                    <w:ind w:firstLine="0" w:firstLineChars="0"/>
                    <w:jc w:val="center"/>
                    <w:rPr>
                      <w:rFonts w:ascii="Times New Roman" w:hAnsi="Times New Roman" w:cs="Times New Roman"/>
                      <w:b/>
                      <w:bCs/>
                      <w:sz w:val="21"/>
                      <w:u w:val="none" w:color="auto"/>
                    </w:rPr>
                  </w:pPr>
                  <w:r>
                    <w:rPr>
                      <w:rFonts w:hint="default" w:ascii="Times New Roman" w:hAnsi="Times New Roman" w:cs="Times New Roman"/>
                      <w:b/>
                      <w:bCs/>
                      <w:sz w:val="21"/>
                      <w:u w:val="none" w:color="auto"/>
                    </w:rPr>
                    <w:t>名称</w:t>
                  </w:r>
                </w:p>
              </w:tc>
              <w:tc>
                <w:tcPr>
                  <w:tcW w:w="715" w:type="pct"/>
                  <w:noWrap w:val="0"/>
                  <w:vAlign w:val="center"/>
                </w:tcPr>
                <w:p>
                  <w:pPr>
                    <w:suppressAutoHyphens/>
                    <w:wordWrap/>
                    <w:snapToGrid w:val="0"/>
                    <w:spacing w:line="240" w:lineRule="auto"/>
                    <w:ind w:firstLine="0" w:firstLineChars="0"/>
                    <w:jc w:val="center"/>
                    <w:rPr>
                      <w:rFonts w:ascii="Times New Roman" w:hAnsi="Times New Roman" w:cs="Times New Roman"/>
                      <w:b/>
                      <w:bCs/>
                      <w:sz w:val="21"/>
                      <w:u w:val="none" w:color="auto"/>
                    </w:rPr>
                  </w:pPr>
                  <w:r>
                    <w:rPr>
                      <w:rFonts w:hint="default" w:ascii="Times New Roman" w:hAnsi="Times New Roman" w:cs="Times New Roman"/>
                      <w:b/>
                      <w:bCs/>
                      <w:sz w:val="21"/>
                      <w:u w:val="none" w:color="auto"/>
                    </w:rPr>
                    <w:t>防渗级别</w:t>
                  </w:r>
                </w:p>
              </w:tc>
              <w:tc>
                <w:tcPr>
                  <w:tcW w:w="2951" w:type="pct"/>
                  <w:noWrap w:val="0"/>
                  <w:vAlign w:val="center"/>
                </w:tcPr>
                <w:p>
                  <w:pPr>
                    <w:suppressAutoHyphens/>
                    <w:wordWrap/>
                    <w:snapToGrid w:val="0"/>
                    <w:spacing w:line="240" w:lineRule="auto"/>
                    <w:ind w:firstLine="0" w:firstLineChars="0"/>
                    <w:jc w:val="center"/>
                    <w:rPr>
                      <w:rFonts w:ascii="Times New Roman" w:hAnsi="Times New Roman" w:cs="Times New Roman"/>
                      <w:b/>
                      <w:bCs/>
                      <w:sz w:val="21"/>
                      <w:u w:val="none" w:color="auto"/>
                    </w:rPr>
                  </w:pPr>
                  <w:r>
                    <w:rPr>
                      <w:rFonts w:hint="default" w:ascii="Times New Roman" w:hAnsi="Times New Roman" w:cs="Times New Roman"/>
                      <w:b/>
                      <w:bCs/>
                      <w:sz w:val="21"/>
                      <w:u w:val="none" w:color="auto"/>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375"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ascii="Times New Roman" w:hAnsi="Times New Roman" w:cs="Times New Roman"/>
                      <w:sz w:val="21"/>
                      <w:u w:val="none" w:color="auto"/>
                    </w:rPr>
                    <w:t>1</w:t>
                  </w:r>
                </w:p>
              </w:tc>
              <w:tc>
                <w:tcPr>
                  <w:tcW w:w="957"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污水管（埋地）</w:t>
                  </w:r>
                </w:p>
              </w:tc>
              <w:tc>
                <w:tcPr>
                  <w:tcW w:w="715"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重点防渗区</w:t>
                  </w:r>
                </w:p>
              </w:tc>
              <w:tc>
                <w:tcPr>
                  <w:tcW w:w="2951"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污水输送全部采用管道输送，管道材料应视输送介质的不同选择合适材质并做表面的防腐、防锈蚀处理，减轻</w:t>
                  </w:r>
                  <w:r>
                    <w:rPr>
                      <w:rFonts w:ascii="Times New Roman" w:hAnsi="Times New Roman" w:cs="Times New Roman"/>
                      <w:sz w:val="21"/>
                      <w:u w:val="none" w:color="auto"/>
                    </w:rPr>
                    <w:t xml:space="preserve"> </w:t>
                  </w:r>
                  <w:r>
                    <w:rPr>
                      <w:rFonts w:hint="default" w:ascii="Times New Roman" w:hAnsi="Times New Roman" w:cs="Times New Roman"/>
                      <w:sz w:val="21"/>
                      <w:u w:val="none" w:color="auto"/>
                    </w:rPr>
                    <w:t>管道腐蚀造成的渗漏，并进行定期检查，防止跑冒漏滴的现象发生。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375"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ascii="Times New Roman" w:hAnsi="Times New Roman" w:cs="Times New Roman"/>
                      <w:sz w:val="21"/>
                      <w:u w:val="none" w:color="auto"/>
                    </w:rPr>
                    <w:t>2</w:t>
                  </w:r>
                </w:p>
              </w:tc>
              <w:tc>
                <w:tcPr>
                  <w:tcW w:w="957"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ascii="Times New Roman" w:hAnsi="Times New Roman" w:cs="Times New Roman"/>
                      <w:sz w:val="21"/>
                      <w:u w:val="none" w:color="auto"/>
                    </w:rPr>
                    <w:t>污水池构筑物</w:t>
                  </w:r>
                </w:p>
              </w:tc>
              <w:tc>
                <w:tcPr>
                  <w:tcW w:w="715"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重点防渗区</w:t>
                  </w:r>
                </w:p>
              </w:tc>
              <w:tc>
                <w:tcPr>
                  <w:tcW w:w="2951"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池体采用钢筋混凝土加防渗剂的防渗地坪</w:t>
                  </w:r>
                  <w:r>
                    <w:rPr>
                      <w:rFonts w:ascii="Times New Roman" w:hAnsi="Times New Roman" w:cs="Times New Roman"/>
                      <w:sz w:val="21"/>
                      <w:u w:val="none" w:color="auto"/>
                    </w:rPr>
                    <w:t>+</w:t>
                  </w:r>
                  <w:r>
                    <w:rPr>
                      <w:rFonts w:hint="default" w:ascii="Times New Roman" w:hAnsi="Times New Roman" w:cs="Times New Roman"/>
                      <w:sz w:val="21"/>
                      <w:u w:val="none" w:color="auto"/>
                    </w:rPr>
                    <w:t>人工材料</w:t>
                  </w:r>
                </w:p>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w:t>
                  </w:r>
                  <w:r>
                    <w:rPr>
                      <w:rFonts w:ascii="Times New Roman" w:hAnsi="Times New Roman" w:cs="Times New Roman"/>
                      <w:sz w:val="21"/>
                      <w:u w:val="none" w:color="auto"/>
                    </w:rPr>
                    <w:t xml:space="preserve"> HDPE </w:t>
                  </w:r>
                  <w:r>
                    <w:rPr>
                      <w:rFonts w:hint="default" w:ascii="Times New Roman" w:hAnsi="Times New Roman" w:cs="Times New Roman"/>
                      <w:sz w:val="21"/>
                      <w:u w:val="none" w:color="auto"/>
                    </w:rPr>
                    <w:t>）</w:t>
                  </w:r>
                  <w:r>
                    <w:rPr>
                      <w:rFonts w:ascii="Times New Roman" w:hAnsi="Times New Roman" w:cs="Times New Roman"/>
                      <w:sz w:val="21"/>
                      <w:u w:val="none" w:color="auto"/>
                    </w:rPr>
                    <w:t xml:space="preserve"> </w:t>
                  </w:r>
                  <w:r>
                    <w:rPr>
                      <w:rFonts w:hint="default" w:ascii="Times New Roman" w:hAnsi="Times New Roman" w:cs="Times New Roman"/>
                      <w:sz w:val="21"/>
                      <w:u w:val="none" w:color="auto"/>
                    </w:rPr>
                    <w:t>防渗层，</w:t>
                  </w:r>
                  <w:r>
                    <w:rPr>
                      <w:rFonts w:ascii="Times New Roman" w:hAnsi="Times New Roman" w:cs="Times New Roman"/>
                      <w:sz w:val="21"/>
                      <w:u w:val="none" w:color="auto"/>
                    </w:rPr>
                    <w:t xml:space="preserve"> </w:t>
                  </w:r>
                  <w:r>
                    <w:rPr>
                      <w:rFonts w:hint="default" w:ascii="Times New Roman" w:hAnsi="Times New Roman" w:cs="Times New Roman"/>
                      <w:sz w:val="21"/>
                      <w:u w:val="none" w:color="auto"/>
                    </w:rPr>
                    <w:t>确保等效黏土防渗层</w:t>
                  </w:r>
                  <w:r>
                    <w:rPr>
                      <w:rFonts w:ascii="Times New Roman" w:hAnsi="Times New Roman" w:cs="Times New Roman"/>
                      <w:sz w:val="21"/>
                      <w:u w:val="none" w:color="auto"/>
                    </w:rPr>
                    <w:t xml:space="preserve"> Mb≥6.0m </w:t>
                  </w:r>
                  <w:r>
                    <w:rPr>
                      <w:rFonts w:hint="default" w:ascii="Times New Roman" w:hAnsi="Times New Roman" w:cs="Times New Roman"/>
                      <w:sz w:val="21"/>
                      <w:u w:val="none" w:color="auto"/>
                    </w:rPr>
                    <w:t>，</w:t>
                  </w:r>
                  <w:r>
                    <w:rPr>
                      <w:rFonts w:ascii="Times New Roman" w:hAnsi="Times New Roman" w:cs="Times New Roman"/>
                      <w:sz w:val="21"/>
                      <w:u w:val="none" w:color="auto"/>
                    </w:rPr>
                    <w:t xml:space="preserve"> K≤1×10</w:t>
                  </w:r>
                  <w:r>
                    <w:rPr>
                      <w:rFonts w:ascii="Times New Roman" w:hAnsi="Times New Roman" w:cs="Times New Roman"/>
                      <w:sz w:val="21"/>
                      <w:u w:val="none" w:color="auto"/>
                      <w:vertAlign w:val="superscript"/>
                    </w:rPr>
                    <w:t>-7</w:t>
                  </w:r>
                  <w:r>
                    <w:rPr>
                      <w:rFonts w:ascii="Times New Roman" w:hAnsi="Times New Roman" w:cs="Times New Roman"/>
                      <w:sz w:val="21"/>
                      <w:u w:val="none" w:color="auto"/>
                    </w:rPr>
                    <w:t>cm/s</w:t>
                  </w:r>
                  <w:r>
                    <w:rPr>
                      <w:rFonts w:hint="default" w:ascii="Times New Roman" w:hAnsi="Times New Roman" w:cs="Times New Roman"/>
                      <w:sz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375"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ascii="Times New Roman" w:hAnsi="Times New Roman" w:cs="Times New Roman"/>
                      <w:sz w:val="21"/>
                      <w:u w:val="none" w:color="auto"/>
                    </w:rPr>
                    <w:t>3</w:t>
                  </w:r>
                </w:p>
              </w:tc>
              <w:tc>
                <w:tcPr>
                  <w:tcW w:w="957" w:type="pct"/>
                  <w:noWrap w:val="0"/>
                  <w:vAlign w:val="center"/>
                </w:tcPr>
                <w:p>
                  <w:pPr>
                    <w:suppressAutoHyphens/>
                    <w:wordWrap/>
                    <w:snapToGrid w:val="0"/>
                    <w:spacing w:line="240" w:lineRule="auto"/>
                    <w:ind w:firstLine="0" w:firstLineChars="0"/>
                    <w:jc w:val="center"/>
                    <w:rPr>
                      <w:rFonts w:hint="default" w:ascii="Times New Roman" w:hAnsi="Times New Roman" w:eastAsia="宋体" w:cs="Times New Roman"/>
                      <w:sz w:val="21"/>
                      <w:u w:val="none" w:color="auto"/>
                      <w:lang w:val="en-US" w:eastAsia="zh-CN"/>
                    </w:rPr>
                  </w:pPr>
                  <w:r>
                    <w:rPr>
                      <w:rFonts w:hint="default" w:ascii="Times New Roman" w:hAnsi="Times New Roman" w:cs="Times New Roman"/>
                      <w:sz w:val="21"/>
                      <w:u w:val="none" w:color="auto"/>
                      <w:lang w:val="en-US" w:eastAsia="zh-CN"/>
                    </w:rPr>
                    <w:t>危险废物暂存间</w:t>
                  </w:r>
                </w:p>
              </w:tc>
              <w:tc>
                <w:tcPr>
                  <w:tcW w:w="715"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重点防渗区</w:t>
                  </w:r>
                </w:p>
              </w:tc>
              <w:tc>
                <w:tcPr>
                  <w:tcW w:w="2951"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池体采用钢筋混凝土加防渗剂的防渗地坪</w:t>
                  </w:r>
                  <w:r>
                    <w:rPr>
                      <w:rFonts w:ascii="Times New Roman" w:hAnsi="Times New Roman" w:cs="Times New Roman"/>
                      <w:sz w:val="21"/>
                      <w:u w:val="none" w:color="auto"/>
                    </w:rPr>
                    <w:t>+</w:t>
                  </w:r>
                  <w:r>
                    <w:rPr>
                      <w:rFonts w:hint="default" w:ascii="Times New Roman" w:hAnsi="Times New Roman" w:cs="Times New Roman"/>
                      <w:sz w:val="21"/>
                      <w:u w:val="none" w:color="auto"/>
                    </w:rPr>
                    <w:t>人工材料</w:t>
                  </w:r>
                </w:p>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w:t>
                  </w:r>
                  <w:r>
                    <w:rPr>
                      <w:rFonts w:ascii="Times New Roman" w:hAnsi="Times New Roman" w:cs="Times New Roman"/>
                      <w:sz w:val="21"/>
                      <w:u w:val="none" w:color="auto"/>
                    </w:rPr>
                    <w:t xml:space="preserve"> HDPE </w:t>
                  </w:r>
                  <w:r>
                    <w:rPr>
                      <w:rFonts w:hint="default" w:ascii="Times New Roman" w:hAnsi="Times New Roman" w:cs="Times New Roman"/>
                      <w:sz w:val="21"/>
                      <w:u w:val="none" w:color="auto"/>
                    </w:rPr>
                    <w:t>）</w:t>
                  </w:r>
                  <w:r>
                    <w:rPr>
                      <w:rFonts w:ascii="Times New Roman" w:hAnsi="Times New Roman" w:cs="Times New Roman"/>
                      <w:sz w:val="21"/>
                      <w:u w:val="none" w:color="auto"/>
                    </w:rPr>
                    <w:t xml:space="preserve"> </w:t>
                  </w:r>
                  <w:r>
                    <w:rPr>
                      <w:rFonts w:hint="default" w:ascii="Times New Roman" w:hAnsi="Times New Roman" w:cs="Times New Roman"/>
                      <w:sz w:val="21"/>
                      <w:u w:val="none" w:color="auto"/>
                    </w:rPr>
                    <w:t>防渗层，</w:t>
                  </w:r>
                  <w:r>
                    <w:rPr>
                      <w:rFonts w:ascii="Times New Roman" w:hAnsi="Times New Roman" w:cs="Times New Roman"/>
                      <w:sz w:val="21"/>
                      <w:u w:val="none" w:color="auto"/>
                    </w:rPr>
                    <w:t xml:space="preserve"> </w:t>
                  </w:r>
                  <w:r>
                    <w:rPr>
                      <w:rFonts w:hint="default" w:ascii="Times New Roman" w:hAnsi="Times New Roman" w:cs="Times New Roman"/>
                      <w:sz w:val="21"/>
                      <w:u w:val="none" w:color="auto"/>
                    </w:rPr>
                    <w:t>确保等效黏土防渗层</w:t>
                  </w:r>
                  <w:r>
                    <w:rPr>
                      <w:rFonts w:ascii="Times New Roman" w:hAnsi="Times New Roman" w:cs="Times New Roman"/>
                      <w:sz w:val="21"/>
                      <w:u w:val="none" w:color="auto"/>
                    </w:rPr>
                    <w:t xml:space="preserve"> Mb≥6.0m </w:t>
                  </w:r>
                  <w:r>
                    <w:rPr>
                      <w:rFonts w:hint="default" w:ascii="Times New Roman" w:hAnsi="Times New Roman" w:cs="Times New Roman"/>
                      <w:sz w:val="21"/>
                      <w:u w:val="none" w:color="auto"/>
                    </w:rPr>
                    <w:t>，</w:t>
                  </w:r>
                  <w:r>
                    <w:rPr>
                      <w:rFonts w:ascii="Times New Roman" w:hAnsi="Times New Roman" w:cs="Times New Roman"/>
                      <w:sz w:val="21"/>
                      <w:u w:val="none" w:color="auto"/>
                    </w:rPr>
                    <w:t xml:space="preserve"> K≤1×10</w:t>
                  </w:r>
                  <w:r>
                    <w:rPr>
                      <w:rFonts w:ascii="Times New Roman" w:hAnsi="Times New Roman" w:cs="Times New Roman"/>
                      <w:sz w:val="21"/>
                      <w:u w:val="none" w:color="auto"/>
                      <w:vertAlign w:val="superscript"/>
                    </w:rPr>
                    <w:t>-7</w:t>
                  </w:r>
                  <w:r>
                    <w:rPr>
                      <w:rFonts w:ascii="Times New Roman" w:hAnsi="Times New Roman" w:cs="Times New Roman"/>
                      <w:sz w:val="21"/>
                      <w:u w:val="none" w:color="auto"/>
                    </w:rPr>
                    <w:t>cm/s</w:t>
                  </w:r>
                  <w:r>
                    <w:rPr>
                      <w:rFonts w:hint="default" w:ascii="Times New Roman" w:hAnsi="Times New Roman" w:cs="Times New Roman"/>
                      <w:sz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1" w:hRule="atLeast"/>
                <w:jc w:val="center"/>
              </w:trPr>
              <w:tc>
                <w:tcPr>
                  <w:tcW w:w="375" w:type="pct"/>
                  <w:noWrap w:val="0"/>
                  <w:vAlign w:val="center"/>
                </w:tcPr>
                <w:p>
                  <w:pPr>
                    <w:suppressAutoHyphens/>
                    <w:wordWrap/>
                    <w:snapToGrid w:val="0"/>
                    <w:spacing w:line="240" w:lineRule="auto"/>
                    <w:ind w:firstLine="0" w:firstLineChars="0"/>
                    <w:jc w:val="center"/>
                    <w:rPr>
                      <w:rFonts w:hint="default" w:ascii="Times New Roman" w:hAnsi="Times New Roman" w:eastAsia="宋体" w:cs="Times New Roman"/>
                      <w:sz w:val="21"/>
                      <w:u w:val="none" w:color="auto"/>
                      <w:lang w:eastAsia="zh-CN"/>
                    </w:rPr>
                  </w:pPr>
                  <w:r>
                    <w:rPr>
                      <w:rFonts w:hint="default" w:ascii="Times New Roman" w:hAnsi="Times New Roman" w:cs="Times New Roman"/>
                      <w:sz w:val="21"/>
                      <w:u w:val="none" w:color="auto"/>
                      <w:lang w:val="en-US" w:eastAsia="zh-CN"/>
                    </w:rPr>
                    <w:t>4</w:t>
                  </w:r>
                </w:p>
              </w:tc>
              <w:tc>
                <w:tcPr>
                  <w:tcW w:w="957" w:type="pct"/>
                  <w:noWrap w:val="0"/>
                  <w:vAlign w:val="center"/>
                </w:tcPr>
                <w:p>
                  <w:pPr>
                    <w:suppressAutoHyphens/>
                    <w:wordWrap/>
                    <w:snapToGrid w:val="0"/>
                    <w:spacing w:line="240" w:lineRule="auto"/>
                    <w:ind w:firstLine="0" w:firstLineChars="0"/>
                    <w:jc w:val="center"/>
                    <w:rPr>
                      <w:rFonts w:hint="default" w:ascii="Times New Roman" w:hAnsi="Times New Roman" w:eastAsia="宋体" w:cs="Times New Roman"/>
                      <w:sz w:val="21"/>
                      <w:u w:val="none" w:color="auto"/>
                      <w:lang w:val="en-US" w:eastAsia="zh-CN"/>
                    </w:rPr>
                  </w:pPr>
                  <w:r>
                    <w:rPr>
                      <w:rFonts w:hint="default" w:ascii="Times New Roman" w:hAnsi="Times New Roman" w:cs="Times New Roman"/>
                      <w:sz w:val="21"/>
                      <w:u w:val="none" w:color="auto"/>
                      <w:lang w:val="en-US" w:eastAsia="zh-CN"/>
                    </w:rPr>
                    <w:t>化粪池</w:t>
                  </w:r>
                </w:p>
              </w:tc>
              <w:tc>
                <w:tcPr>
                  <w:tcW w:w="715"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一般防渗区</w:t>
                  </w:r>
                </w:p>
              </w:tc>
              <w:tc>
                <w:tcPr>
                  <w:tcW w:w="2951"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地面采取钢筋混凝土并涂覆防渗涂料，可使一般防渗区域的等效黏土防渗层</w:t>
                  </w:r>
                  <w:r>
                    <w:rPr>
                      <w:rFonts w:ascii="Times New Roman" w:hAnsi="Times New Roman" w:cs="Times New Roman"/>
                      <w:sz w:val="21"/>
                      <w:u w:val="none" w:color="auto"/>
                    </w:rPr>
                    <w:t xml:space="preserve"> Mb≥1.5m</w:t>
                  </w:r>
                  <w:r>
                    <w:rPr>
                      <w:rFonts w:hint="default" w:ascii="Times New Roman" w:hAnsi="Times New Roman" w:cs="Times New Roman"/>
                      <w:sz w:val="21"/>
                      <w:u w:val="none" w:color="auto"/>
                    </w:rPr>
                    <w:t>，</w:t>
                  </w:r>
                  <w:r>
                    <w:rPr>
                      <w:rFonts w:ascii="Times New Roman" w:hAnsi="Times New Roman" w:cs="Times New Roman"/>
                      <w:sz w:val="21"/>
                      <w:u w:val="none" w:color="auto"/>
                    </w:rPr>
                    <w:t>K≤1×10</w:t>
                  </w:r>
                  <w:r>
                    <w:rPr>
                      <w:rFonts w:ascii="Times New Roman" w:hAnsi="Times New Roman" w:cs="Times New Roman"/>
                      <w:sz w:val="21"/>
                      <w:u w:val="none" w:color="auto"/>
                      <w:vertAlign w:val="superscript"/>
                    </w:rPr>
                    <w:t>-7</w:t>
                  </w:r>
                  <w:r>
                    <w:rPr>
                      <w:rFonts w:ascii="Times New Roman" w:hAnsi="Times New Roman" w:cs="Times New Roman"/>
                      <w:sz w:val="21"/>
                      <w:u w:val="none" w:color="auto"/>
                    </w:rPr>
                    <w:t>cm/s</w:t>
                  </w:r>
                  <w:r>
                    <w:rPr>
                      <w:rFonts w:hint="default" w:ascii="Times New Roman" w:hAnsi="Times New Roman" w:cs="Times New Roman"/>
                      <w:sz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75" w:type="pct"/>
                  <w:noWrap w:val="0"/>
                  <w:vAlign w:val="center"/>
                </w:tcPr>
                <w:p>
                  <w:pPr>
                    <w:suppressAutoHyphens/>
                    <w:wordWrap/>
                    <w:snapToGrid w:val="0"/>
                    <w:spacing w:line="240" w:lineRule="auto"/>
                    <w:ind w:firstLine="0" w:firstLineChars="0"/>
                    <w:jc w:val="center"/>
                    <w:rPr>
                      <w:rFonts w:hint="default" w:ascii="Times New Roman" w:hAnsi="Times New Roman" w:eastAsia="宋体" w:cs="Times New Roman"/>
                      <w:sz w:val="21"/>
                      <w:u w:val="none" w:color="auto"/>
                      <w:lang w:eastAsia="zh-CN"/>
                    </w:rPr>
                  </w:pPr>
                  <w:r>
                    <w:rPr>
                      <w:rFonts w:hint="default" w:ascii="Times New Roman" w:hAnsi="Times New Roman" w:cs="Times New Roman"/>
                      <w:sz w:val="21"/>
                      <w:u w:val="none" w:color="auto"/>
                      <w:lang w:val="en-US" w:eastAsia="zh-CN"/>
                    </w:rPr>
                    <w:t>5</w:t>
                  </w:r>
                </w:p>
              </w:tc>
              <w:tc>
                <w:tcPr>
                  <w:tcW w:w="957"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其他区域</w:t>
                  </w:r>
                </w:p>
              </w:tc>
              <w:tc>
                <w:tcPr>
                  <w:tcW w:w="715"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简单防渗区</w:t>
                  </w:r>
                </w:p>
              </w:tc>
              <w:tc>
                <w:tcPr>
                  <w:tcW w:w="2951" w:type="pct"/>
                  <w:noWrap w:val="0"/>
                  <w:vAlign w:val="center"/>
                </w:tcPr>
                <w:p>
                  <w:pPr>
                    <w:suppressAutoHyphens/>
                    <w:wordWrap/>
                    <w:snapToGrid w:val="0"/>
                    <w:spacing w:line="240" w:lineRule="auto"/>
                    <w:ind w:firstLine="0" w:firstLineChars="0"/>
                    <w:jc w:val="center"/>
                    <w:rPr>
                      <w:rFonts w:ascii="Times New Roman" w:hAnsi="Times New Roman" w:cs="Times New Roman"/>
                      <w:sz w:val="21"/>
                      <w:u w:val="none" w:color="auto"/>
                    </w:rPr>
                  </w:pPr>
                  <w:r>
                    <w:rPr>
                      <w:rFonts w:hint="default" w:ascii="Times New Roman" w:hAnsi="Times New Roman" w:cs="Times New Roman"/>
                      <w:sz w:val="21"/>
                      <w:u w:val="none" w:color="auto"/>
                    </w:rPr>
                    <w:t>一般硬化</w:t>
                  </w:r>
                </w:p>
              </w:tc>
            </w:tr>
          </w:tbl>
          <w:p>
            <w:pPr>
              <w:bidi w:val="0"/>
              <w:rPr>
                <w:rFonts w:hint="default" w:ascii="Times New Roman" w:hAnsi="Times New Roman" w:cs="Times New Roman"/>
                <w:u w:val="none" w:color="auto"/>
              </w:rPr>
            </w:pPr>
            <w:r>
              <w:rPr>
                <w:rFonts w:hint="default" w:ascii="Times New Roman" w:hAnsi="Times New Roman" w:cs="Times New Roman"/>
                <w:u w:val="none" w:color="auto"/>
              </w:rPr>
              <w:t>通过以上分析，项目采取了必要的防渗防腐、管理措施，可以在很大程度上预防污水处理站</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危险废物暂存间</w:t>
            </w:r>
            <w:r>
              <w:rPr>
                <w:rFonts w:hint="default" w:ascii="Times New Roman" w:hAnsi="Times New Roman" w:cs="Times New Roman"/>
                <w:u w:val="none" w:color="auto"/>
              </w:rPr>
              <w:t>对当地地下水</w:t>
            </w:r>
            <w:r>
              <w:rPr>
                <w:rFonts w:hint="default" w:ascii="Times New Roman" w:hAnsi="Times New Roman" w:cs="Times New Roman"/>
                <w:u w:val="none" w:color="auto"/>
                <w:lang w:eastAsia="zh-CN"/>
              </w:rPr>
              <w:t>、</w:t>
            </w:r>
            <w:r>
              <w:rPr>
                <w:rFonts w:hint="default" w:ascii="Times New Roman" w:hAnsi="Times New Roman" w:cs="Times New Roman"/>
                <w:u w:val="none" w:color="auto"/>
                <w:lang w:val="en-US" w:eastAsia="zh-CN"/>
              </w:rPr>
              <w:t>土壤环境</w:t>
            </w:r>
            <w:r>
              <w:rPr>
                <w:rFonts w:hint="default" w:ascii="Times New Roman" w:hAnsi="Times New Roman" w:cs="Times New Roman"/>
                <w:u w:val="none" w:color="auto"/>
              </w:rPr>
              <w:t>的污染，不会对地下水水质造成影响。</w:t>
            </w:r>
          </w:p>
          <w:p>
            <w:pPr>
              <w:bidi w:val="0"/>
              <w:rPr>
                <w:rFonts w:hint="default"/>
                <w:lang w:val="en-US"/>
              </w:rPr>
            </w:pPr>
            <w:r>
              <w:rPr>
                <w:rFonts w:hint="default"/>
                <w:lang w:val="en-US" w:eastAsia="zh-CN"/>
              </w:rPr>
              <w:t>本项目属于其他方便食品行业，项目地位于泸溪县武溪镇红土溪村，不占用饮用水水源保护区，灌溉区域涉及饮用水水源保护区的二级陆域保护区</w:t>
            </w:r>
            <w:r>
              <w:rPr>
                <w:rFonts w:hint="eastAsia"/>
                <w:lang w:val="en-US" w:eastAsia="zh-CN"/>
              </w:rPr>
              <w:t>，为加强管理，本环评建议项目营运期应对灌溉区域土壤的环境质量进行定期监测，监测要求如下：</w:t>
            </w:r>
          </w:p>
          <w:p>
            <w:pPr>
              <w:wordWrap/>
              <w:topLinePunct w:val="0"/>
              <w:spacing w:line="240" w:lineRule="auto"/>
              <w:ind w:firstLine="0" w:firstLineChars="0"/>
              <w:jc w:val="center"/>
              <w:rPr>
                <w:rFonts w:hint="default" w:ascii="Times New Roman" w:hAnsi="Times New Roman" w:eastAsia="宋体" w:cs="Times New Roman"/>
                <w:b/>
                <w:bCs/>
                <w:sz w:val="21"/>
                <w:u w:val="none" w:color="auto"/>
                <w:lang w:val="en-US" w:eastAsia="zh-CN"/>
              </w:rPr>
            </w:pPr>
            <w:r>
              <w:rPr>
                <w:rFonts w:hint="default" w:ascii="Times New Roman" w:hAnsi="Times New Roman" w:cs="Times New Roman"/>
                <w:b/>
                <w:bCs/>
                <w:sz w:val="21"/>
                <w:u w:val="none" w:color="auto"/>
              </w:rPr>
              <w:t>表</w:t>
            </w:r>
            <w:r>
              <w:rPr>
                <w:rFonts w:hint="default" w:ascii="Times New Roman" w:hAnsi="Times New Roman" w:cs="Times New Roman"/>
                <w:b/>
                <w:bCs/>
                <w:sz w:val="21"/>
                <w:u w:val="none" w:color="auto"/>
                <w:lang w:val="en-US" w:eastAsia="zh-CN"/>
              </w:rPr>
              <w:t>4.2-</w:t>
            </w:r>
            <w:r>
              <w:rPr>
                <w:rFonts w:hint="eastAsia" w:cs="Times New Roman"/>
                <w:b/>
                <w:bCs/>
                <w:sz w:val="21"/>
                <w:u w:val="none" w:color="auto"/>
                <w:lang w:val="en-US" w:eastAsia="zh-CN"/>
              </w:rPr>
              <w:t>27</w:t>
            </w:r>
            <w:r>
              <w:rPr>
                <w:rFonts w:hint="default" w:ascii="Times New Roman" w:hAnsi="Times New Roman" w:cs="Times New Roman"/>
                <w:b/>
                <w:bCs/>
                <w:sz w:val="21"/>
                <w:u w:val="none" w:color="auto"/>
              </w:rPr>
              <w:t xml:space="preserve"> </w:t>
            </w:r>
            <w:r>
              <w:rPr>
                <w:rFonts w:hint="eastAsia" w:cs="Times New Roman"/>
                <w:b/>
                <w:bCs/>
                <w:sz w:val="21"/>
                <w:u w:val="none" w:color="auto"/>
                <w:lang w:val="en-US" w:eastAsia="zh-CN"/>
              </w:rPr>
              <w:t>土壤监测点位</w:t>
            </w:r>
          </w:p>
          <w:tbl>
            <w:tblPr>
              <w:tblStyle w:val="28"/>
              <w:tblW w:w="498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779"/>
              <w:gridCol w:w="1381"/>
              <w:gridCol w:w="2395"/>
              <w:gridCol w:w="2512"/>
              <w:gridCol w:w="125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15" w:hRule="atLeast"/>
                <w:jc w:val="center"/>
              </w:trPr>
              <w:tc>
                <w:tcPr>
                  <w:tcW w:w="468" w:type="pct"/>
                  <w:tcBorders>
                    <w:tl2br w:val="nil"/>
                    <w:tr2bl w:val="nil"/>
                  </w:tcBorders>
                  <w:vAlign w:val="center"/>
                </w:tcPr>
                <w:p>
                  <w:pPr>
                    <w:pStyle w:val="91"/>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编号</w:t>
                  </w:r>
                </w:p>
              </w:tc>
              <w:tc>
                <w:tcPr>
                  <w:tcW w:w="830" w:type="pct"/>
                  <w:tcBorders>
                    <w:tl2br w:val="nil"/>
                    <w:tr2bl w:val="nil"/>
                  </w:tcBorders>
                  <w:vAlign w:val="center"/>
                </w:tcPr>
                <w:p>
                  <w:pPr>
                    <w:pStyle w:val="91"/>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监测点名称</w:t>
                  </w:r>
                </w:p>
              </w:tc>
              <w:tc>
                <w:tcPr>
                  <w:tcW w:w="1439" w:type="pct"/>
                  <w:tcBorders>
                    <w:tl2br w:val="nil"/>
                    <w:tr2bl w:val="nil"/>
                  </w:tcBorders>
                  <w:vAlign w:val="center"/>
                </w:tcPr>
                <w:p>
                  <w:pPr>
                    <w:pStyle w:val="91"/>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方位，距离</w:t>
                  </w:r>
                </w:p>
              </w:tc>
              <w:tc>
                <w:tcPr>
                  <w:tcW w:w="1509" w:type="pct"/>
                  <w:tcBorders>
                    <w:tl2br w:val="nil"/>
                    <w:tr2bl w:val="nil"/>
                  </w:tcBorders>
                  <w:vAlign w:val="center"/>
                </w:tcPr>
                <w:p>
                  <w:pPr>
                    <w:pStyle w:val="91"/>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监测因子</w:t>
                  </w:r>
                </w:p>
              </w:tc>
              <w:tc>
                <w:tcPr>
                  <w:tcW w:w="751" w:type="pct"/>
                  <w:tcBorders>
                    <w:tl2br w:val="nil"/>
                    <w:tr2bl w:val="nil"/>
                  </w:tcBorders>
                  <w:vAlign w:val="center"/>
                </w:tcPr>
                <w:p>
                  <w:pPr>
                    <w:pStyle w:val="91"/>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监测频次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676" w:hRule="atLeast"/>
                <w:jc w:val="center"/>
              </w:trPr>
              <w:tc>
                <w:tcPr>
                  <w:tcW w:w="468" w:type="pct"/>
                  <w:tcBorders>
                    <w:tl2br w:val="nil"/>
                    <w:tr2bl w:val="nil"/>
                  </w:tcBorders>
                  <w:vAlign w:val="center"/>
                </w:tcPr>
                <w:p>
                  <w:pPr>
                    <w:pStyle w:val="9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T1</w:t>
                  </w:r>
                </w:p>
              </w:tc>
              <w:tc>
                <w:tcPr>
                  <w:tcW w:w="830" w:type="pct"/>
                  <w:tcBorders>
                    <w:tl2br w:val="nil"/>
                    <w:tr2bl w:val="nil"/>
                  </w:tcBorders>
                  <w:vAlign w:val="center"/>
                </w:tcPr>
                <w:p>
                  <w:pPr>
                    <w:pStyle w:val="91"/>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eastAsia="zh-CN"/>
                    </w:rPr>
                    <w:t>灌溉</w:t>
                  </w:r>
                  <w:r>
                    <w:rPr>
                      <w:rFonts w:hint="eastAsia" w:ascii="Times New Roman" w:hAnsi="Times New Roman" w:eastAsia="宋体" w:cs="Times New Roman"/>
                      <w:bCs/>
                      <w:sz w:val="21"/>
                      <w:szCs w:val="21"/>
                      <w:lang w:val="en-US" w:eastAsia="zh-CN"/>
                    </w:rPr>
                    <w:t>农田/旱地</w:t>
                  </w:r>
                </w:p>
              </w:tc>
              <w:tc>
                <w:tcPr>
                  <w:tcW w:w="1439" w:type="pct"/>
                  <w:tcBorders>
                    <w:tl2br w:val="nil"/>
                    <w:tr2bl w:val="nil"/>
                  </w:tcBorders>
                  <w:vAlign w:val="center"/>
                </w:tcPr>
                <w:p>
                  <w:pPr>
                    <w:pStyle w:val="91"/>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eastAsia="zh-CN"/>
                    </w:rPr>
                    <w:t>项目</w:t>
                  </w:r>
                  <w:r>
                    <w:rPr>
                      <w:rFonts w:hint="eastAsia" w:ascii="Times New Roman" w:hAnsi="Times New Roman" w:eastAsia="宋体" w:cs="Times New Roman"/>
                      <w:bCs/>
                      <w:sz w:val="21"/>
                      <w:szCs w:val="21"/>
                      <w:lang w:val="en-US" w:eastAsia="zh-CN"/>
                    </w:rPr>
                    <w:t>地</w:t>
                  </w:r>
                  <w:r>
                    <w:rPr>
                      <w:rFonts w:hint="default" w:ascii="Times New Roman" w:hAnsi="Times New Roman" w:eastAsia="宋体" w:cs="Times New Roman"/>
                      <w:bCs/>
                      <w:sz w:val="21"/>
                      <w:szCs w:val="21"/>
                      <w:lang w:eastAsia="zh-CN"/>
                    </w:rPr>
                    <w:t>南侧</w:t>
                  </w:r>
                  <w:r>
                    <w:rPr>
                      <w:rFonts w:hint="eastAsia" w:ascii="Times New Roman" w:hAnsi="Times New Roman" w:eastAsia="宋体" w:cs="Times New Roman"/>
                      <w:bCs/>
                      <w:sz w:val="21"/>
                      <w:szCs w:val="21"/>
                      <w:lang w:val="en-US" w:eastAsia="zh-CN"/>
                    </w:rPr>
                    <w:t>115</w:t>
                  </w:r>
                  <w:r>
                    <w:rPr>
                      <w:rFonts w:hint="default" w:ascii="Times New Roman" w:hAnsi="Times New Roman" w:eastAsia="宋体" w:cs="Times New Roman"/>
                      <w:bCs/>
                      <w:sz w:val="21"/>
                      <w:szCs w:val="21"/>
                      <w:lang w:val="en-US" w:eastAsia="zh-CN"/>
                    </w:rPr>
                    <w:t>m处的</w:t>
                  </w:r>
                  <w:r>
                    <w:rPr>
                      <w:rFonts w:hint="eastAsia" w:ascii="Times New Roman" w:hAnsi="Times New Roman" w:eastAsia="宋体" w:cs="Times New Roman"/>
                      <w:bCs/>
                      <w:sz w:val="21"/>
                      <w:szCs w:val="21"/>
                      <w:lang w:val="en-US" w:eastAsia="zh-CN"/>
                    </w:rPr>
                    <w:t>农田/旱地</w:t>
                  </w:r>
                </w:p>
              </w:tc>
              <w:tc>
                <w:tcPr>
                  <w:tcW w:w="1509" w:type="pct"/>
                  <w:tcBorders>
                    <w:tl2br w:val="nil"/>
                    <w:tr2bl w:val="nil"/>
                  </w:tcBorders>
                  <w:vAlign w:val="center"/>
                </w:tcPr>
                <w:p>
                  <w:pPr>
                    <w:pStyle w:val="9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pH、镉、汞、砷、铅、总铬、铜、镍、锌</w:t>
                  </w:r>
                </w:p>
              </w:tc>
              <w:tc>
                <w:tcPr>
                  <w:tcW w:w="751" w:type="pct"/>
                  <w:tcBorders>
                    <w:tl2br w:val="nil"/>
                    <w:tr2bl w:val="nil"/>
                  </w:tcBorders>
                  <w:vAlign w:val="center"/>
                </w:tcPr>
                <w:p>
                  <w:pPr>
                    <w:pStyle w:val="91"/>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1年/1次</w:t>
                  </w:r>
                </w:p>
              </w:tc>
            </w:tr>
          </w:tbl>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4.2.6生态环境影响分析</w:t>
            </w:r>
          </w:p>
          <w:p>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项目用地位于</w:t>
            </w:r>
            <w:r>
              <w:rPr>
                <w:rFonts w:hint="default" w:ascii="Times New Roman" w:hAnsi="Times New Roman" w:cs="Times New Roman"/>
                <w:color w:val="auto"/>
                <w:highlight w:val="none"/>
                <w:u w:val="none" w:color="auto"/>
                <w:lang w:val="en-US" w:eastAsia="zh-CN"/>
              </w:rPr>
              <w:t>泸溪县武溪镇红土溪村</w:t>
            </w:r>
            <w:r>
              <w:rPr>
                <w:rFonts w:hint="default" w:ascii="Times New Roman" w:hAnsi="Times New Roman" w:cs="Times New Roman"/>
                <w:color w:val="auto"/>
                <w:highlight w:val="none"/>
                <w:u w:val="none" w:color="auto"/>
              </w:rPr>
              <w:t>，占地总面积</w:t>
            </w:r>
            <w:r>
              <w:rPr>
                <w:rFonts w:hint="default" w:ascii="Times New Roman" w:hAnsi="Times New Roman" w:cs="Times New Roman"/>
                <w:color w:val="auto"/>
                <w:highlight w:val="none"/>
                <w:u w:val="none" w:color="auto"/>
                <w:lang w:val="en-US" w:eastAsia="zh-CN"/>
              </w:rPr>
              <w:t>845</w:t>
            </w:r>
            <w:r>
              <w:rPr>
                <w:rFonts w:hint="default" w:ascii="Times New Roman" w:hAnsi="Times New Roman" w:cs="Times New Roman"/>
                <w:color w:val="auto"/>
                <w:highlight w:val="none"/>
                <w:u w:val="none" w:color="auto"/>
              </w:rPr>
              <w:t>m</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。项目运营期建设导致原土壤耕作层丧失，植被遭到破坏，区域林草覆盖率降低，造成水土流失。</w:t>
            </w:r>
          </w:p>
          <w:p>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为减缓项目运营期对生态环境的影响，应采取以下处理措施：</w:t>
            </w:r>
          </w:p>
          <w:p>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加强厂区及其周围环境绿化，项目区域内裸地及时硬化、绿化。项目应通过增加绿化面积、减少开挖面积等措施进行生态环境保护。绿化以树、灌、草等相结合的形式，起到降低噪声、吸附尘粒、净化空气、增加美观的作用，同时也可防止水土流失，改善区域的生态环境。</w:t>
            </w:r>
          </w:p>
          <w:p>
            <w:pPr>
              <w:pStyle w:val="6"/>
              <w:bidi w:val="0"/>
              <w:rPr>
                <w:rFonts w:hint="default" w:ascii="Times New Roman" w:hAnsi="Times New Roman" w:cs="Times New Roman"/>
                <w:sz w:val="30"/>
                <w:szCs w:val="30"/>
                <w:u w:val="none" w:color="auto"/>
                <w:lang w:val="en-US"/>
              </w:rPr>
            </w:pPr>
            <w:r>
              <w:rPr>
                <w:rFonts w:hint="default" w:ascii="Times New Roman" w:hAnsi="Times New Roman" w:cs="Times New Roman"/>
                <w:sz w:val="30"/>
                <w:szCs w:val="30"/>
                <w:u w:val="none" w:color="auto"/>
                <w:lang w:val="en-US"/>
              </w:rPr>
              <w:t>4.</w:t>
            </w:r>
            <w:r>
              <w:rPr>
                <w:rFonts w:hint="default" w:ascii="Times New Roman" w:hAnsi="Times New Roman" w:cs="Times New Roman"/>
                <w:sz w:val="30"/>
                <w:szCs w:val="30"/>
                <w:u w:val="none" w:color="auto"/>
                <w:lang w:val="en-US" w:eastAsia="zh-CN"/>
              </w:rPr>
              <w:t>2.</w:t>
            </w:r>
            <w:r>
              <w:rPr>
                <w:rFonts w:hint="eastAsia" w:ascii="Times New Roman" w:hAnsi="Times New Roman" w:cs="Times New Roman"/>
                <w:sz w:val="30"/>
                <w:szCs w:val="30"/>
                <w:u w:val="none" w:color="auto"/>
                <w:lang w:val="en-US" w:eastAsia="zh-CN"/>
              </w:rPr>
              <w:t>7</w:t>
            </w:r>
            <w:r>
              <w:rPr>
                <w:rFonts w:hint="default" w:ascii="Times New Roman" w:hAnsi="Times New Roman" w:cs="Times New Roman"/>
                <w:sz w:val="30"/>
                <w:szCs w:val="30"/>
                <w:u w:val="none" w:color="auto"/>
                <w:lang w:val="en-US"/>
              </w:rPr>
              <w:t xml:space="preserve"> 排污口规范化管理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排污口规范化管理体制是实施污染物排放总量控制的基础性工作之一，也是总量控制不可缺少的一部分内容。此项工作可强化污染源的现场监督检查，促进排污单位加强管理和污染源治理，加大环境监理执法力度，实现主要污染物排放的科学化、定量化管理。同时进行排污口规范化管理。</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①排污口规范化要求的依据</w:t>
            </w:r>
          </w:p>
          <w:p>
            <w:pPr>
              <w:keepNext w:val="0"/>
              <w:keepLines w:val="0"/>
              <w:pageBreakBefore w:val="0"/>
              <w:widowControl w:val="0"/>
              <w:kinsoku w:val="0"/>
              <w:wordWrap w:val="0"/>
              <w:overflowPunct w:val="0"/>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（1）《关于开展排污口规范化整治工作的通知》国家环境保护总局环发[1999]24号。</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（2）《排污口规范化整治技术》国家环境保护总局环发[1999]24号附件二。</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②排污口规范化</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本项目排放口规范化主要内容包括废</w:t>
            </w:r>
            <w:r>
              <w:rPr>
                <w:rFonts w:hint="default" w:ascii="Times New Roman" w:hAnsi="Times New Roman" w:eastAsia="宋体" w:cs="Times New Roman"/>
                <w:i w:val="0"/>
                <w:iCs w:val="0"/>
                <w:color w:val="auto"/>
                <w:sz w:val="24"/>
                <w:szCs w:val="24"/>
                <w:u w:val="none" w:color="auto"/>
                <w:lang w:val="en-US" w:eastAsia="zh-CN"/>
              </w:rPr>
              <w:t>气</w:t>
            </w:r>
            <w:r>
              <w:rPr>
                <w:rFonts w:hint="default" w:ascii="Times New Roman" w:hAnsi="Times New Roman" w:eastAsia="宋体" w:cs="Times New Roman"/>
                <w:i w:val="0"/>
                <w:iCs w:val="0"/>
                <w:color w:val="auto"/>
                <w:sz w:val="24"/>
                <w:szCs w:val="24"/>
                <w:u w:val="none" w:color="auto"/>
                <w:lang w:val="en-US"/>
              </w:rPr>
              <w:t>排放口、固废储存的规范化设置。</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（1）废</w:t>
            </w:r>
            <w:r>
              <w:rPr>
                <w:rFonts w:hint="default" w:ascii="Times New Roman" w:hAnsi="Times New Roman" w:eastAsia="宋体" w:cs="Times New Roman"/>
                <w:i w:val="0"/>
                <w:iCs w:val="0"/>
                <w:color w:val="auto"/>
                <w:sz w:val="24"/>
                <w:szCs w:val="24"/>
                <w:u w:val="none" w:color="auto"/>
                <w:lang w:val="en-US" w:eastAsia="zh-CN"/>
              </w:rPr>
              <w:t>气</w:t>
            </w:r>
            <w:r>
              <w:rPr>
                <w:rFonts w:hint="default" w:ascii="Times New Roman" w:hAnsi="Times New Roman" w:eastAsia="宋体" w:cs="Times New Roman"/>
                <w:i w:val="0"/>
                <w:iCs w:val="0"/>
                <w:color w:val="auto"/>
                <w:sz w:val="24"/>
                <w:szCs w:val="24"/>
                <w:u w:val="none" w:color="auto"/>
                <w:lang w:val="en-US"/>
              </w:rPr>
              <w:t>排放口图像标志</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废</w:t>
            </w:r>
            <w:r>
              <w:rPr>
                <w:rFonts w:hint="default" w:ascii="Times New Roman" w:hAnsi="Times New Roman" w:eastAsia="宋体" w:cs="Times New Roman"/>
                <w:i w:val="0"/>
                <w:iCs w:val="0"/>
                <w:color w:val="auto"/>
                <w:sz w:val="24"/>
                <w:szCs w:val="24"/>
                <w:u w:val="none" w:color="auto"/>
                <w:lang w:val="en-US" w:eastAsia="zh-CN"/>
              </w:rPr>
              <w:t>气</w:t>
            </w:r>
            <w:r>
              <w:rPr>
                <w:rFonts w:hint="default" w:ascii="Times New Roman" w:hAnsi="Times New Roman" w:eastAsia="宋体" w:cs="Times New Roman"/>
                <w:i w:val="0"/>
                <w:iCs w:val="0"/>
                <w:color w:val="auto"/>
                <w:sz w:val="24"/>
                <w:szCs w:val="24"/>
                <w:u w:val="none" w:color="auto"/>
                <w:lang w:val="en-US"/>
              </w:rPr>
              <w:t>排放口图形符号分别为提示图形符号和警告图形符号两种，图形符号的设置按GB15562.1-1995《环境保护图形标志-排放口（源）》执行。</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（3）固体废物贮存（处置）场图形标志</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固体废物贮存（处置）场图形符号分别为提示</w:t>
            </w:r>
            <w:bookmarkStart w:id="138" w:name="_Toc4216_WPSOffice_Level2"/>
            <w:r>
              <w:rPr>
                <w:rFonts w:hint="default" w:ascii="Times New Roman" w:hAnsi="Times New Roman" w:eastAsia="宋体" w:cs="Times New Roman"/>
                <w:i w:val="0"/>
                <w:iCs w:val="0"/>
                <w:color w:val="auto"/>
                <w:sz w:val="24"/>
                <w:szCs w:val="24"/>
                <w:u w:val="none" w:color="auto"/>
                <w:lang w:val="en-US"/>
              </w:rPr>
              <w:t>图形符号和警告图形符</w:t>
            </w:r>
            <w:bookmarkEnd w:id="138"/>
            <w:r>
              <w:rPr>
                <w:rFonts w:hint="default" w:ascii="Times New Roman" w:hAnsi="Times New Roman" w:eastAsia="宋体" w:cs="Times New Roman"/>
                <w:i w:val="0"/>
                <w:iCs w:val="0"/>
                <w:color w:val="auto"/>
                <w:sz w:val="24"/>
                <w:szCs w:val="24"/>
                <w:u w:val="none" w:color="auto"/>
                <w:lang w:val="en-US"/>
              </w:rPr>
              <w:t>号两种，图形符号的设置按GB15562.2—1995《环境保护图形标志—固体废物贮存（处置）场》执行。</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③排污口规范化技术要求</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lang w:val="en-US"/>
              </w:rPr>
            </w:pPr>
            <w:r>
              <w:rPr>
                <w:rFonts w:hint="default" w:ascii="Times New Roman" w:hAnsi="Times New Roman" w:eastAsia="宋体" w:cs="Times New Roman"/>
                <w:i w:val="0"/>
                <w:iCs w:val="0"/>
                <w:color w:val="auto"/>
                <w:sz w:val="24"/>
                <w:szCs w:val="24"/>
                <w:u w:val="none" w:color="auto"/>
                <w:lang w:val="en-US"/>
              </w:rPr>
              <w:t>（1）排污口立标要求</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u w:val="none" w:color="auto"/>
                <w:lang w:val="en-US"/>
              </w:rPr>
            </w:pPr>
            <w:r>
              <w:rPr>
                <w:rFonts w:hint="default" w:ascii="Times New Roman" w:hAnsi="Times New Roman" w:eastAsia="宋体" w:cs="Times New Roman"/>
                <w:i w:val="0"/>
                <w:iCs w:val="0"/>
                <w:color w:val="auto"/>
                <w:sz w:val="24"/>
                <w:szCs w:val="24"/>
                <w:u w:val="none" w:color="auto"/>
                <w:lang w:val="en-US"/>
              </w:rPr>
              <w:t>按照国家标准《环境保护图形标志》(GB15562.1-1995)(GB15562.2-1995)的规定，设置与之相适应的环境保护图形标志牌。环境保护图形标志牌设置位置应距污染物排放口（源）或采样点较近且醒目处，并能长久保留，设置高度一般为：环境保护图形标志牌上缘距离地面2米。</w:t>
            </w:r>
          </w:p>
          <w:p>
            <w:pPr>
              <w:pStyle w:val="71"/>
              <w:widowControl w:val="0"/>
              <w:rPr>
                <w:rFonts w:hint="default" w:ascii="Times New Roman" w:hAnsi="Times New Roman" w:cs="Times New Roman"/>
                <w:i w:val="0"/>
                <w:iCs w:val="0"/>
                <w:color w:val="auto"/>
                <w:u w:val="none" w:color="auto"/>
              </w:rPr>
            </w:pPr>
            <w:r>
              <w:rPr>
                <w:rFonts w:hint="default" w:ascii="Times New Roman" w:hAnsi="Times New Roman" w:eastAsia="宋体" w:cs="Times New Roman"/>
                <w:i w:val="0"/>
                <w:iCs w:val="0"/>
                <w:color w:val="auto"/>
                <w:u w:val="none" w:color="auto"/>
              </w:rPr>
              <w:t>表</w:t>
            </w:r>
            <w:r>
              <w:rPr>
                <w:rFonts w:hint="default" w:ascii="Times New Roman" w:hAnsi="Times New Roman" w:eastAsia="宋体" w:cs="Times New Roman"/>
                <w:i w:val="0"/>
                <w:iCs w:val="0"/>
                <w:color w:val="auto"/>
                <w:u w:val="none" w:color="auto"/>
                <w:lang w:val="en-US" w:eastAsia="zh-CN"/>
              </w:rPr>
              <w:t>4.2-</w:t>
            </w:r>
            <w:r>
              <w:rPr>
                <w:rFonts w:hint="eastAsia" w:cs="Times New Roman"/>
                <w:i w:val="0"/>
                <w:iCs w:val="0"/>
                <w:color w:val="auto"/>
                <w:u w:val="none" w:color="auto"/>
                <w:lang w:val="en-US" w:eastAsia="zh-CN"/>
              </w:rPr>
              <w:t>28</w:t>
            </w:r>
            <w:r>
              <w:rPr>
                <w:rFonts w:hint="default" w:ascii="Times New Roman" w:hAnsi="Times New Roman" w:eastAsia="宋体" w:cs="Times New Roman"/>
                <w:i w:val="0"/>
                <w:iCs w:val="0"/>
                <w:color w:val="auto"/>
                <w:u w:val="none" w:color="auto"/>
                <w:lang w:val="en-US"/>
              </w:rPr>
              <w:t>：</w:t>
            </w:r>
            <w:r>
              <w:rPr>
                <w:rFonts w:hint="default" w:ascii="Times New Roman" w:hAnsi="Times New Roman" w:eastAsia="宋体" w:cs="Times New Roman"/>
                <w:i w:val="0"/>
                <w:iCs w:val="0"/>
                <w:color w:val="auto"/>
                <w:u w:val="none" w:color="auto"/>
              </w:rPr>
              <w:t>环境保护图形标志的形状及颜色表</w:t>
            </w:r>
          </w:p>
          <w:tbl>
            <w:tblPr>
              <w:tblStyle w:val="28"/>
              <w:tblW w:w="8306"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68"/>
              <w:gridCol w:w="1508"/>
              <w:gridCol w:w="2264"/>
              <w:gridCol w:w="2266"/>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2268" w:type="dxa"/>
                  <w:tcBorders>
                    <w:tl2br w:val="nil"/>
                    <w:tr2bl w:val="nil"/>
                  </w:tcBorders>
                  <w:noWrap w:val="0"/>
                  <w:tcMar>
                    <w:top w:w="0" w:type="dxa"/>
                    <w:left w:w="108" w:type="dxa"/>
                    <w:bottom w:w="0" w:type="dxa"/>
                    <w:right w:w="108" w:type="dxa"/>
                  </w:tcMar>
                  <w:vAlign w:val="center"/>
                </w:tcPr>
                <w:p>
                  <w:pPr>
                    <w:spacing w:line="320" w:lineRule="exact"/>
                    <w:ind w:firstLine="0" w:firstLineChars="0"/>
                    <w:jc w:val="center"/>
                    <w:rPr>
                      <w:rFonts w:hint="default" w:ascii="Times New Roman" w:hAnsi="Times New Roman" w:cs="Times New Roman"/>
                      <w:b/>
                      <w:bCs w:val="0"/>
                      <w:i w:val="0"/>
                      <w:iCs w:val="0"/>
                      <w:color w:val="auto"/>
                      <w:sz w:val="21"/>
                      <w:szCs w:val="21"/>
                      <w:u w:val="none" w:color="auto"/>
                    </w:rPr>
                  </w:pPr>
                  <w:r>
                    <w:rPr>
                      <w:rFonts w:hint="default" w:ascii="Times New Roman" w:hAnsi="Times New Roman" w:eastAsia="宋体" w:cs="Times New Roman"/>
                      <w:b/>
                      <w:bCs w:val="0"/>
                      <w:i w:val="0"/>
                      <w:iCs w:val="0"/>
                      <w:color w:val="auto"/>
                      <w:sz w:val="21"/>
                      <w:szCs w:val="21"/>
                      <w:u w:val="none" w:color="auto"/>
                    </w:rPr>
                    <w:t>标志名称</w:t>
                  </w:r>
                </w:p>
              </w:tc>
              <w:tc>
                <w:tcPr>
                  <w:tcW w:w="1508"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
                      <w:bCs w:val="0"/>
                      <w:i w:val="0"/>
                      <w:iCs w:val="0"/>
                      <w:color w:val="auto"/>
                      <w:sz w:val="21"/>
                      <w:szCs w:val="21"/>
                      <w:u w:val="none" w:color="auto"/>
                    </w:rPr>
                  </w:pPr>
                  <w:r>
                    <w:rPr>
                      <w:rFonts w:hint="default" w:ascii="Times New Roman" w:hAnsi="Times New Roman" w:eastAsia="宋体" w:cs="Times New Roman"/>
                      <w:b/>
                      <w:bCs w:val="0"/>
                      <w:i w:val="0"/>
                      <w:iCs w:val="0"/>
                      <w:color w:val="auto"/>
                      <w:sz w:val="21"/>
                      <w:szCs w:val="21"/>
                      <w:u w:val="none" w:color="auto"/>
                    </w:rPr>
                    <w:t>形状</w:t>
                  </w:r>
                </w:p>
              </w:tc>
              <w:tc>
                <w:tcPr>
                  <w:tcW w:w="2264"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
                      <w:bCs w:val="0"/>
                      <w:i w:val="0"/>
                      <w:iCs w:val="0"/>
                      <w:color w:val="auto"/>
                      <w:sz w:val="21"/>
                      <w:szCs w:val="21"/>
                      <w:u w:val="none" w:color="auto"/>
                    </w:rPr>
                  </w:pPr>
                  <w:r>
                    <w:rPr>
                      <w:rFonts w:hint="default" w:ascii="Times New Roman" w:hAnsi="Times New Roman" w:eastAsia="宋体" w:cs="Times New Roman"/>
                      <w:b/>
                      <w:bCs w:val="0"/>
                      <w:i w:val="0"/>
                      <w:iCs w:val="0"/>
                      <w:color w:val="auto"/>
                      <w:sz w:val="21"/>
                      <w:szCs w:val="21"/>
                      <w:u w:val="none" w:color="auto"/>
                    </w:rPr>
                    <w:t>背景颜色</w:t>
                  </w:r>
                </w:p>
              </w:tc>
              <w:tc>
                <w:tcPr>
                  <w:tcW w:w="2266" w:type="dxa"/>
                  <w:tcBorders>
                    <w:tl2br w:val="nil"/>
                    <w:tr2bl w:val="nil"/>
                  </w:tcBorders>
                  <w:noWrap w:val="0"/>
                  <w:tcMar>
                    <w:top w:w="0" w:type="dxa"/>
                    <w:left w:w="108" w:type="dxa"/>
                    <w:bottom w:w="0" w:type="dxa"/>
                    <w:right w:w="108" w:type="dxa"/>
                  </w:tcMar>
                  <w:vAlign w:val="center"/>
                </w:tcPr>
                <w:p>
                  <w:pPr>
                    <w:spacing w:line="320" w:lineRule="exact"/>
                    <w:ind w:firstLine="0" w:firstLineChars="0"/>
                    <w:jc w:val="center"/>
                    <w:rPr>
                      <w:rFonts w:hint="default" w:ascii="Times New Roman" w:hAnsi="Times New Roman" w:cs="Times New Roman"/>
                      <w:b/>
                      <w:bCs w:val="0"/>
                      <w:i w:val="0"/>
                      <w:iCs w:val="0"/>
                      <w:color w:val="auto"/>
                      <w:sz w:val="21"/>
                      <w:szCs w:val="21"/>
                      <w:u w:val="none" w:color="auto"/>
                    </w:rPr>
                  </w:pPr>
                  <w:r>
                    <w:rPr>
                      <w:rFonts w:hint="default" w:ascii="Times New Roman" w:hAnsi="Times New Roman" w:eastAsia="宋体" w:cs="Times New Roman"/>
                      <w:b/>
                      <w:bCs w:val="0"/>
                      <w:i w:val="0"/>
                      <w:iCs w:val="0"/>
                      <w:color w:val="auto"/>
                      <w:sz w:val="21"/>
                      <w:szCs w:val="21"/>
                      <w:u w:val="none" w:color="auto"/>
                    </w:rPr>
                    <w:t>图形颜色</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268" w:type="dxa"/>
                  <w:tcBorders>
                    <w:tl2br w:val="nil"/>
                    <w:tr2bl w:val="nil"/>
                  </w:tcBorders>
                  <w:noWrap w:val="0"/>
                  <w:tcMar>
                    <w:top w:w="0" w:type="dxa"/>
                    <w:left w:w="108" w:type="dxa"/>
                    <w:bottom w:w="0" w:type="dxa"/>
                    <w:right w:w="108" w:type="dxa"/>
                  </w:tcMar>
                  <w:vAlign w:val="center"/>
                </w:tcPr>
                <w:p>
                  <w:pPr>
                    <w:spacing w:line="320" w:lineRule="exact"/>
                    <w:ind w:firstLine="0" w:firstLineChars="0"/>
                    <w:jc w:val="center"/>
                    <w:rPr>
                      <w:rFonts w:hint="default" w:ascii="Times New Roman" w:hAnsi="Times New Roman" w:cs="Times New Roman"/>
                      <w:bCs/>
                      <w:i w:val="0"/>
                      <w:iCs w:val="0"/>
                      <w:color w:val="auto"/>
                      <w:sz w:val="21"/>
                      <w:szCs w:val="21"/>
                      <w:u w:val="none" w:color="auto"/>
                    </w:rPr>
                  </w:pPr>
                  <w:r>
                    <w:rPr>
                      <w:rFonts w:hint="default" w:ascii="Times New Roman" w:hAnsi="Times New Roman" w:eastAsia="宋体" w:cs="Times New Roman"/>
                      <w:bCs/>
                      <w:i w:val="0"/>
                      <w:iCs w:val="0"/>
                      <w:color w:val="auto"/>
                      <w:sz w:val="21"/>
                      <w:szCs w:val="21"/>
                      <w:u w:val="none" w:color="auto"/>
                    </w:rPr>
                    <w:t>警告标志</w:t>
                  </w:r>
                </w:p>
              </w:tc>
              <w:tc>
                <w:tcPr>
                  <w:tcW w:w="1508"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Cs/>
                      <w:i w:val="0"/>
                      <w:iCs w:val="0"/>
                      <w:color w:val="auto"/>
                      <w:sz w:val="21"/>
                      <w:szCs w:val="21"/>
                      <w:u w:val="none" w:color="auto"/>
                    </w:rPr>
                  </w:pPr>
                  <w:r>
                    <w:rPr>
                      <w:rFonts w:hint="default" w:ascii="Times New Roman" w:hAnsi="Times New Roman" w:eastAsia="宋体" w:cs="Times New Roman"/>
                      <w:bCs/>
                      <w:i w:val="0"/>
                      <w:iCs w:val="0"/>
                      <w:color w:val="auto"/>
                      <w:sz w:val="21"/>
                      <w:szCs w:val="21"/>
                      <w:u w:val="none" w:color="auto"/>
                    </w:rPr>
                    <w:t>三角形边框</w:t>
                  </w:r>
                </w:p>
              </w:tc>
              <w:tc>
                <w:tcPr>
                  <w:tcW w:w="2264"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Cs/>
                      <w:i w:val="0"/>
                      <w:iCs w:val="0"/>
                      <w:color w:val="auto"/>
                      <w:sz w:val="21"/>
                      <w:szCs w:val="21"/>
                      <w:u w:val="none" w:color="auto"/>
                    </w:rPr>
                  </w:pPr>
                  <w:r>
                    <w:rPr>
                      <w:rFonts w:hint="default" w:ascii="Times New Roman" w:hAnsi="Times New Roman" w:eastAsia="宋体" w:cs="Times New Roman"/>
                      <w:bCs/>
                      <w:i w:val="0"/>
                      <w:iCs w:val="0"/>
                      <w:color w:val="auto"/>
                      <w:sz w:val="21"/>
                      <w:szCs w:val="21"/>
                      <w:u w:val="none" w:color="auto"/>
                    </w:rPr>
                    <w:t>黄色</w:t>
                  </w:r>
                </w:p>
              </w:tc>
              <w:tc>
                <w:tcPr>
                  <w:tcW w:w="2266" w:type="dxa"/>
                  <w:tcBorders>
                    <w:tl2br w:val="nil"/>
                    <w:tr2bl w:val="nil"/>
                  </w:tcBorders>
                  <w:noWrap w:val="0"/>
                  <w:tcMar>
                    <w:top w:w="0" w:type="dxa"/>
                    <w:left w:w="108" w:type="dxa"/>
                    <w:bottom w:w="0" w:type="dxa"/>
                    <w:right w:w="108" w:type="dxa"/>
                  </w:tcMar>
                  <w:vAlign w:val="center"/>
                </w:tcPr>
                <w:p>
                  <w:pPr>
                    <w:spacing w:line="320" w:lineRule="exact"/>
                    <w:ind w:firstLine="0" w:firstLineChars="0"/>
                    <w:jc w:val="center"/>
                    <w:rPr>
                      <w:rFonts w:hint="default" w:ascii="Times New Roman" w:hAnsi="Times New Roman" w:cs="Times New Roman"/>
                      <w:bCs/>
                      <w:i w:val="0"/>
                      <w:iCs w:val="0"/>
                      <w:color w:val="auto"/>
                      <w:sz w:val="21"/>
                      <w:szCs w:val="21"/>
                      <w:u w:val="none" w:color="auto"/>
                    </w:rPr>
                  </w:pPr>
                  <w:r>
                    <w:rPr>
                      <w:rFonts w:hint="default" w:ascii="Times New Roman" w:hAnsi="Times New Roman" w:eastAsia="宋体" w:cs="Times New Roman"/>
                      <w:bCs/>
                      <w:i w:val="0"/>
                      <w:iCs w:val="0"/>
                      <w:color w:val="auto"/>
                      <w:sz w:val="21"/>
                      <w:szCs w:val="21"/>
                      <w:u w:val="none" w:color="auto"/>
                    </w:rPr>
                    <w:t>黑色</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2268" w:type="dxa"/>
                  <w:tcBorders>
                    <w:tl2br w:val="nil"/>
                    <w:tr2bl w:val="nil"/>
                  </w:tcBorders>
                  <w:noWrap w:val="0"/>
                  <w:tcMar>
                    <w:top w:w="0" w:type="dxa"/>
                    <w:left w:w="108" w:type="dxa"/>
                    <w:bottom w:w="0" w:type="dxa"/>
                    <w:right w:w="108" w:type="dxa"/>
                  </w:tcMar>
                  <w:vAlign w:val="center"/>
                </w:tcPr>
                <w:p>
                  <w:pPr>
                    <w:spacing w:line="320" w:lineRule="exact"/>
                    <w:ind w:firstLine="0" w:firstLineChars="0"/>
                    <w:jc w:val="center"/>
                    <w:rPr>
                      <w:rFonts w:hint="default" w:ascii="Times New Roman" w:hAnsi="Times New Roman" w:cs="Times New Roman"/>
                      <w:bCs/>
                      <w:i w:val="0"/>
                      <w:iCs w:val="0"/>
                      <w:color w:val="auto"/>
                      <w:sz w:val="21"/>
                      <w:szCs w:val="21"/>
                      <w:u w:val="none" w:color="auto"/>
                    </w:rPr>
                  </w:pPr>
                  <w:r>
                    <w:rPr>
                      <w:rFonts w:hint="default" w:ascii="Times New Roman" w:hAnsi="Times New Roman" w:eastAsia="宋体" w:cs="Times New Roman"/>
                      <w:bCs/>
                      <w:i w:val="0"/>
                      <w:iCs w:val="0"/>
                      <w:color w:val="auto"/>
                      <w:sz w:val="21"/>
                      <w:szCs w:val="21"/>
                      <w:u w:val="none" w:color="auto"/>
                    </w:rPr>
                    <w:t>提示标志</w:t>
                  </w:r>
                </w:p>
              </w:tc>
              <w:tc>
                <w:tcPr>
                  <w:tcW w:w="1508"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Cs/>
                      <w:i w:val="0"/>
                      <w:iCs w:val="0"/>
                      <w:color w:val="auto"/>
                      <w:sz w:val="21"/>
                      <w:szCs w:val="21"/>
                      <w:u w:val="none" w:color="auto"/>
                    </w:rPr>
                  </w:pPr>
                  <w:r>
                    <w:rPr>
                      <w:rFonts w:hint="default" w:ascii="Times New Roman" w:hAnsi="Times New Roman" w:eastAsia="宋体" w:cs="Times New Roman"/>
                      <w:bCs/>
                      <w:i w:val="0"/>
                      <w:iCs w:val="0"/>
                      <w:color w:val="auto"/>
                      <w:sz w:val="21"/>
                      <w:szCs w:val="21"/>
                      <w:u w:val="none" w:color="auto"/>
                    </w:rPr>
                    <w:t>正方形边框</w:t>
                  </w:r>
                </w:p>
              </w:tc>
              <w:tc>
                <w:tcPr>
                  <w:tcW w:w="2264"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bCs/>
                      <w:i w:val="0"/>
                      <w:iCs w:val="0"/>
                      <w:color w:val="auto"/>
                      <w:sz w:val="21"/>
                      <w:szCs w:val="21"/>
                      <w:u w:val="none" w:color="auto"/>
                    </w:rPr>
                  </w:pPr>
                  <w:r>
                    <w:rPr>
                      <w:rFonts w:hint="default" w:ascii="Times New Roman" w:hAnsi="Times New Roman" w:eastAsia="宋体" w:cs="Times New Roman"/>
                      <w:bCs/>
                      <w:i w:val="0"/>
                      <w:iCs w:val="0"/>
                      <w:color w:val="auto"/>
                      <w:sz w:val="21"/>
                      <w:szCs w:val="21"/>
                      <w:u w:val="none" w:color="auto"/>
                    </w:rPr>
                    <w:t>绿色</w:t>
                  </w:r>
                </w:p>
              </w:tc>
              <w:tc>
                <w:tcPr>
                  <w:tcW w:w="2266" w:type="dxa"/>
                  <w:tcBorders>
                    <w:tl2br w:val="nil"/>
                    <w:tr2bl w:val="nil"/>
                  </w:tcBorders>
                  <w:noWrap w:val="0"/>
                  <w:tcMar>
                    <w:top w:w="0" w:type="dxa"/>
                    <w:left w:w="108" w:type="dxa"/>
                    <w:bottom w:w="0" w:type="dxa"/>
                    <w:right w:w="108" w:type="dxa"/>
                  </w:tcMar>
                  <w:vAlign w:val="center"/>
                </w:tcPr>
                <w:p>
                  <w:pPr>
                    <w:spacing w:line="320" w:lineRule="exact"/>
                    <w:ind w:firstLine="0" w:firstLineChars="0"/>
                    <w:jc w:val="center"/>
                    <w:rPr>
                      <w:rFonts w:hint="default" w:ascii="Times New Roman" w:hAnsi="Times New Roman" w:cs="Times New Roman"/>
                      <w:bCs/>
                      <w:i w:val="0"/>
                      <w:iCs w:val="0"/>
                      <w:color w:val="auto"/>
                      <w:sz w:val="21"/>
                      <w:szCs w:val="21"/>
                      <w:u w:val="none" w:color="auto"/>
                    </w:rPr>
                  </w:pPr>
                  <w:r>
                    <w:rPr>
                      <w:rFonts w:hint="default" w:ascii="Times New Roman" w:hAnsi="Times New Roman" w:eastAsia="宋体" w:cs="Times New Roman"/>
                      <w:bCs/>
                      <w:i w:val="0"/>
                      <w:iCs w:val="0"/>
                      <w:color w:val="auto"/>
                      <w:sz w:val="21"/>
                      <w:szCs w:val="21"/>
                      <w:u w:val="none" w:color="auto"/>
                    </w:rPr>
                    <w:t>白色</w:t>
                  </w:r>
                </w:p>
              </w:tc>
            </w:tr>
          </w:tbl>
          <w:p>
            <w:pPr>
              <w:pStyle w:val="71"/>
              <w:widowControl w:val="0"/>
              <w:rPr>
                <w:rFonts w:hint="default" w:ascii="Times New Roman" w:hAnsi="Times New Roman" w:eastAsia="宋体" w:cs="Times New Roman"/>
                <w:i w:val="0"/>
                <w:iCs w:val="0"/>
                <w:color w:val="auto"/>
                <w:u w:val="none" w:color="auto"/>
              </w:rPr>
            </w:pPr>
            <w:r>
              <w:rPr>
                <w:rFonts w:hint="default" w:ascii="Times New Roman" w:hAnsi="Times New Roman" w:eastAsia="宋体" w:cs="Times New Roman"/>
                <w:i w:val="0"/>
                <w:iCs w:val="0"/>
                <w:color w:val="auto"/>
                <w:u w:val="none" w:color="auto"/>
              </w:rPr>
              <w:t>表</w:t>
            </w:r>
            <w:r>
              <w:rPr>
                <w:rFonts w:hint="default" w:ascii="Times New Roman" w:hAnsi="Times New Roman" w:eastAsia="宋体" w:cs="Times New Roman"/>
                <w:i w:val="0"/>
                <w:iCs w:val="0"/>
                <w:color w:val="auto"/>
                <w:u w:val="none" w:color="auto"/>
                <w:lang w:val="en-US" w:eastAsia="zh-CN"/>
              </w:rPr>
              <w:t>4.2-</w:t>
            </w:r>
            <w:r>
              <w:rPr>
                <w:rFonts w:hint="eastAsia" w:cs="Times New Roman"/>
                <w:i w:val="0"/>
                <w:iCs w:val="0"/>
                <w:color w:val="auto"/>
                <w:u w:val="none" w:color="auto"/>
                <w:lang w:val="en-US" w:eastAsia="zh-CN"/>
              </w:rPr>
              <w:t>29</w:t>
            </w:r>
            <w:r>
              <w:rPr>
                <w:rFonts w:hint="default" w:ascii="Times New Roman" w:hAnsi="Times New Roman" w:eastAsia="宋体" w:cs="Times New Roman"/>
                <w:i w:val="0"/>
                <w:iCs w:val="0"/>
                <w:color w:val="auto"/>
                <w:u w:val="none" w:color="auto"/>
                <w:lang w:val="en-US"/>
              </w:rPr>
              <w:t>：</w:t>
            </w:r>
            <w:r>
              <w:rPr>
                <w:rFonts w:hint="default" w:ascii="Times New Roman" w:hAnsi="Times New Roman" w:eastAsia="宋体" w:cs="Times New Roman"/>
                <w:i w:val="0"/>
                <w:iCs w:val="0"/>
                <w:color w:val="auto"/>
                <w:u w:val="none" w:color="auto"/>
              </w:rPr>
              <w:t>排污口图形标志一览表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956"/>
              <w:gridCol w:w="2136"/>
              <w:gridCol w:w="1137"/>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67" w:type="dxa"/>
                  <w:vAlign w:val="center"/>
                </w:tcPr>
                <w:p>
                  <w:pPr>
                    <w:pStyle w:val="39"/>
                    <w:rPr>
                      <w:rFonts w:hint="eastAsia" w:eastAsia="宋体"/>
                      <w:b/>
                      <w:bCs/>
                      <w:lang w:val="en-US" w:eastAsia="zh-CN"/>
                    </w:rPr>
                  </w:pPr>
                  <w:r>
                    <w:rPr>
                      <w:rFonts w:hint="eastAsia"/>
                      <w:b/>
                      <w:bCs/>
                      <w:lang w:val="en-US" w:eastAsia="zh-CN"/>
                    </w:rPr>
                    <w:t>序号</w:t>
                  </w:r>
                </w:p>
              </w:tc>
              <w:tc>
                <w:tcPr>
                  <w:tcW w:w="1925" w:type="dxa"/>
                  <w:vAlign w:val="center"/>
                </w:tcPr>
                <w:p>
                  <w:pPr>
                    <w:pStyle w:val="39"/>
                    <w:rPr>
                      <w:rFonts w:hint="default" w:eastAsia="宋体"/>
                      <w:b/>
                      <w:bCs/>
                      <w:lang w:val="en-US" w:eastAsia="zh-CN"/>
                    </w:rPr>
                  </w:pPr>
                  <w:r>
                    <w:rPr>
                      <w:rFonts w:hint="eastAsia"/>
                      <w:b/>
                      <w:bCs/>
                      <w:lang w:val="en-US" w:eastAsia="zh-CN"/>
                    </w:rPr>
                    <w:t>提示图形符号</w:t>
                  </w:r>
                </w:p>
              </w:tc>
              <w:tc>
                <w:tcPr>
                  <w:tcW w:w="2006" w:type="dxa"/>
                  <w:vAlign w:val="center"/>
                </w:tcPr>
                <w:p>
                  <w:pPr>
                    <w:pStyle w:val="39"/>
                    <w:rPr>
                      <w:rFonts w:hint="default" w:eastAsia="宋体"/>
                      <w:b/>
                      <w:bCs/>
                      <w:lang w:val="en-US" w:eastAsia="zh-CN"/>
                    </w:rPr>
                  </w:pPr>
                  <w:r>
                    <w:rPr>
                      <w:rFonts w:hint="eastAsia"/>
                      <w:b/>
                      <w:bCs/>
                      <w:lang w:val="en-US" w:eastAsia="zh-CN"/>
                    </w:rPr>
                    <w:t>警告图形符号</w:t>
                  </w:r>
                </w:p>
              </w:tc>
              <w:tc>
                <w:tcPr>
                  <w:tcW w:w="1166" w:type="dxa"/>
                  <w:vAlign w:val="center"/>
                </w:tcPr>
                <w:p>
                  <w:pPr>
                    <w:pStyle w:val="39"/>
                    <w:rPr>
                      <w:rFonts w:hint="eastAsia" w:eastAsia="宋体"/>
                      <w:b/>
                      <w:bCs/>
                      <w:lang w:val="en-US" w:eastAsia="zh-CN"/>
                    </w:rPr>
                  </w:pPr>
                  <w:r>
                    <w:rPr>
                      <w:rFonts w:hint="eastAsia"/>
                      <w:b/>
                      <w:bCs/>
                      <w:lang w:val="en-US" w:eastAsia="zh-CN"/>
                    </w:rPr>
                    <w:t>名称</w:t>
                  </w:r>
                </w:p>
              </w:tc>
              <w:tc>
                <w:tcPr>
                  <w:tcW w:w="2535" w:type="dxa"/>
                  <w:vAlign w:val="center"/>
                </w:tcPr>
                <w:p>
                  <w:pPr>
                    <w:pStyle w:val="39"/>
                    <w:rPr>
                      <w:rFonts w:hint="eastAsia" w:eastAsia="宋体"/>
                      <w:b/>
                      <w:bCs/>
                      <w:lang w:val="en-US" w:eastAsia="zh-CN"/>
                    </w:rPr>
                  </w:pPr>
                  <w:r>
                    <w:rPr>
                      <w:rFonts w:hint="eastAsia"/>
                      <w:b/>
                      <w:bCs/>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667" w:type="dxa"/>
                  <w:vAlign w:val="center"/>
                </w:tcPr>
                <w:p>
                  <w:pPr>
                    <w:pStyle w:val="39"/>
                    <w:rPr>
                      <w:rFonts w:hint="eastAsia" w:eastAsia="宋体"/>
                      <w:lang w:val="en-US" w:eastAsia="zh-CN"/>
                    </w:rPr>
                  </w:pPr>
                  <w:r>
                    <w:rPr>
                      <w:rFonts w:hint="eastAsia"/>
                      <w:lang w:val="en-US" w:eastAsia="zh-CN"/>
                    </w:rPr>
                    <w:t>1</w:t>
                  </w:r>
                </w:p>
              </w:tc>
              <w:tc>
                <w:tcPr>
                  <w:tcW w:w="1925" w:type="dxa"/>
                  <w:vAlign w:val="center"/>
                </w:tcPr>
                <w:p>
                  <w:pPr>
                    <w:pStyle w:val="39"/>
                    <w:rPr>
                      <w:rFonts w:hint="default"/>
                    </w:rPr>
                  </w:pPr>
                  <w:r>
                    <w:drawing>
                      <wp:inline distT="0" distB="0" distL="114300" distR="114300">
                        <wp:extent cx="1099820" cy="1090930"/>
                        <wp:effectExtent l="0" t="0" r="5080"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1099820" cy="1090930"/>
                                </a:xfrm>
                                <a:prstGeom prst="rect">
                                  <a:avLst/>
                                </a:prstGeom>
                                <a:noFill/>
                                <a:ln>
                                  <a:noFill/>
                                </a:ln>
                              </pic:spPr>
                            </pic:pic>
                          </a:graphicData>
                        </a:graphic>
                      </wp:inline>
                    </w:drawing>
                  </w:r>
                </w:p>
              </w:tc>
              <w:tc>
                <w:tcPr>
                  <w:tcW w:w="2006" w:type="dxa"/>
                  <w:vAlign w:val="center"/>
                </w:tcPr>
                <w:p>
                  <w:pPr>
                    <w:pStyle w:val="39"/>
                    <w:rPr>
                      <w:rFonts w:hint="default"/>
                    </w:rPr>
                  </w:pPr>
                  <w:r>
                    <w:drawing>
                      <wp:inline distT="0" distB="0" distL="114300" distR="114300">
                        <wp:extent cx="1202055" cy="1023620"/>
                        <wp:effectExtent l="0" t="0" r="17145"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a:stretch>
                                  <a:fillRect/>
                                </a:stretch>
                              </pic:blipFill>
                              <pic:spPr>
                                <a:xfrm>
                                  <a:off x="0" y="0"/>
                                  <a:ext cx="1202055" cy="1023620"/>
                                </a:xfrm>
                                <a:prstGeom prst="rect">
                                  <a:avLst/>
                                </a:prstGeom>
                                <a:noFill/>
                                <a:ln>
                                  <a:noFill/>
                                </a:ln>
                              </pic:spPr>
                            </pic:pic>
                          </a:graphicData>
                        </a:graphic>
                      </wp:inline>
                    </w:drawing>
                  </w:r>
                </w:p>
              </w:tc>
              <w:tc>
                <w:tcPr>
                  <w:tcW w:w="1166" w:type="dxa"/>
                  <w:vAlign w:val="center"/>
                </w:tcPr>
                <w:p>
                  <w:pPr>
                    <w:pStyle w:val="39"/>
                    <w:rPr>
                      <w:rFonts w:hint="eastAsia" w:eastAsia="宋体"/>
                      <w:lang w:val="en-US" w:eastAsia="zh-CN"/>
                    </w:rPr>
                  </w:pPr>
                  <w:r>
                    <w:rPr>
                      <w:rFonts w:hint="eastAsia"/>
                      <w:lang w:val="en-US" w:eastAsia="zh-CN"/>
                    </w:rPr>
                    <w:t>废气排放口</w:t>
                  </w:r>
                </w:p>
              </w:tc>
              <w:tc>
                <w:tcPr>
                  <w:tcW w:w="2535" w:type="dxa"/>
                  <w:vAlign w:val="center"/>
                </w:tcPr>
                <w:p>
                  <w:pPr>
                    <w:pStyle w:val="39"/>
                    <w:rPr>
                      <w:rFonts w:hint="default" w:eastAsia="宋体"/>
                      <w:lang w:val="en-US" w:eastAsia="zh-CN"/>
                    </w:rPr>
                  </w:pPr>
                  <w:r>
                    <w:rPr>
                      <w:rFonts w:hint="eastAsia"/>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667" w:type="dxa"/>
                  <w:vAlign w:val="center"/>
                </w:tcPr>
                <w:p>
                  <w:pPr>
                    <w:pStyle w:val="39"/>
                    <w:rPr>
                      <w:rFonts w:hint="eastAsia" w:eastAsia="宋体"/>
                      <w:lang w:val="en-US" w:eastAsia="zh-CN"/>
                    </w:rPr>
                  </w:pPr>
                  <w:r>
                    <w:rPr>
                      <w:rFonts w:hint="eastAsia"/>
                      <w:lang w:val="en-US" w:eastAsia="zh-CN"/>
                    </w:rPr>
                    <w:t>2</w:t>
                  </w:r>
                </w:p>
              </w:tc>
              <w:tc>
                <w:tcPr>
                  <w:tcW w:w="1925" w:type="dxa"/>
                  <w:vAlign w:val="center"/>
                </w:tcPr>
                <w:p>
                  <w:pPr>
                    <w:pStyle w:val="39"/>
                    <w:rPr>
                      <w:rFonts w:hint="default"/>
                    </w:rPr>
                  </w:pPr>
                  <w:r>
                    <w:drawing>
                      <wp:inline distT="0" distB="0" distL="114300" distR="114300">
                        <wp:extent cx="1092835" cy="998855"/>
                        <wp:effectExtent l="0" t="0" r="12065"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4"/>
                                <a:stretch>
                                  <a:fillRect/>
                                </a:stretch>
                              </pic:blipFill>
                              <pic:spPr>
                                <a:xfrm>
                                  <a:off x="0" y="0"/>
                                  <a:ext cx="1092835" cy="998855"/>
                                </a:xfrm>
                                <a:prstGeom prst="rect">
                                  <a:avLst/>
                                </a:prstGeom>
                                <a:noFill/>
                                <a:ln>
                                  <a:noFill/>
                                </a:ln>
                              </pic:spPr>
                            </pic:pic>
                          </a:graphicData>
                        </a:graphic>
                      </wp:inline>
                    </w:drawing>
                  </w:r>
                </w:p>
              </w:tc>
              <w:tc>
                <w:tcPr>
                  <w:tcW w:w="2006" w:type="dxa"/>
                  <w:vAlign w:val="center"/>
                </w:tcPr>
                <w:p>
                  <w:pPr>
                    <w:pStyle w:val="39"/>
                    <w:rPr>
                      <w:rFonts w:hint="default"/>
                    </w:rPr>
                  </w:pPr>
                  <w:r>
                    <w:drawing>
                      <wp:inline distT="0" distB="0" distL="114300" distR="114300">
                        <wp:extent cx="1138555" cy="1001395"/>
                        <wp:effectExtent l="0" t="0" r="4445" b="825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5"/>
                                <a:stretch>
                                  <a:fillRect/>
                                </a:stretch>
                              </pic:blipFill>
                              <pic:spPr>
                                <a:xfrm>
                                  <a:off x="0" y="0"/>
                                  <a:ext cx="1138555" cy="1001395"/>
                                </a:xfrm>
                                <a:prstGeom prst="rect">
                                  <a:avLst/>
                                </a:prstGeom>
                                <a:noFill/>
                                <a:ln>
                                  <a:noFill/>
                                </a:ln>
                              </pic:spPr>
                            </pic:pic>
                          </a:graphicData>
                        </a:graphic>
                      </wp:inline>
                    </w:drawing>
                  </w:r>
                </w:p>
              </w:tc>
              <w:tc>
                <w:tcPr>
                  <w:tcW w:w="1166" w:type="dxa"/>
                  <w:vAlign w:val="center"/>
                </w:tcPr>
                <w:p>
                  <w:pPr>
                    <w:pStyle w:val="39"/>
                    <w:rPr>
                      <w:rFonts w:hint="default" w:eastAsia="宋体"/>
                      <w:lang w:val="en-US" w:eastAsia="zh-CN"/>
                    </w:rPr>
                  </w:pPr>
                  <w:r>
                    <w:rPr>
                      <w:rFonts w:hint="eastAsia"/>
                      <w:lang w:val="en-US" w:eastAsia="zh-CN"/>
                    </w:rPr>
                    <w:t>一般固体废物</w:t>
                  </w:r>
                </w:p>
              </w:tc>
              <w:tc>
                <w:tcPr>
                  <w:tcW w:w="2535" w:type="dxa"/>
                  <w:vAlign w:val="center"/>
                </w:tcPr>
                <w:p>
                  <w:pPr>
                    <w:pStyle w:val="39"/>
                    <w:rPr>
                      <w:rFonts w:hint="default" w:eastAsia="宋体"/>
                      <w:lang w:val="en-US" w:eastAsia="zh-CN"/>
                    </w:rPr>
                  </w:pPr>
                  <w:r>
                    <w:rPr>
                      <w:rFonts w:hint="eastAsia"/>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667" w:type="dxa"/>
                  <w:vAlign w:val="center"/>
                </w:tcPr>
                <w:p>
                  <w:pPr>
                    <w:pStyle w:val="39"/>
                    <w:rPr>
                      <w:rFonts w:hint="eastAsia" w:eastAsia="宋体"/>
                      <w:lang w:val="en-US" w:eastAsia="zh-CN"/>
                    </w:rPr>
                  </w:pPr>
                  <w:r>
                    <w:rPr>
                      <w:rFonts w:hint="eastAsia"/>
                      <w:lang w:val="en-US" w:eastAsia="zh-CN"/>
                    </w:rPr>
                    <w:t>3</w:t>
                  </w:r>
                </w:p>
              </w:tc>
              <w:tc>
                <w:tcPr>
                  <w:tcW w:w="1925" w:type="dxa"/>
                  <w:vAlign w:val="center"/>
                </w:tcPr>
                <w:p>
                  <w:pPr>
                    <w:pStyle w:val="39"/>
                    <w:rPr>
                      <w:rFonts w:hint="default"/>
                    </w:rPr>
                  </w:pPr>
                  <w:r>
                    <w:drawing>
                      <wp:inline distT="0" distB="0" distL="114300" distR="114300">
                        <wp:extent cx="1089660" cy="1049655"/>
                        <wp:effectExtent l="0" t="0" r="15240"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6"/>
                                <a:stretch>
                                  <a:fillRect/>
                                </a:stretch>
                              </pic:blipFill>
                              <pic:spPr>
                                <a:xfrm>
                                  <a:off x="0" y="0"/>
                                  <a:ext cx="1089660" cy="1049655"/>
                                </a:xfrm>
                                <a:prstGeom prst="rect">
                                  <a:avLst/>
                                </a:prstGeom>
                                <a:noFill/>
                                <a:ln>
                                  <a:noFill/>
                                </a:ln>
                              </pic:spPr>
                            </pic:pic>
                          </a:graphicData>
                        </a:graphic>
                      </wp:inline>
                    </w:drawing>
                  </w:r>
                </w:p>
              </w:tc>
              <w:tc>
                <w:tcPr>
                  <w:tcW w:w="2006" w:type="dxa"/>
                  <w:vAlign w:val="center"/>
                </w:tcPr>
                <w:p>
                  <w:pPr>
                    <w:pStyle w:val="39"/>
                    <w:rPr>
                      <w:rFonts w:hint="default"/>
                    </w:rPr>
                  </w:pPr>
                  <w:r>
                    <w:drawing>
                      <wp:inline distT="0" distB="0" distL="114300" distR="114300">
                        <wp:extent cx="1143000" cy="1054100"/>
                        <wp:effectExtent l="0" t="0" r="0" b="1270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7"/>
                                <a:stretch>
                                  <a:fillRect/>
                                </a:stretch>
                              </pic:blipFill>
                              <pic:spPr>
                                <a:xfrm>
                                  <a:off x="0" y="0"/>
                                  <a:ext cx="1143000" cy="1054100"/>
                                </a:xfrm>
                                <a:prstGeom prst="rect">
                                  <a:avLst/>
                                </a:prstGeom>
                                <a:noFill/>
                                <a:ln>
                                  <a:noFill/>
                                </a:ln>
                              </pic:spPr>
                            </pic:pic>
                          </a:graphicData>
                        </a:graphic>
                      </wp:inline>
                    </w:drawing>
                  </w:r>
                </w:p>
              </w:tc>
              <w:tc>
                <w:tcPr>
                  <w:tcW w:w="1166" w:type="dxa"/>
                  <w:vAlign w:val="center"/>
                </w:tcPr>
                <w:p>
                  <w:pPr>
                    <w:pStyle w:val="39"/>
                    <w:rPr>
                      <w:rFonts w:hint="default" w:eastAsia="宋体"/>
                      <w:lang w:val="en-US" w:eastAsia="zh-CN"/>
                    </w:rPr>
                  </w:pPr>
                  <w:r>
                    <w:rPr>
                      <w:rFonts w:hint="eastAsia"/>
                      <w:lang w:val="en-US" w:eastAsia="zh-CN"/>
                    </w:rPr>
                    <w:t>噪声排放源</w:t>
                  </w:r>
                </w:p>
              </w:tc>
              <w:tc>
                <w:tcPr>
                  <w:tcW w:w="2535" w:type="dxa"/>
                  <w:vAlign w:val="center"/>
                </w:tcPr>
                <w:p>
                  <w:pPr>
                    <w:pStyle w:val="39"/>
                    <w:rPr>
                      <w:rFonts w:hint="default"/>
                    </w:rPr>
                  </w:pPr>
                  <w:r>
                    <w:rPr>
                      <w:rFonts w:hint="eastAsia"/>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667" w:type="dxa"/>
                  <w:vAlign w:val="center"/>
                </w:tcPr>
                <w:p>
                  <w:pPr>
                    <w:pStyle w:val="39"/>
                    <w:rPr>
                      <w:rFonts w:hint="eastAsia" w:eastAsia="宋体"/>
                      <w:lang w:val="en-US" w:eastAsia="zh-CN"/>
                    </w:rPr>
                  </w:pPr>
                  <w:r>
                    <w:rPr>
                      <w:rFonts w:hint="eastAsia"/>
                      <w:lang w:val="en-US" w:eastAsia="zh-CN"/>
                    </w:rPr>
                    <w:t>4</w:t>
                  </w:r>
                </w:p>
              </w:tc>
              <w:tc>
                <w:tcPr>
                  <w:tcW w:w="1925" w:type="dxa"/>
                  <w:vAlign w:val="center"/>
                </w:tcPr>
                <w:p>
                  <w:pPr>
                    <w:pStyle w:val="39"/>
                    <w:rPr>
                      <w:rFonts w:hint="eastAsia" w:eastAsia="宋体"/>
                      <w:lang w:val="en-US" w:eastAsia="zh-CN"/>
                    </w:rPr>
                  </w:pPr>
                  <w:r>
                    <w:rPr>
                      <w:rFonts w:hint="eastAsia"/>
                      <w:lang w:val="en-US" w:eastAsia="zh-CN"/>
                    </w:rPr>
                    <w:t>/</w:t>
                  </w:r>
                </w:p>
              </w:tc>
              <w:tc>
                <w:tcPr>
                  <w:tcW w:w="2006" w:type="dxa"/>
                  <w:vAlign w:val="center"/>
                </w:tcPr>
                <w:p>
                  <w:pPr>
                    <w:pStyle w:val="39"/>
                    <w:rPr>
                      <w:rFonts w:hint="default"/>
                    </w:rPr>
                  </w:pPr>
                  <w:r>
                    <w:drawing>
                      <wp:inline distT="0" distB="0" distL="114300" distR="114300">
                        <wp:extent cx="1141730" cy="1230630"/>
                        <wp:effectExtent l="0" t="0" r="1270" b="762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8"/>
                                <a:stretch>
                                  <a:fillRect/>
                                </a:stretch>
                              </pic:blipFill>
                              <pic:spPr>
                                <a:xfrm>
                                  <a:off x="0" y="0"/>
                                  <a:ext cx="1141730" cy="1230630"/>
                                </a:xfrm>
                                <a:prstGeom prst="rect">
                                  <a:avLst/>
                                </a:prstGeom>
                                <a:noFill/>
                                <a:ln>
                                  <a:noFill/>
                                </a:ln>
                              </pic:spPr>
                            </pic:pic>
                          </a:graphicData>
                        </a:graphic>
                      </wp:inline>
                    </w:drawing>
                  </w:r>
                </w:p>
              </w:tc>
              <w:tc>
                <w:tcPr>
                  <w:tcW w:w="1166" w:type="dxa"/>
                  <w:vAlign w:val="center"/>
                </w:tcPr>
                <w:p>
                  <w:pPr>
                    <w:pStyle w:val="39"/>
                    <w:rPr>
                      <w:rFonts w:hint="eastAsia" w:eastAsia="宋体"/>
                      <w:lang w:val="en-US" w:eastAsia="zh-CN"/>
                    </w:rPr>
                  </w:pPr>
                  <w:r>
                    <w:rPr>
                      <w:rFonts w:hint="eastAsia"/>
                      <w:lang w:val="en-US" w:eastAsia="zh-CN"/>
                    </w:rPr>
                    <w:t>危险废物</w:t>
                  </w:r>
                </w:p>
              </w:tc>
              <w:tc>
                <w:tcPr>
                  <w:tcW w:w="2535" w:type="dxa"/>
                  <w:vAlign w:val="center"/>
                </w:tcPr>
                <w:p>
                  <w:pPr>
                    <w:pStyle w:val="39"/>
                    <w:rPr>
                      <w:rFonts w:hint="default"/>
                    </w:rPr>
                  </w:pPr>
                  <w:r>
                    <w:rPr>
                      <w:rFonts w:hint="eastAsia"/>
                      <w:lang w:val="en-US" w:eastAsia="zh-CN"/>
                    </w:rPr>
                    <w:t>表示危险废物贮存、处置场</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rPr>
            </w:pPr>
            <w:r>
              <w:rPr>
                <w:rFonts w:hint="default" w:ascii="Times New Roman" w:hAnsi="Times New Roman" w:eastAsia="宋体" w:cs="Times New Roman"/>
                <w:i w:val="0"/>
                <w:iCs w:val="0"/>
                <w:color w:val="auto"/>
                <w:sz w:val="24"/>
                <w:szCs w:val="24"/>
                <w:u w:val="none" w:color="auto"/>
              </w:rPr>
              <w:t>（2）排污口建档要求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rPr>
            </w:pPr>
            <w:r>
              <w:rPr>
                <w:rFonts w:hint="default" w:ascii="Times New Roman" w:hAnsi="Times New Roman" w:eastAsia="宋体" w:cs="Times New Roman"/>
                <w:i w:val="0"/>
                <w:iCs w:val="0"/>
                <w:color w:val="auto"/>
                <w:sz w:val="24"/>
                <w:szCs w:val="24"/>
                <w:u w:val="none" w:color="auto"/>
              </w:rPr>
              <w:t>使用由国家环境保护局统一印制的《中华人民共和国规范化排污口标志登记证》，并按要求认真填写有关内容，由环境保护部门签发登记证。根据登记证的内容建立排污口管理档案，如：排污口性质及编号，排污口地理位置、排放主要污染物种类、数量、浓度，排放去向，立标情况，设施运行情况及整改意见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szCs w:val="24"/>
                <w:u w:val="none" w:color="auto"/>
              </w:rPr>
            </w:pPr>
            <w:r>
              <w:rPr>
                <w:rFonts w:hint="default" w:ascii="Times New Roman" w:hAnsi="Times New Roman" w:eastAsia="宋体" w:cs="Times New Roman"/>
                <w:i w:val="0"/>
                <w:iCs w:val="0"/>
                <w:color w:val="auto"/>
                <w:sz w:val="24"/>
                <w:szCs w:val="24"/>
                <w:u w:val="none" w:color="auto"/>
              </w:rPr>
              <w:t>（3）排污口环境保护设施管理要求</w:t>
            </w:r>
          </w:p>
          <w:p>
            <w:pPr>
              <w:rPr>
                <w:rFonts w:hint="default" w:ascii="Times New Roman" w:hAnsi="Times New Roman" w:cs="Times New Roman"/>
                <w:u w:val="none" w:color="auto"/>
              </w:rPr>
            </w:pPr>
            <w:r>
              <w:rPr>
                <w:rFonts w:hint="default" w:ascii="Times New Roman" w:hAnsi="Times New Roman" w:eastAsia="宋体" w:cs="Times New Roman"/>
                <w:i w:val="0"/>
                <w:iCs w:val="0"/>
                <w:color w:val="auto"/>
                <w:sz w:val="24"/>
                <w:szCs w:val="24"/>
                <w:u w:val="none" w:color="auto"/>
              </w:rPr>
              <w:t>建设单位应将环境保护设施纳入本单位设备管理，制定相应的管理办法和规章制度，选派责任心强，有专业知识和技能的兼、专职人员对排污口进行管理，做到责任明确、奖罚分明。</w:t>
            </w:r>
          </w:p>
          <w:p>
            <w:pPr>
              <w:pStyle w:val="6"/>
              <w:keepNext w:val="0"/>
              <w:keepLines w:val="0"/>
              <w:wordWrap/>
              <w:overflowPunct w:val="0"/>
              <w:topLinePunct w:val="0"/>
              <w:autoSpaceDE w:val="0"/>
              <w:autoSpaceDN w:val="0"/>
              <w:ind w:firstLine="0" w:firstLineChars="0"/>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4.3</w:t>
            </w:r>
            <w:r>
              <w:rPr>
                <w:rFonts w:hint="default" w:ascii="Times New Roman" w:hAnsi="Times New Roman" w:cs="Times New Roman"/>
                <w:color w:val="auto"/>
                <w:u w:val="none" w:color="auto"/>
                <w:lang w:val="en-US" w:eastAsia="zh-CN"/>
              </w:rPr>
              <w:t xml:space="preserve"> </w:t>
            </w:r>
            <w:r>
              <w:rPr>
                <w:rFonts w:hint="default" w:ascii="Times New Roman" w:hAnsi="Times New Roman" w:cs="Times New Roman"/>
                <w:color w:val="auto"/>
                <w:u w:val="none" w:color="auto"/>
                <w:lang w:val="en-US"/>
              </w:rPr>
              <w:t>环境风险影响分析</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4.3.1等级判定</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查阅《建设项目环境风险评价技术导则》（HJ169－2018）附录B中重点关注的危险物质及临界量表B.1突发环境事件风险物质及临界量，危险物质数量与临界量的比值（Q）的计算公式如下：</w:t>
            </w:r>
          </w:p>
          <w:p>
            <w:pPr>
              <w:wordWrap/>
              <w:topLinePunct w:val="0"/>
              <w:adjustRightInd w:val="0"/>
              <w:snapToGrid w:val="0"/>
              <w:ind w:firstLine="0" w:firstLineChars="0"/>
              <w:jc w:val="center"/>
              <w:rPr>
                <w:rFonts w:ascii="Times New Roman" w:hAnsi="Times New Roman" w:cs="Times New Roman"/>
                <w:color w:val="auto"/>
                <w:u w:val="none" w:color="auto"/>
              </w:rPr>
            </w:pPr>
            <w:r>
              <w:rPr>
                <w:rFonts w:ascii="Times New Roman" w:hAnsi="Times New Roman" w:cs="Times New Roman"/>
                <w:color w:val="auto"/>
                <w:u w:val="none" w:color="auto"/>
                <w:lang w:val="en-US" w:bidi="ar-SA"/>
              </w:rPr>
              <w:drawing>
                <wp:inline distT="0" distB="0" distL="114300" distR="114300">
                  <wp:extent cx="2511425" cy="753110"/>
                  <wp:effectExtent l="0" t="0" r="3175" b="889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9"/>
                          <a:stretch>
                            <a:fillRect/>
                          </a:stretch>
                        </pic:blipFill>
                        <pic:spPr>
                          <a:xfrm>
                            <a:off x="0" y="0"/>
                            <a:ext cx="2511425" cy="753110"/>
                          </a:xfrm>
                          <a:prstGeom prst="rect">
                            <a:avLst/>
                          </a:prstGeom>
                          <a:noFill/>
                          <a:ln>
                            <a:noFill/>
                          </a:ln>
                        </pic:spPr>
                      </pic:pic>
                    </a:graphicData>
                  </a:graphic>
                </wp:inline>
              </w:drawing>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式中：q1，q2……qn——每种危险物质的最大存在量，t；</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Q1，Q2…Qn ——每种危险物质的临界量，t。</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当Q＜1时，该项目环境风险潜势为I。</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当Q≥1时，将Q值划分为：（1）1≤Q＜10；（2）10≤Q＜100；（3）Q≥100。</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本项目建设运行后</w:t>
            </w:r>
            <w:r>
              <w:rPr>
                <w:rFonts w:hint="default" w:ascii="Times New Roman" w:hAnsi="Times New Roman" w:cs="Times New Roman"/>
                <w:color w:val="auto"/>
                <w:u w:val="none" w:color="auto"/>
                <w:lang w:val="en-US" w:eastAsia="zh-CN"/>
              </w:rPr>
              <w:t>涉及的风险物质主要为柴油，年使用量约为85kg，最大存在量为40kg，其临界量为2500t</w:t>
            </w:r>
            <w:r>
              <w:rPr>
                <w:rFonts w:ascii="Times New Roman" w:hAnsi="Times New Roman" w:cs="Times New Roman"/>
                <w:color w:val="auto"/>
                <w:u w:val="none" w:color="auto"/>
              </w:rPr>
              <w:t>，因此Q＜1。根据《建设项目环境风险评价技术导则》（HJ169－2018），本项目环境风险潜势为I，只做简单分析。</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《建设项目环境风险评价技术导则》（HJ169-2018）给出的评价工作等级确定原则见表</w:t>
            </w:r>
            <w:r>
              <w:rPr>
                <w:rFonts w:hint="default" w:ascii="Times New Roman" w:hAnsi="Times New Roman" w:cs="Times New Roman"/>
                <w:color w:val="auto"/>
                <w:u w:val="none" w:color="auto"/>
                <w:lang w:val="en-US"/>
              </w:rPr>
              <w:t>4</w:t>
            </w:r>
            <w:r>
              <w:rPr>
                <w:rFonts w:hint="default" w:ascii="Times New Roman" w:hAnsi="Times New Roman" w:cs="Times New Roman"/>
                <w:color w:val="auto"/>
                <w:u w:val="none" w:color="auto"/>
                <w:lang w:val="en-US" w:eastAsia="zh-CN"/>
              </w:rPr>
              <w:t>.3-1</w:t>
            </w:r>
            <w:r>
              <w:rPr>
                <w:rFonts w:ascii="Times New Roman" w:hAnsi="Times New Roman" w:cs="Times New Roman"/>
                <w:color w:val="auto"/>
                <w:u w:val="none" w:color="auto"/>
              </w:rPr>
              <w:t>。</w:t>
            </w:r>
          </w:p>
          <w:p>
            <w:pPr>
              <w:pStyle w:val="43"/>
              <w:bidi w:val="0"/>
              <w:rPr>
                <w:rFonts w:ascii="Times New Roman" w:hAnsi="Times New Roman" w:cs="Times New Roman"/>
                <w:u w:val="none" w:color="auto"/>
              </w:rPr>
            </w:pPr>
            <w:r>
              <w:rPr>
                <w:rFonts w:ascii="Times New Roman" w:hAnsi="Times New Roman" w:cs="Times New Roman"/>
                <w:u w:val="none" w:color="auto"/>
              </w:rPr>
              <w:t>表</w:t>
            </w:r>
            <w:r>
              <w:rPr>
                <w:rFonts w:hint="default" w:ascii="Times New Roman" w:hAnsi="Times New Roman" w:cs="Times New Roman"/>
                <w:u w:val="none" w:color="auto"/>
                <w:lang w:val="en-US"/>
              </w:rPr>
              <w:t>4</w:t>
            </w:r>
            <w:r>
              <w:rPr>
                <w:rFonts w:hint="default" w:ascii="Times New Roman" w:hAnsi="Times New Roman" w:cs="Times New Roman"/>
                <w:u w:val="none" w:color="auto"/>
                <w:lang w:val="en-US" w:eastAsia="zh-CN"/>
              </w:rPr>
              <w:t>.3-1</w:t>
            </w:r>
            <w:r>
              <w:rPr>
                <w:rFonts w:hint="default" w:ascii="Times New Roman" w:hAnsi="Times New Roman" w:cs="Times New Roman"/>
                <w:u w:val="none" w:color="auto"/>
                <w:lang w:val="en-US"/>
              </w:rPr>
              <w:t>：</w:t>
            </w:r>
            <w:r>
              <w:rPr>
                <w:rFonts w:ascii="Times New Roman" w:hAnsi="Times New Roman" w:cs="Times New Roman"/>
                <w:u w:val="none" w:color="auto"/>
              </w:rPr>
              <w:t>风险评价级别划分标准</w:t>
            </w:r>
          </w:p>
          <w:tbl>
            <w:tblPr>
              <w:tblStyle w:val="28"/>
              <w:tblW w:w="48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371"/>
              <w:gridCol w:w="1400"/>
              <w:gridCol w:w="1789"/>
              <w:gridCol w:w="2146"/>
              <w:gridCol w:w="13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410"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sz w:val="21"/>
                      <w:szCs w:val="21"/>
                      <w:u w:val="none" w:color="auto"/>
                      <w:lang w:val="en-US"/>
                    </w:rPr>
                  </w:pPr>
                  <w:r>
                    <w:rPr>
                      <w:rFonts w:hint="default" w:ascii="Times New Roman" w:hAnsi="Times New Roman" w:eastAsia="宋体" w:cs="Times New Roman"/>
                      <w:b/>
                      <w:bCs/>
                      <w:color w:val="auto"/>
                      <w:sz w:val="21"/>
                      <w:szCs w:val="21"/>
                      <w:u w:val="none" w:color="auto"/>
                      <w:lang w:val="en-US"/>
                    </w:rPr>
                    <w:t>环境风险潜势</w:t>
                  </w:r>
                </w:p>
              </w:tc>
              <w:tc>
                <w:tcPr>
                  <w:tcW w:w="1427"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sz w:val="21"/>
                      <w:szCs w:val="21"/>
                      <w:u w:val="none" w:color="auto"/>
                      <w:lang w:val="en-US"/>
                    </w:rPr>
                  </w:pPr>
                  <w:r>
                    <w:rPr>
                      <w:rFonts w:hint="default" w:ascii="Times New Roman" w:hAnsi="Times New Roman" w:eastAsia="宋体" w:cs="Times New Roman"/>
                      <w:b/>
                      <w:bCs/>
                      <w:color w:val="auto"/>
                      <w:sz w:val="21"/>
                      <w:szCs w:val="21"/>
                      <w:u w:val="none" w:color="auto"/>
                      <w:lang w:val="en-US"/>
                    </w:rPr>
                    <w:t>IV+、IV</w:t>
                  </w:r>
                </w:p>
              </w:tc>
              <w:tc>
                <w:tcPr>
                  <w:tcW w:w="1839"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sz w:val="21"/>
                      <w:szCs w:val="21"/>
                      <w:u w:val="none" w:color="auto"/>
                      <w:lang w:val="en-US"/>
                    </w:rPr>
                  </w:pPr>
                  <w:r>
                    <w:rPr>
                      <w:rFonts w:hint="default" w:ascii="Times New Roman" w:hAnsi="Times New Roman" w:eastAsia="宋体" w:cs="Times New Roman"/>
                      <w:b/>
                      <w:bCs/>
                      <w:color w:val="auto"/>
                      <w:sz w:val="21"/>
                      <w:szCs w:val="21"/>
                      <w:u w:val="none" w:color="auto"/>
                      <w:lang w:val="en-US"/>
                    </w:rPr>
                    <w:t>III</w:t>
                  </w:r>
                </w:p>
              </w:tc>
              <w:tc>
                <w:tcPr>
                  <w:tcW w:w="2209"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sz w:val="21"/>
                      <w:szCs w:val="21"/>
                      <w:u w:val="none" w:color="auto"/>
                      <w:lang w:val="en-US"/>
                    </w:rPr>
                  </w:pPr>
                  <w:r>
                    <w:rPr>
                      <w:rFonts w:hint="default" w:ascii="Times New Roman" w:hAnsi="Times New Roman" w:eastAsia="宋体" w:cs="Times New Roman"/>
                      <w:b/>
                      <w:bCs/>
                      <w:color w:val="auto"/>
                      <w:sz w:val="21"/>
                      <w:szCs w:val="21"/>
                      <w:u w:val="none" w:color="auto"/>
                      <w:lang w:val="en-US"/>
                    </w:rPr>
                    <w:t>II</w:t>
                  </w:r>
                </w:p>
              </w:tc>
              <w:tc>
                <w:tcPr>
                  <w:tcW w:w="1421"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b/>
                      <w:bCs/>
                      <w:color w:val="auto"/>
                      <w:sz w:val="21"/>
                      <w:szCs w:val="21"/>
                      <w:u w:val="none" w:color="auto"/>
                      <w:lang w:val="en-US"/>
                    </w:rPr>
                  </w:pPr>
                  <w:r>
                    <w:rPr>
                      <w:rFonts w:hint="default" w:ascii="Times New Roman" w:hAnsi="Times New Roman" w:eastAsia="宋体" w:cs="Times New Roman"/>
                      <w:b/>
                      <w:bCs/>
                      <w:color w:val="auto"/>
                      <w:sz w:val="21"/>
                      <w:szCs w:val="21"/>
                      <w:u w:val="none" w:color="auto"/>
                      <w:lang w:val="en-US"/>
                    </w:rPr>
                    <w:t>I</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410"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评价工作等级</w:t>
                  </w:r>
                </w:p>
              </w:tc>
              <w:tc>
                <w:tcPr>
                  <w:tcW w:w="1427"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一</w:t>
                  </w:r>
                </w:p>
              </w:tc>
              <w:tc>
                <w:tcPr>
                  <w:tcW w:w="1839"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二</w:t>
                  </w:r>
                </w:p>
              </w:tc>
              <w:tc>
                <w:tcPr>
                  <w:tcW w:w="2209"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三</w:t>
                  </w:r>
                </w:p>
              </w:tc>
              <w:tc>
                <w:tcPr>
                  <w:tcW w:w="1421" w:type="dxa"/>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简单分析 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8306" w:type="dxa"/>
                  <w:gridSpan w:val="5"/>
                  <w:tcBorders>
                    <w:tl2br w:val="nil"/>
                    <w:tr2bl w:val="nil"/>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a 是相对于详细评价工作内容而言，在描述危险物质、环境影响途径、环境危害后果、风险防范措施等方面给出定性说明。见附录 A。</w:t>
                  </w:r>
                </w:p>
              </w:tc>
            </w:tr>
          </w:tbl>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4.3.2风险情景分析</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（1）风险</w:t>
            </w:r>
            <w:r>
              <w:rPr>
                <w:rFonts w:hint="default" w:ascii="Times New Roman" w:hAnsi="Times New Roman" w:cs="Times New Roman"/>
                <w:color w:val="auto"/>
                <w:u w:val="none" w:color="auto"/>
                <w:lang w:val="en-US"/>
              </w:rPr>
              <w:t>情景识别</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风险</w:t>
            </w:r>
            <w:r>
              <w:rPr>
                <w:rFonts w:hint="default" w:ascii="Times New Roman" w:hAnsi="Times New Roman" w:cs="Times New Roman"/>
                <w:color w:val="auto"/>
                <w:u w:val="none" w:color="auto"/>
                <w:lang w:val="en-US"/>
              </w:rPr>
              <w:t>情景识别</w:t>
            </w:r>
            <w:r>
              <w:rPr>
                <w:rFonts w:ascii="Times New Roman" w:hAnsi="Times New Roman" w:cs="Times New Roman"/>
                <w:color w:val="auto"/>
                <w:u w:val="none" w:color="auto"/>
              </w:rPr>
              <w:t>包括生产设施风险识别和生产过程所涉及的物质风险识别。本项目生产设施风险</w:t>
            </w:r>
            <w:r>
              <w:rPr>
                <w:rFonts w:hint="default" w:ascii="Times New Roman" w:hAnsi="Times New Roman" w:cs="Times New Roman"/>
                <w:color w:val="auto"/>
                <w:u w:val="none" w:color="auto"/>
                <w:lang w:val="en-US"/>
              </w:rPr>
              <w:t>情景识别主要是火灾事故</w:t>
            </w:r>
            <w:r>
              <w:rPr>
                <w:rFonts w:hint="default" w:ascii="Times New Roman" w:hAnsi="Times New Roman" w:cs="Times New Roman"/>
                <w:color w:val="auto"/>
                <w:u w:val="none" w:color="auto"/>
                <w:lang w:val="en-US" w:eastAsia="zh-CN"/>
              </w:rPr>
              <w:t>、锅炉废气事故排放、</w:t>
            </w:r>
            <w:r>
              <w:rPr>
                <w:rFonts w:ascii="Times New Roman" w:hAnsi="Times New Roman" w:cs="Times New Roman"/>
                <w:u w:val="none" w:color="auto"/>
              </w:rPr>
              <w:t>污水事故排放</w:t>
            </w:r>
            <w:r>
              <w:rPr>
                <w:rFonts w:hint="default" w:ascii="Times New Roman" w:hAnsi="Times New Roman" w:cs="Times New Roman"/>
                <w:u w:val="none" w:color="auto"/>
                <w:lang w:val="en-US" w:eastAsia="zh-CN"/>
              </w:rPr>
              <w:t>事故以及柴油泄露事故</w:t>
            </w:r>
            <w:r>
              <w:rPr>
                <w:rFonts w:ascii="Times New Roman" w:hAnsi="Times New Roman" w:cs="Times New Roman"/>
                <w:u w:val="none" w:color="auto"/>
              </w:rPr>
              <w:t>风险</w:t>
            </w:r>
            <w:r>
              <w:rPr>
                <w:rFonts w:ascii="Times New Roman" w:hAnsi="Times New Roman" w:cs="Times New Roman"/>
                <w:color w:val="auto"/>
                <w:u w:val="none" w:color="auto"/>
              </w:rPr>
              <w:t>。</w:t>
            </w:r>
          </w:p>
          <w:p>
            <w:pPr>
              <w:ind w:firstLine="480"/>
              <w:rPr>
                <w:rFonts w:ascii="Times New Roman" w:hAnsi="Times New Roman" w:cs="Times New Roman"/>
                <w:color w:val="auto"/>
                <w:u w:val="none" w:color="auto"/>
                <w:lang w:val="en-US"/>
              </w:rPr>
            </w:pPr>
            <w:r>
              <w:rPr>
                <w:rFonts w:ascii="Times New Roman" w:hAnsi="Times New Roman" w:cs="Times New Roman"/>
                <w:color w:val="auto"/>
                <w:u w:val="none" w:color="auto"/>
              </w:rPr>
              <w:t>（2）</w:t>
            </w:r>
            <w:r>
              <w:rPr>
                <w:rFonts w:hint="default" w:ascii="Times New Roman" w:hAnsi="Times New Roman" w:cs="Times New Roman"/>
                <w:color w:val="auto"/>
                <w:u w:val="none" w:color="auto"/>
                <w:lang w:val="en-US"/>
              </w:rPr>
              <w:t>风险事故原因及危害</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A.</w:t>
            </w:r>
            <w:r>
              <w:rPr>
                <w:rFonts w:hint="default" w:ascii="Times New Roman" w:hAnsi="Times New Roman" w:cs="Times New Roman"/>
                <w:color w:val="auto"/>
                <w:u w:val="none" w:color="auto"/>
              </w:rPr>
              <w:t>火灾风险事故可能发生的原因主要有以下几个方面：</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①</w:t>
            </w:r>
            <w:r>
              <w:rPr>
                <w:rFonts w:hint="default" w:ascii="Times New Roman" w:hAnsi="Times New Roman" w:cs="Times New Roman"/>
                <w:color w:val="auto"/>
                <w:u w:val="none" w:color="auto"/>
              </w:rPr>
              <w:t>项目电气设备发生意外，</w:t>
            </w:r>
            <w:r>
              <w:rPr>
                <w:rFonts w:hint="default" w:ascii="Times New Roman" w:hAnsi="Times New Roman" w:cs="Times New Roman"/>
                <w:color w:val="auto"/>
                <w:u w:val="none" w:color="auto"/>
                <w:lang w:val="en-US"/>
              </w:rPr>
              <w:t>生产原料遇明火等</w:t>
            </w:r>
            <w:r>
              <w:rPr>
                <w:rFonts w:hint="default" w:ascii="Times New Roman" w:hAnsi="Times New Roman" w:cs="Times New Roman"/>
                <w:color w:val="auto"/>
                <w:u w:val="none" w:color="auto"/>
              </w:rPr>
              <w:t>都有引发火灾的风险。</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②</w:t>
            </w:r>
            <w:r>
              <w:rPr>
                <w:rFonts w:hint="default" w:ascii="Times New Roman" w:hAnsi="Times New Roman" w:cs="Times New Roman"/>
                <w:color w:val="auto"/>
                <w:u w:val="none" w:color="auto"/>
              </w:rPr>
              <w:t>电气设备发生意外风险的隐患主要有：接地故障引起火灾带电导体与水管、钢管、设备金属外壳发生接触短路，可能引起故障电流起火、故障电压起火、接线端子连接不实起火等；用电管理不善，用户超负荷用电，如果散热条件不好，环境温度较高，可能引起线路起火；电气设备长期使用，导线陈旧破损，也是常见隐患之一。</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发生火灾后，将产生大量CO、CO</w:t>
            </w:r>
            <w:r>
              <w:rPr>
                <w:rFonts w:ascii="Times New Roman" w:hAnsi="Times New Roman" w:cs="Times New Roman"/>
                <w:color w:val="auto"/>
                <w:u w:val="none" w:color="auto"/>
                <w:vertAlign w:val="subscript"/>
              </w:rPr>
              <w:t>2</w:t>
            </w:r>
            <w:r>
              <w:rPr>
                <w:rFonts w:ascii="Times New Roman" w:hAnsi="Times New Roman" w:cs="Times New Roman"/>
                <w:color w:val="auto"/>
                <w:u w:val="none" w:color="auto"/>
              </w:rPr>
              <w:t>、烟尘等大气污染物，将造成一定污染。火灾事故的发生概率在1×10</w:t>
            </w:r>
            <w:r>
              <w:rPr>
                <w:rFonts w:ascii="Times New Roman" w:hAnsi="Times New Roman" w:cs="Times New Roman"/>
                <w:color w:val="auto"/>
                <w:u w:val="none" w:color="auto"/>
                <w:vertAlign w:val="superscript"/>
              </w:rPr>
              <w:t>-5</w:t>
            </w:r>
            <w:r>
              <w:rPr>
                <w:rFonts w:ascii="Times New Roman" w:hAnsi="Times New Roman" w:cs="Times New Roman"/>
                <w:color w:val="auto"/>
                <w:u w:val="none" w:color="auto"/>
              </w:rPr>
              <w:t>时在可接受范围内。</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textAlignment w:val="auto"/>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B.</w:t>
            </w:r>
            <w:r>
              <w:rPr>
                <w:rFonts w:hint="default" w:ascii="Times New Roman" w:hAnsi="Times New Roman" w:cs="Times New Roman"/>
                <w:color w:val="auto"/>
                <w:u w:val="none" w:color="auto"/>
                <w:lang w:val="en-US"/>
              </w:rPr>
              <w:t>污水处理站运行事故可能发生的原因主要有以下几个方面：</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rPr>
              <w:t>①处理设施运行不正常。如装置在运行过程中由于机械故障、滤料堵塞、停水停电、操作不当等诸多原因造成污水处理设施不能正常运行，污水未能达标或未经处理直接排放，污染水环境</w:t>
            </w:r>
            <w:r>
              <w:rPr>
                <w:rFonts w:hint="eastAsia" w:cs="Times New Roman"/>
                <w:color w:val="auto"/>
                <w:u w:val="none" w:color="auto"/>
                <w:lang w:eastAsia="zh-CN"/>
              </w:rPr>
              <w:t>，</w:t>
            </w:r>
            <w:r>
              <w:rPr>
                <w:rFonts w:hint="eastAsia" w:cs="Times New Roman"/>
                <w:color w:val="auto"/>
                <w:u w:val="none" w:color="auto"/>
                <w:lang w:val="en-US" w:eastAsia="zh-CN"/>
              </w:rPr>
              <w:t>污染灌溉区农田、旱地等</w:t>
            </w:r>
            <w:r>
              <w:rPr>
                <w:rFonts w:hint="default" w:ascii="Times New Roman" w:hAnsi="Times New Roman" w:cs="Times New Roman"/>
                <w:color w:val="auto"/>
                <w:u w:val="none" w:color="auto"/>
              </w:rPr>
              <w:t>。</w:t>
            </w:r>
          </w:p>
          <w:p>
            <w:pPr>
              <w:ind w:firstLine="480"/>
              <w:rPr>
                <w:rFonts w:ascii="Times New Roman" w:hAnsi="Times New Roman" w:cs="Times New Roman"/>
                <w:color w:val="auto"/>
                <w:highlight w:val="yellow"/>
                <w:u w:val="none" w:color="auto"/>
              </w:rPr>
            </w:pPr>
            <w:r>
              <w:rPr>
                <w:rFonts w:hint="default" w:ascii="Times New Roman" w:hAnsi="Times New Roman" w:cs="Times New Roman"/>
                <w:color w:val="auto"/>
                <w:u w:val="none" w:color="auto"/>
              </w:rPr>
              <w:t>②不可抗拒的外力影响。</w:t>
            </w:r>
            <w:r>
              <w:rPr>
                <w:rFonts w:ascii="Times New Roman" w:hAnsi="Times New Roman" w:cs="Times New Roman"/>
                <w:color w:val="auto"/>
                <w:u w:val="none" w:color="auto"/>
              </w:rPr>
              <w:t>如停电、突发性自然灾害等，造成污水处理设施停止运行，未经处理的污水直接排放，这将是污水处理</w:t>
            </w:r>
            <w:r>
              <w:rPr>
                <w:rFonts w:hint="default" w:ascii="Times New Roman" w:hAnsi="Times New Roman" w:cs="Times New Roman"/>
                <w:color w:val="auto"/>
                <w:u w:val="none" w:color="auto"/>
              </w:rPr>
              <w:t>系统</w:t>
            </w:r>
            <w:r>
              <w:rPr>
                <w:rFonts w:ascii="Times New Roman" w:hAnsi="Times New Roman" w:cs="Times New Roman"/>
                <w:color w:val="auto"/>
                <w:u w:val="none" w:color="auto"/>
              </w:rPr>
              <w:t>非正常排放的极限情况。</w:t>
            </w:r>
          </w:p>
          <w:p>
            <w:pPr>
              <w:ind w:firstLine="480"/>
              <w:rPr>
                <w:rFonts w:ascii="Times New Roman" w:hAnsi="Times New Roman" w:cs="Times New Roman"/>
                <w:color w:val="auto"/>
                <w:u w:val="none" w:color="auto"/>
              </w:rPr>
            </w:pPr>
            <w:r>
              <w:rPr>
                <w:rFonts w:hint="default" w:ascii="Times New Roman" w:hAnsi="Times New Roman" w:cs="Times New Roman"/>
                <w:color w:val="auto"/>
                <w:highlight w:val="none"/>
                <w:u w:val="none" w:color="auto"/>
                <w:lang w:val="en-US" w:eastAsia="zh-CN"/>
              </w:rPr>
              <w:t>③人为因素操作不当</w:t>
            </w:r>
            <w:r>
              <w:rPr>
                <w:rFonts w:ascii="Times New Roman" w:hAnsi="Times New Roman" w:cs="Times New Roman"/>
                <w:color w:val="auto"/>
                <w:highlight w:val="none"/>
                <w:u w:val="none" w:color="auto"/>
              </w:rPr>
              <w:t>等，造成</w:t>
            </w:r>
            <w:r>
              <w:rPr>
                <w:rFonts w:hint="default" w:ascii="Times New Roman" w:hAnsi="Times New Roman" w:cs="Times New Roman"/>
                <w:color w:val="auto"/>
                <w:highlight w:val="none"/>
                <w:u w:val="none" w:color="auto"/>
                <w:lang w:val="en-US" w:eastAsia="zh-CN"/>
              </w:rPr>
              <w:t>废水灌溉管网破损、堵塞</w:t>
            </w:r>
            <w:r>
              <w:rPr>
                <w:rFonts w:ascii="Times New Roman" w:hAnsi="Times New Roman" w:eastAsia="宋体" w:cs="Times New Roman"/>
                <w:color w:val="auto"/>
                <w:highlight w:val="none"/>
                <w:u w:val="none" w:color="auto"/>
                <w:lang w:val="en-US"/>
              </w:rPr>
              <w:t>，</w:t>
            </w:r>
            <w:r>
              <w:rPr>
                <w:rFonts w:hint="default" w:ascii="Times New Roman" w:hAnsi="Times New Roman" w:eastAsia="宋体" w:cs="Times New Roman"/>
                <w:color w:val="auto"/>
                <w:highlight w:val="none"/>
                <w:u w:val="none" w:color="auto"/>
                <w:lang w:val="en-US" w:eastAsia="zh-CN"/>
              </w:rPr>
              <w:t>导致废水</w:t>
            </w:r>
            <w:r>
              <w:rPr>
                <w:rFonts w:hint="default" w:ascii="Times New Roman" w:hAnsi="Times New Roman" w:eastAsia="宋体" w:cs="Times New Roman"/>
                <w:color w:val="auto"/>
                <w:sz w:val="24"/>
                <w:szCs w:val="24"/>
                <w:highlight w:val="none"/>
                <w:u w:val="none" w:color="auto"/>
                <w:lang w:val="en-US" w:eastAsia="zh-CN"/>
              </w:rPr>
              <w:t>不正常输灌</w:t>
            </w:r>
            <w:r>
              <w:rPr>
                <w:rFonts w:ascii="Times New Roman" w:hAnsi="Times New Roman" w:eastAsia="宋体" w:cs="Times New Roman"/>
                <w:color w:val="auto"/>
                <w:highlight w:val="none"/>
                <w:u w:val="none" w:color="auto"/>
                <w:lang w:val="en-US"/>
              </w:rPr>
              <w:t>，</w:t>
            </w:r>
            <w:r>
              <w:rPr>
                <w:rFonts w:hint="default" w:ascii="Times New Roman" w:hAnsi="Times New Roman" w:eastAsia="宋体" w:cs="Times New Roman"/>
                <w:color w:val="auto"/>
                <w:highlight w:val="none"/>
                <w:u w:val="none" w:color="auto"/>
                <w:lang w:val="en-US" w:eastAsia="zh-CN"/>
              </w:rPr>
              <w:t>不正常输灌的废水有可能通过自流、渗漏等形式</w:t>
            </w:r>
            <w:r>
              <w:rPr>
                <w:rFonts w:hint="default" w:ascii="Times New Roman" w:hAnsi="Times New Roman" w:eastAsia="宋体" w:cs="Times New Roman"/>
                <w:color w:val="auto"/>
                <w:u w:val="none" w:color="auto"/>
                <w:lang w:val="en-US" w:eastAsia="zh-CN"/>
              </w:rPr>
              <w:t>对地下水及下游饮用水源保护区造成影响，通过地形地势以及水文资料的调查，本项目产生的废水主要灌溉区域为南侧马路对面的农田、旱地等，与沅江无水力联系</w:t>
            </w:r>
            <w:r>
              <w:rPr>
                <w:rFonts w:hint="eastAsia" w:cs="Times New Roman"/>
                <w:color w:val="auto"/>
                <w:u w:val="none" w:color="auto"/>
                <w:lang w:val="en-US" w:eastAsia="zh-CN"/>
              </w:rPr>
              <w:t>，但处于沅江饮用水水源集水区域</w:t>
            </w:r>
            <w:r>
              <w:rPr>
                <w:rFonts w:hint="default" w:ascii="Times New Roman" w:hAnsi="Times New Roman" w:eastAsia="宋体" w:cs="Times New Roman"/>
                <w:color w:val="auto"/>
                <w:u w:val="none" w:color="auto"/>
                <w:lang w:val="en-US" w:eastAsia="zh-CN"/>
              </w:rPr>
              <w:t>，目前泸溪县人民政府对沅江饮用水进行了农业面源整治，严格限值不合规的农药和化肥的使用，其中还包括防洪堤的修建，防治沅江洪期冲刷两岸的农田耕地，同时经现场调查，沅江两岸还设有生态缓冲带，农田退水在经过生态缓冲带的滞留及过滤，其农田退水对沅江的水质影响较小，并结合近几年沅江的水质监测结果，均能实现水质达标</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因此项目废水</w:t>
            </w:r>
            <w:r>
              <w:rPr>
                <w:rFonts w:hint="default" w:ascii="Times New Roman" w:hAnsi="Times New Roman" w:eastAsia="宋体" w:cs="Times New Roman"/>
                <w:color w:val="auto"/>
                <w:sz w:val="24"/>
                <w:szCs w:val="24"/>
                <w:u w:val="none" w:color="auto"/>
                <w:lang w:val="en-US" w:eastAsia="zh-CN"/>
              </w:rPr>
              <w:t>输灌</w:t>
            </w:r>
            <w:r>
              <w:rPr>
                <w:rFonts w:hint="eastAsia" w:ascii="Times New Roman" w:hAnsi="Times New Roman" w:eastAsia="宋体" w:cs="Times New Roman"/>
                <w:color w:val="auto"/>
                <w:u w:val="none" w:color="auto"/>
                <w:lang w:val="en-US" w:eastAsia="zh-CN"/>
              </w:rPr>
              <w:t>对</w:t>
            </w:r>
            <w:r>
              <w:rPr>
                <w:rFonts w:hint="default" w:ascii="Times New Roman" w:hAnsi="Times New Roman" w:eastAsia="宋体" w:cs="Times New Roman"/>
                <w:color w:val="auto"/>
                <w:u w:val="none" w:color="auto"/>
                <w:lang w:val="en-US" w:eastAsia="zh-CN"/>
              </w:rPr>
              <w:t>下游饮用水源保护区</w:t>
            </w:r>
            <w:r>
              <w:rPr>
                <w:rFonts w:hint="eastAsia" w:ascii="Times New Roman" w:hAnsi="Times New Roman" w:eastAsia="宋体" w:cs="Times New Roman"/>
                <w:color w:val="auto"/>
                <w:u w:val="none" w:color="auto"/>
                <w:lang w:val="en-US" w:eastAsia="zh-CN"/>
              </w:rPr>
              <w:t>的</w:t>
            </w:r>
            <w:r>
              <w:rPr>
                <w:rFonts w:hint="default" w:ascii="Times New Roman" w:hAnsi="Times New Roman" w:eastAsia="宋体" w:cs="Times New Roman"/>
                <w:color w:val="auto"/>
                <w:u w:val="none" w:color="auto"/>
                <w:lang w:val="en-US" w:eastAsia="zh-CN"/>
              </w:rPr>
              <w:t>影响可控</w:t>
            </w:r>
            <w:r>
              <w:rPr>
                <w:rFonts w:ascii="Times New Roman" w:hAnsi="Times New Roman" w:cs="Times New Roman"/>
                <w:color w:val="auto"/>
                <w:u w:val="none" w:color="auto"/>
              </w:rPr>
              <w:t>。</w:t>
            </w:r>
          </w:p>
          <w:p>
            <w:pPr>
              <w:keepNext w:val="0"/>
              <w:keepLines w:val="0"/>
              <w:pageBreakBefore w:val="0"/>
              <w:widowControl w:val="0"/>
              <w:numPr>
                <w:ilvl w:val="0"/>
                <w:numId w:val="0"/>
              </w:numPr>
              <w:kinsoku/>
              <w:wordWrap w:val="0"/>
              <w:overflowPunct/>
              <w:topLinePunct/>
              <w:autoSpaceDE/>
              <w:autoSpaceDN/>
              <w:bidi w:val="0"/>
              <w:adjustRightInd/>
              <w:snapToGrid/>
              <w:ind w:firstLine="480" w:firstLineChars="200"/>
              <w:textAlignment w:val="auto"/>
              <w:rPr>
                <w:rFonts w:ascii="Times New Roman" w:hAnsi="Times New Roman" w:cs="Times New Roman"/>
                <w:color w:val="auto"/>
                <w:u w:val="none" w:color="auto"/>
                <w:lang w:val="en-US"/>
              </w:rPr>
            </w:pPr>
            <w:r>
              <w:rPr>
                <w:rFonts w:hint="default" w:ascii="Times New Roman" w:hAnsi="Times New Roman" w:cs="Times New Roman"/>
                <w:color w:val="auto"/>
                <w:u w:val="none" w:color="auto"/>
                <w:lang w:val="en-US" w:eastAsia="zh-CN"/>
              </w:rPr>
              <w:t>C.柴油泄露</w:t>
            </w:r>
            <w:r>
              <w:rPr>
                <w:rFonts w:hint="default" w:ascii="Times New Roman" w:hAnsi="Times New Roman" w:cs="Times New Roman"/>
                <w:color w:val="auto"/>
                <w:u w:val="none" w:color="auto"/>
                <w:lang w:val="en-US"/>
              </w:rPr>
              <w:t>事故可能发生的原因主要有以下几个方面：</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rPr>
              <w:t>①</w:t>
            </w:r>
            <w:r>
              <w:rPr>
                <w:rFonts w:hint="default" w:ascii="Times New Roman" w:hAnsi="Times New Roman" w:cs="Times New Roman"/>
                <w:color w:val="auto"/>
                <w:u w:val="none" w:color="auto"/>
                <w:lang w:val="en-US" w:eastAsia="zh-CN"/>
              </w:rPr>
              <w:t>人为原因等导致装卸时溢流出发电机上配套的油箱，污染地面</w:t>
            </w:r>
            <w:r>
              <w:rPr>
                <w:rFonts w:hint="default" w:ascii="Times New Roman" w:hAnsi="Times New Roman" w:cs="Times New Roman"/>
                <w:color w:val="auto"/>
                <w:u w:val="none" w:color="auto"/>
              </w:rPr>
              <w:t>。</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rPr>
              <w:t>②不可抗拒的外力影响。</w:t>
            </w:r>
            <w:r>
              <w:rPr>
                <w:rFonts w:ascii="Times New Roman" w:hAnsi="Times New Roman" w:cs="Times New Roman"/>
                <w:color w:val="auto"/>
                <w:u w:val="none" w:color="auto"/>
              </w:rPr>
              <w:t>如突发性自然灾害等，造成</w:t>
            </w:r>
            <w:r>
              <w:rPr>
                <w:rFonts w:hint="default" w:ascii="Times New Roman" w:hAnsi="Times New Roman" w:cs="Times New Roman"/>
                <w:color w:val="auto"/>
                <w:u w:val="none" w:color="auto"/>
                <w:lang w:val="en-US" w:eastAsia="zh-CN"/>
              </w:rPr>
              <w:t>油品泄露</w:t>
            </w:r>
            <w:r>
              <w:rPr>
                <w:rFonts w:ascii="Times New Roman" w:hAnsi="Times New Roman" w:cs="Times New Roman"/>
                <w:color w:val="auto"/>
                <w:u w:val="none" w:color="auto"/>
              </w:rPr>
              <w:t>。</w:t>
            </w:r>
          </w:p>
          <w:p>
            <w:pPr>
              <w:bidi w:val="0"/>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D、</w:t>
            </w:r>
            <w:r>
              <w:rPr>
                <w:rFonts w:hint="default" w:ascii="Times New Roman" w:hAnsi="Times New Roman" w:cs="Times New Roman"/>
                <w:color w:val="auto"/>
                <w:u w:val="none" w:color="auto"/>
                <w:lang w:val="en-US" w:eastAsia="zh-CN"/>
              </w:rPr>
              <w:t>废气</w:t>
            </w:r>
            <w:r>
              <w:rPr>
                <w:rFonts w:hint="default" w:ascii="Times New Roman" w:hAnsi="Times New Roman" w:cs="Times New Roman"/>
                <w:color w:val="auto"/>
                <w:u w:val="none" w:color="auto"/>
                <w:lang w:val="en-US"/>
              </w:rPr>
              <w:t>事故</w:t>
            </w:r>
            <w:r>
              <w:rPr>
                <w:rFonts w:hint="default" w:ascii="Times New Roman" w:hAnsi="Times New Roman" w:cs="Times New Roman"/>
                <w:color w:val="auto"/>
                <w:u w:val="none" w:color="auto"/>
                <w:lang w:val="en-US" w:eastAsia="zh-CN"/>
              </w:rPr>
              <w:t>排放</w:t>
            </w:r>
            <w:r>
              <w:rPr>
                <w:rFonts w:hint="default" w:ascii="Times New Roman" w:hAnsi="Times New Roman" w:cs="Times New Roman"/>
                <w:color w:val="auto"/>
                <w:u w:val="none" w:color="auto"/>
                <w:lang w:val="en-US"/>
              </w:rPr>
              <w:t>可能发生的原因主要有以下：</w:t>
            </w:r>
          </w:p>
          <w:p>
            <w:pPr>
              <w:bidi w:val="0"/>
              <w:rPr>
                <w:rFonts w:hint="default" w:ascii="Times New Roman" w:hAnsi="Times New Roman" w:cs="Times New Roman"/>
                <w:u w:val="none" w:color="auto"/>
                <w:lang w:val="en-US" w:eastAsia="zh-CN"/>
              </w:rPr>
            </w:pPr>
            <w:r>
              <w:rPr>
                <w:rFonts w:hint="default" w:ascii="Times New Roman" w:hAnsi="Times New Roman" w:cs="Times New Roman"/>
                <w:color w:val="000000"/>
                <w:sz w:val="24"/>
                <w:u w:val="none" w:color="auto"/>
              </w:rPr>
              <w:t>本项目建成后，营运期环境风险存在</w:t>
            </w:r>
            <w:r>
              <w:rPr>
                <w:rFonts w:hint="default" w:ascii="Times New Roman" w:hAnsi="Times New Roman" w:cs="Times New Roman"/>
                <w:color w:val="000000"/>
                <w:sz w:val="24"/>
                <w:u w:val="none" w:color="auto"/>
                <w:lang w:val="en-US" w:eastAsia="zh-CN"/>
              </w:rPr>
              <w:t>废气处理设施</w:t>
            </w:r>
            <w:r>
              <w:rPr>
                <w:rFonts w:hint="default" w:ascii="Times New Roman" w:hAnsi="Times New Roman" w:cs="Times New Roman"/>
                <w:color w:val="000000"/>
                <w:sz w:val="24"/>
                <w:u w:val="none" w:color="auto"/>
              </w:rPr>
              <w:t>故障以及市政停电状态下造成废气治理设备无法运行，而造成的</w:t>
            </w:r>
            <w:r>
              <w:rPr>
                <w:rFonts w:hint="default" w:ascii="Times New Roman" w:hAnsi="Times New Roman" w:cs="Times New Roman"/>
                <w:color w:val="000000"/>
                <w:sz w:val="24"/>
                <w:u w:val="none" w:color="auto"/>
                <w:lang w:val="en-US" w:eastAsia="zh-CN"/>
              </w:rPr>
              <w:t>废气直接</w:t>
            </w:r>
            <w:r>
              <w:rPr>
                <w:rFonts w:hint="default" w:ascii="Times New Roman" w:hAnsi="Times New Roman" w:cs="Times New Roman"/>
                <w:color w:val="000000"/>
                <w:sz w:val="24"/>
                <w:u w:val="none" w:color="auto"/>
              </w:rPr>
              <w:t>排放。</w:t>
            </w:r>
            <w:r>
              <w:rPr>
                <w:rFonts w:hint="default" w:ascii="Times New Roman" w:hAnsi="Times New Roman" w:cs="Times New Roman"/>
                <w:color w:val="000000"/>
                <w:sz w:val="24"/>
                <w:u w:val="none" w:color="auto"/>
                <w:lang w:val="en-US" w:eastAsia="zh-CN"/>
              </w:rPr>
              <w:t>废气处理</w:t>
            </w:r>
            <w:r>
              <w:rPr>
                <w:rFonts w:hint="default" w:ascii="Times New Roman" w:hAnsi="Times New Roman" w:cs="Times New Roman"/>
                <w:color w:val="000000"/>
                <w:sz w:val="24"/>
                <w:u w:val="none" w:color="auto"/>
              </w:rPr>
              <w:t>设施容易出现的故障为喷淋堵塞和损坏及机械损坏，可能造成的</w:t>
            </w:r>
            <w:r>
              <w:rPr>
                <w:rFonts w:hint="default" w:ascii="Times New Roman" w:hAnsi="Times New Roman" w:cs="Times New Roman"/>
                <w:color w:val="000000"/>
                <w:sz w:val="24"/>
                <w:u w:val="none" w:color="auto"/>
                <w:lang w:val="en-US" w:eastAsia="zh-CN"/>
              </w:rPr>
              <w:t>处理</w:t>
            </w:r>
            <w:r>
              <w:rPr>
                <w:rFonts w:hint="default" w:ascii="Times New Roman" w:hAnsi="Times New Roman" w:cs="Times New Roman"/>
                <w:color w:val="000000"/>
                <w:sz w:val="24"/>
                <w:u w:val="none" w:color="auto"/>
              </w:rPr>
              <w:t>效率大大较低或无法运行。</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4.3.3风险防范措施及应急预案</w:t>
            </w:r>
          </w:p>
          <w:p>
            <w:pPr>
              <w:ind w:firstLine="482"/>
              <w:rPr>
                <w:rFonts w:ascii="Times New Roman" w:hAnsi="Times New Roman" w:cs="Times New Roman"/>
                <w:b/>
                <w:bCs/>
                <w:color w:val="auto"/>
                <w:u w:val="none" w:color="auto"/>
              </w:rPr>
            </w:pPr>
            <w:r>
              <w:rPr>
                <w:rFonts w:hint="default" w:ascii="Times New Roman" w:hAnsi="Times New Roman" w:cs="Times New Roman"/>
                <w:b/>
                <w:bCs/>
                <w:color w:val="auto"/>
                <w:u w:val="none" w:color="auto"/>
              </w:rPr>
              <w:t>（1）火灾风险防范措施</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为了预防火灾，项目除需按照各种规范要求安装消防设施外，还应当采取以下有效的防范措施：</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A.</w:t>
            </w:r>
            <w:r>
              <w:rPr>
                <w:rFonts w:ascii="Times New Roman" w:hAnsi="Times New Roman" w:cs="Times New Roman"/>
                <w:color w:val="auto"/>
                <w:u w:val="none" w:color="auto"/>
              </w:rPr>
              <w:t>室内装修尽量采用非燃烧材料，这是阻止火势蔓延的一项重要措施。</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B.</w:t>
            </w:r>
            <w:r>
              <w:rPr>
                <w:rFonts w:ascii="Times New Roman" w:hAnsi="Times New Roman" w:cs="Times New Roman"/>
                <w:color w:val="auto"/>
                <w:u w:val="none" w:color="auto"/>
              </w:rPr>
              <w:t>加强对建筑电气的漏电保护，在技术上可在建筑物电源进线处设计安装带漏电保护功能的熔断器。</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C.</w:t>
            </w:r>
            <w:r>
              <w:rPr>
                <w:rFonts w:ascii="Times New Roman" w:hAnsi="Times New Roman" w:cs="Times New Roman"/>
                <w:color w:val="auto"/>
                <w:u w:val="none" w:color="auto"/>
              </w:rPr>
              <w:t>加强用电</w:t>
            </w:r>
            <w:r>
              <w:rPr>
                <w:rFonts w:hint="default" w:ascii="Times New Roman" w:hAnsi="Times New Roman" w:cs="Times New Roman"/>
                <w:color w:val="auto"/>
                <w:u w:val="none" w:color="auto"/>
              </w:rPr>
              <w:t>、</w:t>
            </w:r>
            <w:r>
              <w:rPr>
                <w:rFonts w:ascii="Times New Roman" w:hAnsi="Times New Roman" w:cs="Times New Roman"/>
                <w:color w:val="auto"/>
                <w:u w:val="none" w:color="auto"/>
              </w:rPr>
              <w:t>用气管理，对使用时间长的电器设备、炊具设备，要及时更换或维修。</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D.</w:t>
            </w:r>
            <w:r>
              <w:rPr>
                <w:rFonts w:ascii="Times New Roman" w:hAnsi="Times New Roman" w:cs="Times New Roman"/>
                <w:color w:val="auto"/>
                <w:u w:val="none" w:color="auto"/>
              </w:rPr>
              <w:t>定期对电气线路进行检测，发现隐患及时消除。</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E.</w:t>
            </w:r>
            <w:r>
              <w:rPr>
                <w:rFonts w:ascii="Times New Roman" w:hAnsi="Times New Roman" w:cs="Times New Roman"/>
                <w:color w:val="auto"/>
                <w:u w:val="none" w:color="auto"/>
              </w:rPr>
              <w:t>加强宣传教育，加强</w:t>
            </w:r>
            <w:r>
              <w:rPr>
                <w:rFonts w:hint="default" w:ascii="Times New Roman" w:hAnsi="Times New Roman" w:cs="Times New Roman"/>
                <w:color w:val="auto"/>
                <w:u w:val="none" w:color="auto"/>
              </w:rPr>
              <w:t>工作人员</w:t>
            </w:r>
            <w:r>
              <w:rPr>
                <w:rFonts w:ascii="Times New Roman" w:hAnsi="Times New Roman" w:cs="Times New Roman"/>
                <w:color w:val="auto"/>
                <w:u w:val="none" w:color="auto"/>
              </w:rPr>
              <w:t>防火教育，</w:t>
            </w:r>
            <w:r>
              <w:rPr>
                <w:rFonts w:hint="default" w:ascii="Times New Roman" w:hAnsi="Times New Roman" w:cs="Times New Roman"/>
                <w:color w:val="auto"/>
                <w:u w:val="none" w:color="auto"/>
              </w:rPr>
              <w:t>设置防火通道示意图，</w:t>
            </w:r>
            <w:r>
              <w:rPr>
                <w:rFonts w:ascii="Times New Roman" w:hAnsi="Times New Roman" w:cs="Times New Roman"/>
                <w:color w:val="auto"/>
                <w:u w:val="none" w:color="auto"/>
              </w:rPr>
              <w:t>提高</w:t>
            </w:r>
            <w:r>
              <w:rPr>
                <w:rFonts w:hint="default" w:ascii="Times New Roman" w:hAnsi="Times New Roman" w:cs="Times New Roman"/>
                <w:color w:val="auto"/>
                <w:u w:val="none" w:color="auto"/>
              </w:rPr>
              <w:t>客人</w:t>
            </w:r>
            <w:r>
              <w:rPr>
                <w:rFonts w:ascii="Times New Roman" w:hAnsi="Times New Roman" w:cs="Times New Roman"/>
                <w:color w:val="auto"/>
                <w:u w:val="none" w:color="auto"/>
              </w:rPr>
              <w:t>防范意识。</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F.</w:t>
            </w:r>
            <w:r>
              <w:rPr>
                <w:rFonts w:ascii="Times New Roman" w:hAnsi="Times New Roman" w:cs="Times New Roman"/>
                <w:color w:val="auto"/>
                <w:u w:val="none" w:color="auto"/>
              </w:rPr>
              <w:t>设</w:t>
            </w:r>
            <w:r>
              <w:rPr>
                <w:rFonts w:hint="default" w:ascii="Times New Roman" w:hAnsi="Times New Roman" w:cs="Times New Roman"/>
                <w:color w:val="auto"/>
                <w:u w:val="none" w:color="auto"/>
              </w:rPr>
              <w:t>置</w:t>
            </w:r>
            <w:r>
              <w:rPr>
                <w:rFonts w:ascii="Times New Roman" w:hAnsi="Times New Roman" w:cs="Times New Roman"/>
                <w:color w:val="auto"/>
                <w:u w:val="none" w:color="auto"/>
              </w:rPr>
              <w:t>应急电源和消防楼梯，并应经常检查确保安全通道的畅通。</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G.</w:t>
            </w:r>
            <w:r>
              <w:rPr>
                <w:rFonts w:ascii="Times New Roman" w:hAnsi="Times New Roman" w:cs="Times New Roman"/>
                <w:color w:val="auto"/>
                <w:u w:val="none" w:color="auto"/>
              </w:rPr>
              <w:t>完善设施加强保养维护。在消防设计、布局方面要防患于未然，严格按照消防法的规定</w:t>
            </w:r>
            <w:r>
              <w:rPr>
                <w:rFonts w:hint="default" w:ascii="Times New Roman" w:hAnsi="Times New Roman" w:cs="Times New Roman"/>
                <w:color w:val="auto"/>
                <w:u w:val="none" w:color="auto"/>
              </w:rPr>
              <w:t>，</w:t>
            </w:r>
            <w:r>
              <w:rPr>
                <w:rFonts w:ascii="Times New Roman" w:hAnsi="Times New Roman" w:cs="Times New Roman"/>
                <w:color w:val="auto"/>
                <w:u w:val="none" w:color="auto"/>
              </w:rPr>
              <w:t>消防栓、消防水管、消防水源、逃生通道、喷淋设施、烟感感应装置、监控装置等不可或缺并加强管理，做到出现火险自救，避免灾难发生。</w:t>
            </w:r>
          </w:p>
          <w:p>
            <w:pPr>
              <w:ind w:firstLine="482"/>
              <w:rPr>
                <w:rFonts w:ascii="Times New Roman" w:hAnsi="Times New Roman" w:cs="Times New Roman"/>
                <w:b/>
                <w:bCs/>
                <w:color w:val="auto"/>
                <w:u w:val="none" w:color="auto"/>
              </w:rPr>
            </w:pPr>
            <w:r>
              <w:rPr>
                <w:rFonts w:hint="default" w:ascii="Times New Roman" w:hAnsi="Times New Roman" w:cs="Times New Roman"/>
                <w:b/>
                <w:bCs/>
                <w:color w:val="auto"/>
                <w:u w:val="none" w:color="auto"/>
              </w:rPr>
              <w:t>（2）污水事故风险防范措施</w:t>
            </w:r>
          </w:p>
          <w:p>
            <w:pPr>
              <w:ind w:firstLine="480"/>
              <w:rPr>
                <w:rFonts w:ascii="Times New Roman" w:hAnsi="Times New Roman" w:cs="Times New Roman"/>
                <w:color w:val="auto"/>
                <w:u w:val="none" w:color="auto"/>
              </w:rPr>
            </w:pPr>
            <w:r>
              <w:rPr>
                <w:rFonts w:ascii="Times New Roman" w:hAnsi="Times New Roman" w:cs="Times New Roman"/>
                <w:color w:val="auto"/>
                <w:u w:val="none" w:color="auto"/>
              </w:rPr>
              <w:t>当因设备、管件更换，或其它原因，</w:t>
            </w:r>
            <w:r>
              <w:rPr>
                <w:rFonts w:hint="default" w:ascii="Times New Roman" w:hAnsi="Times New Roman" w:cs="Times New Roman"/>
                <w:color w:val="auto"/>
                <w:u w:val="none" w:color="auto"/>
              </w:rPr>
              <w:t>导致废</w:t>
            </w:r>
            <w:r>
              <w:rPr>
                <w:rFonts w:ascii="Times New Roman" w:hAnsi="Times New Roman" w:cs="Times New Roman"/>
                <w:color w:val="auto"/>
                <w:u w:val="none" w:color="auto"/>
              </w:rPr>
              <w:t>水处理设施不能正常</w:t>
            </w:r>
            <w:r>
              <w:rPr>
                <w:rFonts w:hint="default" w:ascii="Times New Roman" w:hAnsi="Times New Roman" w:cs="Times New Roman"/>
                <w:color w:val="auto"/>
                <w:u w:val="none" w:color="auto"/>
              </w:rPr>
              <w:t>运转</w:t>
            </w:r>
            <w:r>
              <w:rPr>
                <w:rFonts w:ascii="Times New Roman" w:hAnsi="Times New Roman" w:cs="Times New Roman"/>
                <w:color w:val="auto"/>
                <w:u w:val="none" w:color="auto"/>
              </w:rPr>
              <w:t>、不能达到预期处理效果时，</w:t>
            </w:r>
            <w:r>
              <w:rPr>
                <w:rFonts w:hint="default" w:ascii="Times New Roman" w:hAnsi="Times New Roman" w:cs="Times New Roman"/>
                <w:color w:val="auto"/>
                <w:u w:val="none" w:color="auto"/>
              </w:rPr>
              <w:t>直接外排至周边地表水环境，将</w:t>
            </w:r>
            <w:r>
              <w:rPr>
                <w:rFonts w:ascii="Times New Roman" w:hAnsi="Times New Roman" w:cs="Times New Roman"/>
                <w:color w:val="auto"/>
                <w:u w:val="none" w:color="auto"/>
              </w:rPr>
              <w:t>对</w:t>
            </w:r>
            <w:r>
              <w:rPr>
                <w:rFonts w:hint="default" w:ascii="Times New Roman" w:hAnsi="Times New Roman" w:cs="Times New Roman"/>
                <w:color w:val="auto"/>
                <w:u w:val="none" w:color="auto"/>
              </w:rPr>
              <w:t>其</w:t>
            </w:r>
            <w:r>
              <w:rPr>
                <w:rFonts w:ascii="Times New Roman" w:hAnsi="Times New Roman" w:cs="Times New Roman"/>
                <w:color w:val="auto"/>
                <w:u w:val="none" w:color="auto"/>
              </w:rPr>
              <w:t>造成污染。为防止这种情况出现，本环评要求：</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①</w:t>
            </w:r>
            <w:r>
              <w:rPr>
                <w:rFonts w:hint="eastAsia" w:cs="Times New Roman"/>
                <w:i w:val="0"/>
                <w:iCs w:val="0"/>
                <w:color w:val="000000"/>
                <w:szCs w:val="24"/>
                <w:u w:val="none" w:color="auto"/>
                <w:lang w:val="en-US" w:eastAsia="zh-CN"/>
              </w:rPr>
              <w:t>项目</w:t>
            </w:r>
            <w:r>
              <w:rPr>
                <w:rFonts w:hint="default" w:ascii="Times New Roman" w:hAnsi="Times New Roman" w:cs="Times New Roman"/>
                <w:i w:val="0"/>
                <w:iCs w:val="0"/>
                <w:color w:val="000000"/>
                <w:szCs w:val="24"/>
                <w:u w:val="none" w:color="auto"/>
              </w:rPr>
              <w:t>用于消纳土地浇灌用水量为</w:t>
            </w:r>
            <w:r>
              <w:rPr>
                <w:rFonts w:hint="eastAsia" w:cs="Times New Roman"/>
                <w:color w:val="auto"/>
                <w:sz w:val="24"/>
                <w:szCs w:val="24"/>
                <w:u w:val="none" w:color="auto"/>
                <w:lang w:val="en-US" w:eastAsia="zh-CN"/>
              </w:rPr>
              <w:t>30.5</w:t>
            </w:r>
            <w:r>
              <w:rPr>
                <w:rFonts w:hint="default" w:ascii="Times New Roman" w:hAnsi="Times New Roman" w:cs="Times New Roman"/>
                <w:color w:val="auto"/>
                <w:sz w:val="24"/>
                <w:szCs w:val="24"/>
                <w:u w:val="none" w:color="auto"/>
                <w:lang w:val="en-US" w:eastAsia="zh-CN"/>
              </w:rPr>
              <w:t>/d</w:t>
            </w:r>
            <w:r>
              <w:rPr>
                <w:rFonts w:hint="default" w:ascii="Times New Roman" w:hAnsi="Times New Roman" w:cs="Times New Roman"/>
                <w:caps/>
                <w:color w:val="auto"/>
                <w:sz w:val="24"/>
                <w:szCs w:val="24"/>
                <w:u w:val="none" w:color="auto"/>
                <w:lang w:eastAsia="zh-CN"/>
              </w:rPr>
              <w:t>（</w:t>
            </w:r>
            <w:r>
              <w:rPr>
                <w:rFonts w:hint="eastAsia" w:cs="Times New Roman"/>
                <w:caps/>
                <w:color w:val="auto"/>
                <w:sz w:val="24"/>
                <w:szCs w:val="24"/>
                <w:u w:val="none" w:color="auto"/>
                <w:lang w:val="en-US" w:eastAsia="zh-CN"/>
              </w:rPr>
              <w:t>10978</w:t>
            </w:r>
            <w:r>
              <w:rPr>
                <w:rFonts w:hint="default" w:ascii="Times New Roman" w:hAnsi="Times New Roman" w:cs="Times New Roman"/>
                <w:color w:val="auto"/>
                <w:sz w:val="24"/>
                <w:szCs w:val="24"/>
                <w:u w:val="none" w:color="auto"/>
                <w:lang w:val="en-US"/>
              </w:rPr>
              <w:t>m</w:t>
            </w:r>
            <w:r>
              <w:rPr>
                <w:rFonts w:hint="default" w:ascii="Times New Roman" w:hAnsi="Times New Roman" w:cs="Times New Roman"/>
                <w:color w:val="auto"/>
                <w:sz w:val="24"/>
                <w:szCs w:val="24"/>
                <w:u w:val="none" w:color="auto"/>
                <w:vertAlign w:val="superscript"/>
                <w:lang w:val="en-US"/>
              </w:rPr>
              <w:t>3</w:t>
            </w:r>
            <w:r>
              <w:rPr>
                <w:rFonts w:hint="default" w:ascii="Times New Roman" w:hAnsi="Times New Roman" w:cs="Times New Roman"/>
                <w:color w:val="auto"/>
                <w:sz w:val="24"/>
                <w:szCs w:val="24"/>
                <w:u w:val="none" w:color="auto"/>
                <w:lang w:val="en-US"/>
              </w:rPr>
              <w:t>/a</w:t>
            </w:r>
            <w:r>
              <w:rPr>
                <w:rFonts w:hint="default" w:ascii="Times New Roman" w:hAnsi="Times New Roman" w:cs="Times New Roman"/>
                <w:caps/>
                <w:color w:val="auto"/>
                <w:sz w:val="24"/>
                <w:szCs w:val="24"/>
                <w:u w:val="none" w:color="auto"/>
                <w:lang w:eastAsia="zh-CN"/>
              </w:rPr>
              <w:t>）</w:t>
            </w:r>
            <w:r>
              <w:rPr>
                <w:rFonts w:hint="eastAsia" w:cs="Times New Roman"/>
                <w:i w:val="0"/>
                <w:iCs w:val="0"/>
                <w:color w:val="000000"/>
                <w:szCs w:val="24"/>
                <w:u w:val="none" w:color="auto"/>
                <w:lang w:eastAsia="zh-CN"/>
              </w:rPr>
              <w:t>，</w:t>
            </w:r>
            <w:r>
              <w:rPr>
                <w:rFonts w:hint="default" w:ascii="Times New Roman" w:hAnsi="Times New Roman" w:cs="Times New Roman"/>
                <w:i w:val="0"/>
                <w:iCs w:val="0"/>
                <w:color w:val="000000"/>
                <w:szCs w:val="24"/>
                <w:highlight w:val="none"/>
                <w:u w:val="none" w:color="auto"/>
              </w:rPr>
              <w:t>考</w:t>
            </w:r>
            <w:r>
              <w:rPr>
                <w:rFonts w:hint="default" w:ascii="Times New Roman" w:hAnsi="Times New Roman" w:cs="Times New Roman"/>
                <w:i w:val="0"/>
                <w:iCs w:val="0"/>
                <w:color w:val="000000"/>
                <w:szCs w:val="24"/>
                <w:u w:val="none" w:color="auto"/>
              </w:rPr>
              <w:t>虑雨季不需要灌溉，</w:t>
            </w:r>
            <w:r>
              <w:rPr>
                <w:rFonts w:hint="default" w:ascii="Times New Roman" w:hAnsi="Times New Roman" w:cs="Times New Roman"/>
                <w:i w:val="0"/>
                <w:iCs w:val="0"/>
                <w:color w:val="000000"/>
                <w:szCs w:val="24"/>
                <w:highlight w:val="none"/>
                <w:u w:val="none" w:color="auto"/>
              </w:rPr>
              <w:t>项目产生废水将暂存于</w:t>
            </w:r>
            <w:r>
              <w:rPr>
                <w:rFonts w:hint="default" w:ascii="Times New Roman" w:hAnsi="Times New Roman" w:cs="Times New Roman"/>
                <w:highlight w:val="none"/>
                <w:u w:val="none" w:color="auto"/>
                <w:lang w:val="en-US" w:eastAsia="zh-CN"/>
              </w:rPr>
              <w:t>清水</w:t>
            </w:r>
            <w:r>
              <w:rPr>
                <w:rFonts w:hint="default" w:ascii="Times New Roman" w:hAnsi="Times New Roman" w:cs="Times New Roman"/>
                <w:highlight w:val="none"/>
                <w:u w:val="none" w:color="auto"/>
                <w:lang w:eastAsia="zh-CN"/>
              </w:rPr>
              <w:t>池</w:t>
            </w:r>
            <w:r>
              <w:rPr>
                <w:rFonts w:hint="default" w:ascii="Times New Roman" w:hAnsi="Times New Roman" w:cs="Times New Roman"/>
                <w:i w:val="0"/>
                <w:iCs w:val="0"/>
                <w:color w:val="000000"/>
                <w:szCs w:val="24"/>
                <w:highlight w:val="none"/>
                <w:u w:val="none" w:color="auto"/>
              </w:rPr>
              <w:t>不外排，其中雨季按</w:t>
            </w:r>
            <w:r>
              <w:rPr>
                <w:rFonts w:hint="eastAsia" w:cs="Times New Roman"/>
                <w:i w:val="0"/>
                <w:iCs w:val="0"/>
                <w:color w:val="000000"/>
                <w:szCs w:val="24"/>
                <w:highlight w:val="none"/>
                <w:u w:val="none" w:color="auto"/>
                <w:lang w:val="en-US" w:eastAsia="zh-CN"/>
              </w:rPr>
              <w:t>10</w:t>
            </w:r>
            <w:r>
              <w:rPr>
                <w:rFonts w:hint="default" w:ascii="Times New Roman" w:hAnsi="Times New Roman" w:cs="Times New Roman"/>
                <w:i w:val="0"/>
                <w:iCs w:val="0"/>
                <w:color w:val="000000"/>
                <w:szCs w:val="24"/>
                <w:highlight w:val="none"/>
                <w:u w:val="none" w:color="auto"/>
              </w:rPr>
              <w:t>天考虑</w:t>
            </w:r>
            <w:r>
              <w:rPr>
                <w:rFonts w:hint="default" w:ascii="Times New Roman" w:hAnsi="Times New Roman" w:cs="Times New Roman"/>
                <w:i w:val="0"/>
                <w:iCs w:val="0"/>
                <w:color w:val="000000"/>
                <w:szCs w:val="24"/>
                <w:highlight w:val="none"/>
                <w:u w:val="none" w:color="auto"/>
                <w:lang w:eastAsia="zh-CN"/>
              </w:rPr>
              <w:t>，</w:t>
            </w:r>
            <w:r>
              <w:rPr>
                <w:rFonts w:hint="eastAsia" w:cs="Times New Roman"/>
                <w:i w:val="0"/>
                <w:iCs w:val="0"/>
                <w:color w:val="000000"/>
                <w:szCs w:val="24"/>
                <w:highlight w:val="none"/>
                <w:u w:val="none" w:color="auto"/>
                <w:lang w:val="en-US" w:eastAsia="zh-CN"/>
              </w:rPr>
              <w:t>则项目</w:t>
            </w:r>
            <w:r>
              <w:rPr>
                <w:rFonts w:hint="default" w:ascii="Times New Roman" w:hAnsi="Times New Roman" w:cs="Times New Roman"/>
                <w:i w:val="0"/>
                <w:iCs w:val="0"/>
                <w:color w:val="000000"/>
                <w:szCs w:val="24"/>
                <w:highlight w:val="none"/>
                <w:u w:val="none" w:color="auto"/>
                <w:lang w:eastAsia="zh-CN"/>
              </w:rPr>
              <w:t>废水量为</w:t>
            </w:r>
            <w:r>
              <w:rPr>
                <w:rFonts w:hint="eastAsia" w:cs="Times New Roman"/>
                <w:i w:val="0"/>
                <w:iCs w:val="0"/>
                <w:color w:val="000000"/>
                <w:szCs w:val="24"/>
                <w:highlight w:val="none"/>
                <w:u w:val="none" w:color="auto"/>
                <w:lang w:val="en-US" w:eastAsia="zh-CN"/>
              </w:rPr>
              <w:t>305</w:t>
            </w:r>
            <w:r>
              <w:rPr>
                <w:rFonts w:hint="default" w:ascii="Times New Roman" w:hAnsi="Times New Roman" w:cs="Times New Roman"/>
                <w:i w:val="0"/>
                <w:iCs w:val="0"/>
                <w:color w:val="000000"/>
                <w:szCs w:val="24"/>
                <w:highlight w:val="none"/>
                <w:u w:val="none" w:color="auto"/>
                <w:lang w:val="en-US" w:eastAsia="zh-CN"/>
              </w:rPr>
              <w:t>m</w:t>
            </w:r>
            <w:r>
              <w:rPr>
                <w:rFonts w:hint="default" w:ascii="Times New Roman" w:hAnsi="Times New Roman" w:cs="Times New Roman"/>
                <w:i w:val="0"/>
                <w:iCs w:val="0"/>
                <w:color w:val="000000"/>
                <w:szCs w:val="24"/>
                <w:highlight w:val="none"/>
                <w:u w:val="none" w:color="auto"/>
                <w:vertAlign w:val="superscript"/>
                <w:lang w:val="en-US" w:eastAsia="zh-CN"/>
              </w:rPr>
              <w:t>3</w:t>
            </w:r>
            <w:r>
              <w:rPr>
                <w:rFonts w:hint="default" w:ascii="Times New Roman" w:hAnsi="Times New Roman" w:cs="Times New Roman"/>
                <w:i w:val="0"/>
                <w:iCs w:val="0"/>
                <w:color w:val="000000"/>
                <w:szCs w:val="24"/>
                <w:highlight w:val="none"/>
                <w:u w:val="none" w:color="auto"/>
                <w:lang w:val="en-US" w:eastAsia="zh-CN"/>
              </w:rPr>
              <w:t>，本次变更</w:t>
            </w:r>
            <w:r>
              <w:rPr>
                <w:rFonts w:hint="eastAsia" w:cs="Times New Roman"/>
                <w:i w:val="0"/>
                <w:iCs w:val="0"/>
                <w:color w:val="000000"/>
                <w:szCs w:val="24"/>
                <w:highlight w:val="none"/>
                <w:u w:val="none" w:color="auto"/>
                <w:lang w:val="en-US" w:eastAsia="zh-CN"/>
              </w:rPr>
              <w:t>设置了</w:t>
            </w:r>
            <w:r>
              <w:rPr>
                <w:rFonts w:hint="default" w:ascii="Times New Roman" w:hAnsi="Times New Roman" w:cs="Times New Roman"/>
                <w:i w:val="0"/>
                <w:iCs w:val="0"/>
                <w:color w:val="000000"/>
                <w:szCs w:val="24"/>
                <w:highlight w:val="none"/>
                <w:u w:val="none" w:color="auto"/>
                <w:lang w:val="en-US" w:eastAsia="zh-CN"/>
              </w:rPr>
              <w:t>清水池</w:t>
            </w:r>
            <w:r>
              <w:rPr>
                <w:rFonts w:hint="eastAsia" w:cs="Times New Roman"/>
                <w:i w:val="0"/>
                <w:iCs w:val="0"/>
                <w:color w:val="000000"/>
                <w:szCs w:val="24"/>
                <w:highlight w:val="none"/>
                <w:u w:val="none" w:color="auto"/>
                <w:lang w:val="en-US" w:eastAsia="zh-CN"/>
              </w:rPr>
              <w:t>，</w:t>
            </w:r>
            <w:r>
              <w:rPr>
                <w:rFonts w:hint="default" w:ascii="Times New Roman" w:hAnsi="Times New Roman" w:cs="Times New Roman"/>
                <w:i w:val="0"/>
                <w:iCs w:val="0"/>
                <w:color w:val="000000"/>
                <w:szCs w:val="24"/>
                <w:highlight w:val="none"/>
                <w:u w:val="none" w:color="auto"/>
                <w:lang w:val="en-US" w:eastAsia="zh-CN"/>
              </w:rPr>
              <w:t>容积设为200m</w:t>
            </w:r>
            <w:r>
              <w:rPr>
                <w:rFonts w:hint="default" w:ascii="Times New Roman" w:hAnsi="Times New Roman" w:cs="Times New Roman"/>
                <w:i w:val="0"/>
                <w:iCs w:val="0"/>
                <w:color w:val="000000"/>
                <w:szCs w:val="24"/>
                <w:highlight w:val="none"/>
                <w:u w:val="none" w:color="auto"/>
                <w:vertAlign w:val="superscript"/>
                <w:lang w:val="en-US" w:eastAsia="zh-CN"/>
              </w:rPr>
              <w:t>3</w:t>
            </w:r>
            <w:r>
              <w:rPr>
                <w:rFonts w:hint="default" w:ascii="Times New Roman" w:hAnsi="Times New Roman" w:cs="Times New Roman"/>
                <w:i w:val="0"/>
                <w:iCs w:val="0"/>
                <w:color w:val="000000"/>
                <w:szCs w:val="24"/>
                <w:highlight w:val="none"/>
                <w:u w:val="none" w:color="auto"/>
                <w:lang w:val="en-US" w:eastAsia="zh-CN"/>
              </w:rPr>
              <w:t>，并设置切换阀门，</w:t>
            </w:r>
            <w:r>
              <w:rPr>
                <w:rFonts w:hint="default" w:ascii="Times New Roman" w:hAnsi="Times New Roman" w:cs="Times New Roman"/>
                <w:highlight w:val="none"/>
                <w:u w:val="none" w:color="auto"/>
              </w:rPr>
              <w:t>在无需农灌</w:t>
            </w:r>
            <w:r>
              <w:rPr>
                <w:rFonts w:hint="default" w:ascii="Times New Roman" w:hAnsi="Times New Roman" w:cs="Times New Roman"/>
                <w:highlight w:val="none"/>
                <w:u w:val="none" w:color="auto"/>
                <w:lang w:val="en-US" w:eastAsia="zh-CN"/>
              </w:rPr>
              <w:t>以及事故状态下</w:t>
            </w:r>
            <w:r>
              <w:rPr>
                <w:rFonts w:hint="default" w:ascii="Times New Roman" w:hAnsi="Times New Roman" w:cs="Times New Roman"/>
                <w:highlight w:val="none"/>
                <w:u w:val="none" w:color="auto"/>
              </w:rPr>
              <w:t>时</w:t>
            </w:r>
            <w:r>
              <w:rPr>
                <w:rFonts w:hint="default" w:ascii="Times New Roman" w:hAnsi="Times New Roman" w:cs="Times New Roman"/>
                <w:highlight w:val="none"/>
                <w:u w:val="none" w:color="auto"/>
                <w:lang w:eastAsia="zh-CN"/>
              </w:rPr>
              <w:t>，废水可以储存在</w:t>
            </w:r>
            <w:r>
              <w:rPr>
                <w:rFonts w:hint="default" w:ascii="Times New Roman" w:hAnsi="Times New Roman" w:cs="Times New Roman"/>
                <w:highlight w:val="none"/>
                <w:u w:val="none" w:color="auto"/>
                <w:lang w:val="en-US" w:eastAsia="zh-CN"/>
              </w:rPr>
              <w:t>厂内清</w:t>
            </w:r>
            <w:r>
              <w:rPr>
                <w:rFonts w:hint="default" w:ascii="Times New Roman" w:hAnsi="Times New Roman" w:cs="Times New Roman"/>
                <w:highlight w:val="none"/>
                <w:u w:val="none" w:color="auto"/>
                <w:lang w:eastAsia="zh-CN"/>
              </w:rPr>
              <w:t>水池内</w:t>
            </w:r>
            <w:r>
              <w:rPr>
                <w:rFonts w:hint="eastAsia" w:cs="Times New Roman"/>
                <w:highlight w:val="none"/>
                <w:u w:val="none" w:color="auto"/>
                <w:lang w:eastAsia="zh-CN"/>
              </w:rPr>
              <w:t>，</w:t>
            </w:r>
            <w:r>
              <w:rPr>
                <w:rFonts w:hint="eastAsia" w:ascii="Times New Roman" w:hAnsi="Times New Roman" w:cs="Times New Roman"/>
                <w:highlight w:val="none"/>
                <w:u w:val="none" w:color="auto"/>
                <w:lang w:val="en-US" w:eastAsia="zh-CN"/>
              </w:rPr>
              <w:t>并根据业主提供的资料可知，灌溉区域现有1个500立方的灌溉水池，项目废水处理达标后由清水池通过水泵泵至灌溉水池中，雨季时同样可将废水</w:t>
            </w:r>
            <w:r>
              <w:rPr>
                <w:rFonts w:hint="eastAsia" w:cs="Times New Roman"/>
                <w:highlight w:val="none"/>
                <w:u w:val="none" w:color="auto"/>
                <w:lang w:val="en-US" w:eastAsia="zh-CN"/>
              </w:rPr>
              <w:t>应急</w:t>
            </w:r>
            <w:r>
              <w:rPr>
                <w:rFonts w:hint="eastAsia" w:ascii="Times New Roman" w:hAnsi="Times New Roman" w:cs="Times New Roman"/>
                <w:highlight w:val="none"/>
                <w:u w:val="none" w:color="auto"/>
                <w:lang w:val="en-US" w:eastAsia="zh-CN"/>
              </w:rPr>
              <w:t>储存于灌溉水池中</w:t>
            </w:r>
            <w:r>
              <w:rPr>
                <w:rFonts w:hint="eastAsia" w:cs="Times New Roman"/>
                <w:highlight w:val="none"/>
                <w:u w:val="none" w:color="auto"/>
                <w:lang w:val="en-US" w:eastAsia="zh-CN"/>
              </w:rPr>
              <w:t>，可满足雨季生产废水储存的需求</w:t>
            </w:r>
            <w:r>
              <w:rPr>
                <w:rFonts w:hint="eastAsia" w:cs="Times New Roman"/>
                <w:sz w:val="24"/>
                <w:szCs w:val="24"/>
                <w:u w:val="none" w:color="auto"/>
                <w:lang w:val="en-US" w:eastAsia="zh-CN"/>
              </w:rPr>
              <w:t>。</w:t>
            </w:r>
          </w:p>
          <w:p>
            <w:pPr>
              <w:ind w:firstLine="480"/>
              <w:rPr>
                <w:rFonts w:ascii="Times New Roman" w:hAnsi="Times New Roman" w:cs="Times New Roman"/>
                <w:color w:val="auto"/>
                <w:u w:val="none" w:color="auto"/>
              </w:rPr>
            </w:pPr>
            <w:r>
              <w:rPr>
                <w:rFonts w:hint="default" w:ascii="Times New Roman" w:hAnsi="Times New Roman" w:cs="Times New Roman"/>
                <w:color w:val="auto"/>
                <w:u w:val="none" w:color="auto"/>
                <w:lang w:val="en-US"/>
              </w:rPr>
              <w:t>②</w:t>
            </w:r>
            <w:r>
              <w:rPr>
                <w:rFonts w:hint="default" w:ascii="Times New Roman" w:hAnsi="Times New Roman" w:cs="Times New Roman"/>
                <w:color w:val="auto"/>
                <w:u w:val="none" w:color="auto"/>
              </w:rPr>
              <w:t>废</w:t>
            </w:r>
            <w:r>
              <w:rPr>
                <w:rFonts w:ascii="Times New Roman" w:hAnsi="Times New Roman" w:cs="Times New Roman"/>
                <w:color w:val="auto"/>
                <w:u w:val="none" w:color="auto"/>
              </w:rPr>
              <w:t>水</w:t>
            </w:r>
            <w:r>
              <w:rPr>
                <w:rFonts w:hint="default" w:ascii="Times New Roman" w:hAnsi="Times New Roman" w:cs="Times New Roman"/>
                <w:color w:val="auto"/>
                <w:u w:val="none" w:color="auto"/>
              </w:rPr>
              <w:t>处理系统需接入场内备用电源（</w:t>
            </w:r>
            <w:r>
              <w:rPr>
                <w:rFonts w:hint="default" w:ascii="Times New Roman" w:hAnsi="Times New Roman" w:cs="Times New Roman"/>
                <w:color w:val="auto"/>
                <w:u w:val="none" w:color="auto"/>
                <w:lang w:val="en-US" w:eastAsia="zh-CN"/>
              </w:rPr>
              <w:t>备用柴油</w:t>
            </w:r>
            <w:r>
              <w:rPr>
                <w:rFonts w:hint="default" w:ascii="Times New Roman" w:hAnsi="Times New Roman" w:cs="Times New Roman"/>
                <w:color w:val="auto"/>
                <w:u w:val="none" w:color="auto"/>
              </w:rPr>
              <w:t>发电机），一旦停电，需启动发电机以保证废水处理系统正常运行</w:t>
            </w:r>
            <w:r>
              <w:rPr>
                <w:rFonts w:ascii="Times New Roman" w:hAnsi="Times New Roman" w:cs="Times New Roman"/>
                <w:color w:val="auto"/>
                <w:u w:val="none" w:color="auto"/>
              </w:rPr>
              <w:t>；</w:t>
            </w:r>
          </w:p>
          <w:p>
            <w:p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rPr>
              <w:t>③</w:t>
            </w:r>
            <w:r>
              <w:rPr>
                <w:rFonts w:hint="default" w:ascii="Times New Roman" w:hAnsi="Times New Roman" w:cs="Times New Roman"/>
                <w:color w:val="auto"/>
                <w:u w:val="none" w:color="auto"/>
              </w:rPr>
              <w:t>废水处理主要设备均必须配置备用设备。一旦出现事故时，立即将废水排入事故池，不得直接外排。废水设备恢复正常运行后，必须将事故池中废水逐步泵出进入废水处理设备处理达标后</w:t>
            </w:r>
            <w:r>
              <w:rPr>
                <w:rFonts w:hint="default" w:ascii="Times New Roman" w:hAnsi="Times New Roman" w:cs="Times New Roman"/>
                <w:color w:val="auto"/>
                <w:u w:val="none" w:color="auto"/>
                <w:lang w:val="en-US" w:eastAsia="zh-CN"/>
              </w:rPr>
              <w:t>用于农灌</w:t>
            </w:r>
            <w:r>
              <w:rPr>
                <w:rFonts w:hint="default" w:ascii="Times New Roman" w:hAnsi="Times New Roman" w:cs="Times New Roman"/>
                <w:color w:val="auto"/>
                <w:u w:val="none" w:color="auto"/>
              </w:rPr>
              <w:t>。</w:t>
            </w:r>
          </w:p>
          <w:p>
            <w:pPr>
              <w:rPr>
                <w:rFonts w:hint="default" w:ascii="Times New Roman" w:hAnsi="Times New Roman" w:eastAsia="宋体" w:cs="Times New Roman"/>
                <w:u w:val="none" w:color="auto"/>
                <w:lang w:val="en-US" w:eastAsia="zh-CN"/>
              </w:rPr>
            </w:pPr>
            <w:r>
              <w:rPr>
                <w:rFonts w:hint="default" w:ascii="Times New Roman" w:hAnsi="Times New Roman" w:cs="Times New Roman"/>
                <w:u w:val="none" w:color="auto"/>
                <w:lang w:val="en-US" w:eastAsia="zh-CN"/>
              </w:rPr>
              <w:t>④一旦发生废水</w:t>
            </w:r>
            <w:r>
              <w:rPr>
                <w:rFonts w:hint="default" w:ascii="Times New Roman" w:hAnsi="Times New Roman" w:cs="Times New Roman"/>
                <w:color w:val="auto"/>
                <w:u w:val="none" w:color="auto"/>
                <w:lang w:val="en-US" w:eastAsia="zh-CN"/>
              </w:rPr>
              <w:t>灌溉管网破损、堵塞事件导致废水不正常灌溉，应立即通过切换阀门，停止废水输送出厂，并立即排查破损点、堵塞点，及时维修。</w:t>
            </w:r>
          </w:p>
          <w:p>
            <w:p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⑤</w:t>
            </w:r>
            <w:r>
              <w:rPr>
                <w:rFonts w:hint="default" w:ascii="Times New Roman" w:hAnsi="Times New Roman" w:cs="Times New Roman"/>
                <w:color w:val="auto"/>
                <w:u w:val="none" w:color="auto"/>
              </w:rPr>
              <w:t>在</w:t>
            </w:r>
            <w:r>
              <w:rPr>
                <w:rFonts w:hint="default" w:ascii="Times New Roman" w:hAnsi="Times New Roman" w:cs="Times New Roman"/>
                <w:color w:val="auto"/>
                <w:u w:val="none" w:color="auto"/>
                <w:lang w:val="en-US" w:eastAsia="zh-CN"/>
              </w:rPr>
              <w:t>较大</w:t>
            </w:r>
            <w:r>
              <w:rPr>
                <w:rFonts w:hint="default" w:ascii="Times New Roman" w:hAnsi="Times New Roman" w:cs="Times New Roman"/>
                <w:color w:val="auto"/>
                <w:u w:val="none" w:color="auto"/>
              </w:rPr>
              <w:t>事故发生时及时通知环保和水利、市政等有关部门，寻求各方面的帮助和支持。</w:t>
            </w:r>
          </w:p>
          <w:p>
            <w:pPr>
              <w:ind w:firstLine="482"/>
              <w:rPr>
                <w:rFonts w:ascii="Times New Roman" w:hAnsi="Times New Roman" w:cs="Times New Roman"/>
                <w:b/>
                <w:bCs/>
                <w:color w:val="auto"/>
                <w:u w:val="none" w:color="auto"/>
              </w:rPr>
            </w:pPr>
            <w:r>
              <w:rPr>
                <w:rFonts w:hint="default" w:ascii="Times New Roman" w:hAnsi="Times New Roman" w:cs="Times New Roman"/>
                <w:b/>
                <w:bCs/>
                <w:color w:val="auto"/>
                <w:u w:val="none" w:color="auto"/>
              </w:rPr>
              <w:t>（</w:t>
            </w:r>
            <w:r>
              <w:rPr>
                <w:rFonts w:hint="default" w:ascii="Times New Roman" w:hAnsi="Times New Roman" w:cs="Times New Roman"/>
                <w:b/>
                <w:bCs/>
                <w:color w:val="auto"/>
                <w:u w:val="none" w:color="auto"/>
                <w:lang w:val="en-US" w:eastAsia="zh-CN"/>
              </w:rPr>
              <w:t>3</w:t>
            </w:r>
            <w:r>
              <w:rPr>
                <w:rFonts w:hint="default" w:ascii="Times New Roman" w:hAnsi="Times New Roman" w:cs="Times New Roman"/>
                <w:b/>
                <w:bCs/>
                <w:color w:val="auto"/>
                <w:u w:val="none" w:color="auto"/>
              </w:rPr>
              <w:t>）</w:t>
            </w:r>
            <w:r>
              <w:rPr>
                <w:rFonts w:hint="default" w:ascii="Times New Roman" w:hAnsi="Times New Roman" w:cs="Times New Roman"/>
                <w:b/>
                <w:bCs/>
                <w:color w:val="auto"/>
                <w:u w:val="none" w:color="auto"/>
                <w:lang w:val="en-US" w:eastAsia="zh-CN"/>
              </w:rPr>
              <w:t>柴油泄露</w:t>
            </w:r>
            <w:r>
              <w:rPr>
                <w:rFonts w:hint="default" w:ascii="Times New Roman" w:hAnsi="Times New Roman" w:cs="Times New Roman"/>
                <w:b/>
                <w:bCs/>
                <w:color w:val="auto"/>
                <w:u w:val="none" w:color="auto"/>
              </w:rPr>
              <w:t>事故风险防范措施</w:t>
            </w:r>
          </w:p>
          <w:p>
            <w:pPr>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val="en-US"/>
              </w:rPr>
              <w:t>①</w:t>
            </w:r>
            <w:r>
              <w:rPr>
                <w:rFonts w:hint="default" w:ascii="Times New Roman" w:hAnsi="Times New Roman" w:cs="Times New Roman"/>
                <w:color w:val="auto"/>
                <w:u w:val="none" w:color="auto"/>
                <w:lang w:val="en-US" w:eastAsia="zh-CN"/>
              </w:rPr>
              <w:t>配电间内地面硬化，采取</w:t>
            </w:r>
            <w:r>
              <w:rPr>
                <w:rFonts w:hint="eastAsia" w:cs="Times New Roman"/>
                <w:color w:val="auto"/>
                <w:u w:val="none" w:color="auto"/>
                <w:lang w:val="en-US" w:eastAsia="zh-CN"/>
              </w:rPr>
              <w:t>地面</w:t>
            </w:r>
            <w:r>
              <w:rPr>
                <w:rFonts w:hint="default" w:ascii="Times New Roman" w:hAnsi="Times New Roman" w:cs="Times New Roman"/>
                <w:color w:val="auto"/>
                <w:u w:val="none" w:color="auto"/>
                <w:lang w:val="en-US" w:eastAsia="zh-CN"/>
              </w:rPr>
              <w:t>防渗措施</w:t>
            </w:r>
            <w:r>
              <w:rPr>
                <w:rFonts w:hint="eastAsia" w:cs="Times New Roman"/>
                <w:color w:val="auto"/>
                <w:u w:val="none" w:color="auto"/>
                <w:lang w:val="en-US" w:eastAsia="zh-CN"/>
              </w:rPr>
              <w:t>以及围堰，</w:t>
            </w:r>
            <w:r>
              <w:rPr>
                <w:rFonts w:hint="default" w:ascii="Times New Roman" w:hAnsi="Times New Roman" w:cs="Times New Roman"/>
                <w:color w:val="auto"/>
                <w:u w:val="none" w:color="auto"/>
                <w:lang w:val="en-US" w:eastAsia="zh-CN"/>
              </w:rPr>
              <w:t>由于暂存的柴油量较少，发生泄露事件可控制在配电间内，不会泄露出厂外，对环境影响较小</w:t>
            </w:r>
            <w:r>
              <w:rPr>
                <w:rFonts w:hint="default" w:ascii="Times New Roman" w:hAnsi="Times New Roman" w:cs="Times New Roman"/>
                <w:color w:val="auto"/>
                <w:u w:val="none" w:color="auto"/>
                <w:lang w:eastAsia="zh-CN"/>
              </w:rPr>
              <w:t>；</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rPr>
              <w:t>②</w:t>
            </w:r>
            <w:r>
              <w:rPr>
                <w:rFonts w:hint="default" w:ascii="Times New Roman" w:hAnsi="Times New Roman" w:cs="Times New Roman"/>
                <w:color w:val="auto"/>
                <w:u w:val="none" w:color="auto"/>
                <w:lang w:val="en-US" w:eastAsia="zh-CN"/>
              </w:rPr>
              <w:t>设置禁止明火警示牌，并安排专人定期巡查，检查设备的密闭性等；</w:t>
            </w:r>
          </w:p>
          <w:p>
            <w:pPr>
              <w:rPr>
                <w:rFonts w:hint="default" w:ascii="Times New Roman" w:hAnsi="Times New Roman" w:cs="Times New Roman"/>
                <w:u w:val="none" w:color="auto"/>
                <w:lang w:val="en-US" w:eastAsia="zh-CN"/>
              </w:rPr>
            </w:pPr>
            <w:r>
              <w:rPr>
                <w:rFonts w:hint="default" w:ascii="Times New Roman" w:hAnsi="Times New Roman" w:cs="Times New Roman"/>
                <w:u w:val="none" w:color="auto"/>
                <w:lang w:val="en-US" w:eastAsia="zh-CN"/>
              </w:rPr>
              <w:t>③在配电间内放置干粉灭火器、绝缘防护鞋等应急物资。</w:t>
            </w:r>
          </w:p>
          <w:p>
            <w:pPr>
              <w:bidi w:val="0"/>
              <w:rPr>
                <w:rFonts w:hint="default" w:ascii="Times New Roman" w:hAnsi="Times New Roman" w:cs="Times New Roman"/>
                <w:b/>
                <w:bCs/>
                <w:u w:val="none" w:color="auto"/>
                <w:lang w:val="en-US" w:eastAsia="zh-CN"/>
              </w:rPr>
            </w:pPr>
            <w:r>
              <w:rPr>
                <w:rFonts w:hint="default" w:ascii="Times New Roman" w:hAnsi="Times New Roman" w:cs="Times New Roman"/>
                <w:b/>
                <w:bCs/>
                <w:u w:val="none" w:color="auto"/>
                <w:lang w:val="en-US" w:eastAsia="zh-CN"/>
              </w:rPr>
              <w:t>（4）废气处理设施</w:t>
            </w:r>
            <w:r>
              <w:rPr>
                <w:rFonts w:hint="default" w:ascii="Times New Roman" w:hAnsi="Times New Roman" w:cs="Times New Roman"/>
                <w:b/>
                <w:bCs/>
                <w:color w:val="auto"/>
                <w:u w:val="none" w:color="auto"/>
              </w:rPr>
              <w:t>事故风险防范措施</w:t>
            </w:r>
          </w:p>
          <w:p>
            <w:pPr>
              <w:bidi w:val="0"/>
              <w:rPr>
                <w:rFonts w:hint="default" w:ascii="Times New Roman" w:hAnsi="Times New Roman" w:eastAsia="宋体" w:cs="Times New Roman"/>
                <w:u w:val="none" w:color="auto"/>
                <w:lang w:eastAsia="zh-CN"/>
              </w:rPr>
            </w:pPr>
            <w:r>
              <w:rPr>
                <w:rFonts w:hint="default" w:ascii="Times New Roman" w:hAnsi="Times New Roman" w:cs="Times New Roman"/>
                <w:color w:val="000000"/>
                <w:sz w:val="24"/>
                <w:u w:val="none" w:color="auto"/>
                <w:lang w:eastAsia="zh-CN"/>
              </w:rPr>
              <w:t>①</w:t>
            </w:r>
            <w:r>
              <w:rPr>
                <w:rFonts w:hint="default" w:ascii="Times New Roman" w:hAnsi="Times New Roman" w:cs="Times New Roman"/>
                <w:color w:val="000000"/>
                <w:sz w:val="24"/>
                <w:u w:val="none" w:color="auto"/>
              </w:rPr>
              <w:t>建议建设单位加强</w:t>
            </w:r>
            <w:r>
              <w:rPr>
                <w:rFonts w:hint="default" w:ascii="Times New Roman" w:hAnsi="Times New Roman" w:cs="Times New Roman"/>
                <w:color w:val="auto"/>
                <w:highlight w:val="none"/>
                <w:u w:val="none" w:color="auto"/>
                <w:lang w:val="en-US" w:eastAsia="zh-CN"/>
              </w:rPr>
              <w:t>锅炉</w:t>
            </w:r>
            <w:r>
              <w:rPr>
                <w:rFonts w:hint="default" w:ascii="Times New Roman" w:hAnsi="Times New Roman" w:eastAsia="宋体" w:cs="Times New Roman"/>
                <w:color w:val="auto"/>
                <w:highlight w:val="none"/>
                <w:u w:val="none" w:color="auto"/>
                <w:lang w:val="en-US" w:eastAsia="zh-CN"/>
              </w:rPr>
              <w:t>废气处理设施</w:t>
            </w:r>
            <w:r>
              <w:rPr>
                <w:rFonts w:hint="default" w:ascii="Times New Roman" w:hAnsi="Times New Roman" w:cs="Times New Roman"/>
                <w:color w:val="000000"/>
                <w:sz w:val="24"/>
                <w:u w:val="none" w:color="auto"/>
              </w:rPr>
              <w:t>巡视、检查管理，定期对设备进行保养、检修维护</w:t>
            </w:r>
            <w:r>
              <w:rPr>
                <w:rFonts w:hint="default" w:ascii="Times New Roman" w:hAnsi="Times New Roman" w:cs="Times New Roman"/>
                <w:color w:val="000000"/>
                <w:sz w:val="24"/>
                <w:u w:val="none" w:color="auto"/>
                <w:lang w:eastAsia="zh-CN"/>
              </w:rPr>
              <w:t>。</w:t>
            </w:r>
          </w:p>
          <w:p>
            <w:pPr>
              <w:bidi w:val="0"/>
              <w:rPr>
                <w:rFonts w:hint="default" w:ascii="Times New Roman" w:hAnsi="Times New Roman" w:cs="Times New Roman"/>
                <w:color w:val="000000"/>
                <w:sz w:val="24"/>
                <w:u w:val="none" w:color="auto"/>
                <w:lang w:eastAsia="zh-CN"/>
              </w:rPr>
            </w:pPr>
            <w:r>
              <w:rPr>
                <w:rFonts w:hint="default" w:ascii="Times New Roman" w:hAnsi="Times New Roman" w:cs="Times New Roman"/>
                <w:color w:val="000000"/>
                <w:sz w:val="24"/>
                <w:u w:val="none" w:color="auto"/>
                <w:lang w:eastAsia="zh-CN"/>
              </w:rPr>
              <w:t>②</w:t>
            </w:r>
            <w:r>
              <w:rPr>
                <w:rFonts w:hint="default" w:ascii="Times New Roman" w:hAnsi="Times New Roman" w:cs="Times New Roman"/>
                <w:color w:val="000000"/>
                <w:sz w:val="24"/>
                <w:u w:val="none" w:color="auto"/>
              </w:rPr>
              <w:t>据</w:t>
            </w:r>
            <w:r>
              <w:rPr>
                <w:rFonts w:hint="default" w:ascii="Times New Roman" w:hAnsi="Times New Roman" w:cs="Times New Roman"/>
                <w:color w:val="000000"/>
                <w:sz w:val="24"/>
                <w:u w:val="none" w:color="auto"/>
                <w:lang w:val="en-US" w:eastAsia="zh-CN"/>
              </w:rPr>
              <w:t>使用</w:t>
            </w:r>
            <w:r>
              <w:rPr>
                <w:rFonts w:hint="default" w:ascii="Times New Roman" w:hAnsi="Times New Roman" w:cs="Times New Roman"/>
                <w:color w:val="000000"/>
                <w:sz w:val="24"/>
                <w:u w:val="none" w:color="auto"/>
              </w:rPr>
              <w:t>情况等更新喷淋头</w:t>
            </w:r>
            <w:r>
              <w:rPr>
                <w:rFonts w:hint="default" w:ascii="Times New Roman" w:hAnsi="Times New Roman" w:cs="Times New Roman"/>
                <w:color w:val="000000"/>
                <w:sz w:val="24"/>
                <w:u w:val="none" w:color="auto"/>
                <w:lang w:eastAsia="zh-CN"/>
              </w:rPr>
              <w:t>。</w:t>
            </w:r>
          </w:p>
          <w:p>
            <w:pPr>
              <w:bidi w:val="0"/>
              <w:rPr>
                <w:rFonts w:hint="default" w:ascii="Times New Roman" w:hAnsi="Times New Roman" w:cs="Times New Roman"/>
                <w:color w:val="000000"/>
                <w:sz w:val="24"/>
                <w:u w:val="none" w:color="auto"/>
                <w:lang w:eastAsia="zh-CN"/>
              </w:rPr>
            </w:pPr>
            <w:r>
              <w:rPr>
                <w:rFonts w:hint="default" w:ascii="Times New Roman" w:hAnsi="Times New Roman" w:cs="Times New Roman"/>
                <w:u w:val="none" w:color="auto"/>
                <w:lang w:val="en-US" w:eastAsia="zh-CN"/>
              </w:rPr>
              <w:t>③</w:t>
            </w:r>
            <w:r>
              <w:rPr>
                <w:rFonts w:hint="default" w:ascii="Times New Roman" w:hAnsi="Times New Roman" w:cs="Times New Roman"/>
                <w:color w:val="000000"/>
                <w:sz w:val="24"/>
                <w:u w:val="none" w:color="auto"/>
              </w:rPr>
              <w:t>若意外出现故障排放，应立即组织相应人员抢修，排除故障，务必保证在设备设施正常运行的情况下</w:t>
            </w:r>
            <w:r>
              <w:rPr>
                <w:rFonts w:hint="default" w:ascii="Times New Roman" w:hAnsi="Times New Roman" w:cs="Times New Roman"/>
                <w:color w:val="000000"/>
                <w:sz w:val="24"/>
                <w:u w:val="none" w:color="auto"/>
                <w:lang w:val="en-US" w:eastAsia="zh-CN"/>
              </w:rPr>
              <w:t>使用</w:t>
            </w:r>
            <w:r>
              <w:rPr>
                <w:rFonts w:hint="default" w:ascii="Times New Roman" w:hAnsi="Times New Roman" w:cs="Times New Roman"/>
                <w:color w:val="000000"/>
                <w:sz w:val="24"/>
                <w:u w:val="none" w:color="auto"/>
                <w:lang w:eastAsia="zh-CN"/>
              </w:rPr>
              <w:t>。</w:t>
            </w:r>
          </w:p>
          <w:p>
            <w:pPr>
              <w:bidi w:val="0"/>
              <w:rPr>
                <w:rFonts w:hint="default" w:ascii="Times New Roman" w:hAnsi="Times New Roman" w:cs="Times New Roman"/>
                <w:u w:val="none" w:color="auto"/>
                <w:lang w:val="en-US" w:eastAsia="zh-CN"/>
              </w:rPr>
            </w:pPr>
            <w:r>
              <w:rPr>
                <w:rFonts w:hint="default" w:ascii="Times New Roman" w:hAnsi="Times New Roman" w:cs="Times New Roman"/>
                <w:color w:val="000000"/>
                <w:sz w:val="24"/>
                <w:u w:val="none" w:color="auto"/>
              </w:rPr>
              <w:t>综上所述，若本项目出现意外情况，在采取上述所提出的应急措施后，可减轻或避免本项目产生的废气对外环境的影响。</w:t>
            </w:r>
          </w:p>
          <w:p>
            <w:pPr>
              <w:pStyle w:val="6"/>
              <w:bidi w:val="0"/>
              <w:rPr>
                <w:rFonts w:ascii="Times New Roman" w:hAnsi="Times New Roman" w:cs="Times New Roman"/>
                <w:u w:val="none" w:color="auto"/>
                <w:lang w:val="en-US"/>
              </w:rPr>
            </w:pPr>
            <w:r>
              <w:rPr>
                <w:rFonts w:hint="default" w:ascii="Times New Roman" w:hAnsi="Times New Roman" w:cs="Times New Roman"/>
                <w:u w:val="none" w:color="auto"/>
                <w:lang w:val="en-US"/>
              </w:rPr>
              <w:t>4.3.4</w:t>
            </w:r>
            <w:r>
              <w:rPr>
                <w:rFonts w:ascii="Times New Roman" w:hAnsi="Times New Roman" w:cs="Times New Roman"/>
                <w:u w:val="none" w:color="auto"/>
                <w:lang w:val="en-US"/>
              </w:rPr>
              <w:t>结论</w:t>
            </w:r>
          </w:p>
          <w:p>
            <w:pPr>
              <w:bidi w:val="0"/>
              <w:rPr>
                <w:rFonts w:hint="default" w:ascii="Times New Roman" w:hAnsi="Times New Roman" w:cs="Times New Roman"/>
                <w:u w:val="none" w:color="auto"/>
              </w:rPr>
            </w:pPr>
            <w:r>
              <w:rPr>
                <w:rFonts w:hint="default" w:ascii="Times New Roman" w:hAnsi="Times New Roman" w:cs="Times New Roman"/>
                <w:u w:val="none" w:color="auto"/>
              </w:rPr>
              <w:t>项目运营期环境风险程度较低，未构成重大风险源。项目可能出现的风险事故主</w:t>
            </w:r>
            <w:r>
              <w:rPr>
                <w:rFonts w:hint="default" w:ascii="Times New Roman" w:hAnsi="Times New Roman" w:cs="Times New Roman"/>
                <w:u w:val="none" w:color="auto"/>
                <w:lang w:val="en-US" w:eastAsia="zh-CN"/>
              </w:rPr>
              <w:t>为</w:t>
            </w:r>
            <w:r>
              <w:rPr>
                <w:rFonts w:hint="default" w:ascii="Times New Roman" w:hAnsi="Times New Roman" w:cs="Times New Roman"/>
                <w:u w:val="none" w:color="auto"/>
              </w:rPr>
              <w:t>生产操作过程中发生火灾事故</w:t>
            </w:r>
            <w:r>
              <w:rPr>
                <w:rFonts w:hint="default" w:ascii="Times New Roman" w:hAnsi="Times New Roman" w:cs="Times New Roman"/>
                <w:u w:val="none" w:color="auto"/>
                <w:lang w:val="en-US" w:eastAsia="zh-CN"/>
              </w:rPr>
              <w:t>以及污水处理设施、废气处理设施</w:t>
            </w:r>
            <w:r>
              <w:rPr>
                <w:rFonts w:hint="default" w:ascii="Times New Roman" w:hAnsi="Times New Roman" w:cs="Times New Roman"/>
                <w:u w:val="none" w:color="auto"/>
              </w:rPr>
              <w:t>。通过制定严格的管理规定和岗位责任制，加强职工的安全生产教育，提高风险意识，能够最大限度地减少可能发生的环境风险。项目在严格落实各项可控措施和事故应急措施的前提下，项目风险事故的影响在可恢复范围内，项目环境风险防范措施有效，环境风险可</w:t>
            </w:r>
            <w:r>
              <w:rPr>
                <w:rFonts w:hint="default" w:ascii="Times New Roman" w:hAnsi="Times New Roman" w:cs="Times New Roman"/>
                <w:u w:val="none" w:color="auto"/>
                <w:lang w:val="en-US" w:eastAsia="zh-CN"/>
              </w:rPr>
              <w:t>控</w:t>
            </w:r>
            <w:r>
              <w:rPr>
                <w:rFonts w:hint="default" w:ascii="Times New Roman" w:hAnsi="Times New Roman" w:cs="Times New Roman"/>
                <w:u w:val="none" w:color="auto"/>
              </w:rPr>
              <w:t>。建设项目环境风险简单分析内容表见下表。</w:t>
            </w:r>
          </w:p>
          <w:p>
            <w:pPr>
              <w:pStyle w:val="71"/>
              <w:widowControl w:val="0"/>
              <w:rPr>
                <w:rFonts w:ascii="Times New Roman" w:hAnsi="Times New Roman" w:cs="Times New Roman"/>
                <w:color w:val="auto"/>
                <w:u w:val="none" w:color="auto"/>
              </w:rPr>
            </w:pPr>
            <w:r>
              <w:rPr>
                <w:rFonts w:ascii="Times New Roman" w:hAnsi="Times New Roman" w:cs="Times New Roman"/>
                <w:color w:val="auto"/>
                <w:u w:val="none" w:color="auto"/>
              </w:rPr>
              <w:t>表</w:t>
            </w:r>
            <w:r>
              <w:rPr>
                <w:rFonts w:hint="default" w:ascii="Times New Roman" w:hAnsi="Times New Roman" w:cs="Times New Roman"/>
                <w:color w:val="auto"/>
                <w:u w:val="none" w:color="auto"/>
                <w:lang w:val="en-US"/>
              </w:rPr>
              <w:t>4</w:t>
            </w:r>
            <w:r>
              <w:rPr>
                <w:rFonts w:hint="default" w:ascii="Times New Roman" w:hAnsi="Times New Roman" w:cs="Times New Roman"/>
                <w:color w:val="auto"/>
                <w:u w:val="none" w:color="auto"/>
                <w:lang w:val="en-US" w:eastAsia="zh-CN"/>
              </w:rPr>
              <w:t>.3-2</w:t>
            </w:r>
            <w:r>
              <w:rPr>
                <w:rFonts w:hint="default" w:ascii="Times New Roman" w:hAnsi="Times New Roman" w:cs="Times New Roman"/>
                <w:color w:val="auto"/>
                <w:u w:val="none" w:color="auto"/>
                <w:lang w:val="en-US"/>
              </w:rPr>
              <w:t>：</w:t>
            </w:r>
            <w:r>
              <w:rPr>
                <w:rFonts w:ascii="Times New Roman" w:hAnsi="Times New Roman" w:cs="Times New Roman"/>
                <w:color w:val="auto"/>
                <w:u w:val="none" w:color="auto"/>
              </w:rPr>
              <w:t>建设项目环境风险简单分析内容表</w:t>
            </w:r>
          </w:p>
          <w:tbl>
            <w:tblPr>
              <w:tblStyle w:val="28"/>
              <w:tblW w:w="494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886"/>
              <w:gridCol w:w="2208"/>
              <w:gridCol w:w="1158"/>
              <w:gridCol w:w="228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建设项目名称</w:t>
                  </w:r>
                </w:p>
              </w:tc>
              <w:tc>
                <w:tcPr>
                  <w:tcW w:w="39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color="auto"/>
                      <w:lang w:val="en-US"/>
                    </w:rPr>
                  </w:pPr>
                  <w:r>
                    <w:rPr>
                      <w:rFonts w:hint="default" w:ascii="Times New Roman" w:hAnsi="Times New Roman" w:eastAsia="宋体" w:cs="Times New Roman"/>
                      <w:color w:val="000000"/>
                      <w:sz w:val="21"/>
                      <w:szCs w:val="21"/>
                      <w:u w:val="none" w:color="auto"/>
                      <w:lang w:val="en-US" w:eastAsia="zh-CN"/>
                    </w:rPr>
                    <w:t>泸溪特色米粉加工项目</w:t>
                  </w:r>
                  <w:r>
                    <w:rPr>
                      <w:rFonts w:hint="eastAsia" w:cs="Times New Roman"/>
                      <w:color w:val="000000"/>
                      <w:sz w:val="21"/>
                      <w:szCs w:val="21"/>
                      <w:u w:val="none" w:color="auto"/>
                      <w:lang w:val="en-US" w:eastAsia="zh-CN"/>
                    </w:rPr>
                    <w:t>变更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建设地点</w:t>
                  </w:r>
                </w:p>
              </w:tc>
              <w:tc>
                <w:tcPr>
                  <w:tcW w:w="39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sz w:val="21"/>
                      <w:szCs w:val="21"/>
                      <w:u w:val="none" w:color="auto"/>
                      <w:lang w:val="en-US"/>
                    </w:rPr>
                  </w:pPr>
                  <w:r>
                    <w:rPr>
                      <w:rFonts w:hint="default" w:ascii="Times New Roman" w:hAnsi="Times New Roman" w:eastAsia="宋体" w:cs="Times New Roman"/>
                      <w:sz w:val="21"/>
                      <w:szCs w:val="21"/>
                      <w:u w:val="none" w:color="auto"/>
                      <w:lang w:val="en-US" w:eastAsia="zh-CN"/>
                    </w:rPr>
                    <w:t>湖南省湘西土家族苗族自治州泸溪县武溪镇红土溪村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地理坐标</w:t>
                  </w:r>
                </w:p>
              </w:tc>
              <w:tc>
                <w:tcPr>
                  <w:tcW w:w="536" w:type="pct"/>
                  <w:tcBorders>
                    <w:tl2br w:val="nil"/>
                    <w:tr2bl w:val="nil"/>
                  </w:tcBorders>
                  <w:noWrap w:val="0"/>
                  <w:vAlign w:val="center"/>
                </w:tcPr>
                <w:p>
                  <w:pPr>
                    <w:pStyle w:val="39"/>
                    <w:bidi w:val="0"/>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rPr>
                    <w:t>经度</w:t>
                  </w:r>
                </w:p>
              </w:tc>
              <w:tc>
                <w:tcPr>
                  <w:tcW w:w="1335" w:type="pct"/>
                  <w:tcBorders>
                    <w:tl2br w:val="nil"/>
                    <w:tr2bl w:val="nil"/>
                  </w:tcBorders>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rPr>
                    <w:t>1</w:t>
                  </w:r>
                  <w:r>
                    <w:rPr>
                      <w:rFonts w:hint="default" w:ascii="Times New Roman" w:hAnsi="Times New Roman" w:eastAsia="宋体" w:cs="Times New Roman"/>
                      <w:u w:val="none" w:color="auto"/>
                      <w:lang w:val="en-US" w:eastAsia="zh-CN"/>
                    </w:rPr>
                    <w:t>10</w:t>
                  </w:r>
                  <w:r>
                    <w:rPr>
                      <w:rFonts w:hint="default" w:ascii="Times New Roman" w:hAnsi="Times New Roman" w:eastAsia="宋体" w:cs="Times New Roman"/>
                      <w:u w:val="none" w:color="auto"/>
                      <w:lang w:val="en-US"/>
                    </w:rPr>
                    <w:t>度</w:t>
                  </w:r>
                  <w:r>
                    <w:rPr>
                      <w:rFonts w:hint="default" w:ascii="Times New Roman" w:hAnsi="Times New Roman" w:eastAsia="宋体" w:cs="Times New Roman"/>
                      <w:u w:val="none" w:color="auto"/>
                      <w:lang w:val="en-US" w:eastAsia="zh-CN"/>
                    </w:rPr>
                    <w:t>11</w:t>
                  </w:r>
                  <w:r>
                    <w:rPr>
                      <w:rFonts w:hint="default" w:ascii="Times New Roman" w:hAnsi="Times New Roman" w:eastAsia="宋体" w:cs="Times New Roman"/>
                      <w:u w:val="none" w:color="auto"/>
                      <w:lang w:val="en-US"/>
                    </w:rPr>
                    <w:t>分</w:t>
                  </w:r>
                  <w:r>
                    <w:rPr>
                      <w:rFonts w:hint="default" w:ascii="Times New Roman" w:hAnsi="Times New Roman" w:eastAsia="宋体" w:cs="Times New Roman"/>
                      <w:u w:val="none" w:color="auto"/>
                      <w:lang w:val="en-US" w:eastAsia="zh-CN"/>
                    </w:rPr>
                    <w:t>3.141</w:t>
                  </w:r>
                  <w:r>
                    <w:rPr>
                      <w:rFonts w:hint="default" w:ascii="Times New Roman" w:hAnsi="Times New Roman" w:eastAsia="宋体" w:cs="Times New Roman"/>
                      <w:u w:val="none" w:color="auto"/>
                      <w:lang w:val="en-US"/>
                    </w:rPr>
                    <w:t>秒</w:t>
                  </w:r>
                </w:p>
              </w:tc>
              <w:tc>
                <w:tcPr>
                  <w:tcW w:w="700" w:type="pct"/>
                  <w:tcBorders>
                    <w:tl2br w:val="nil"/>
                    <w:tr2bl w:val="nil"/>
                  </w:tcBorders>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rPr>
                    <w:t>纬度</w:t>
                  </w:r>
                </w:p>
              </w:tc>
              <w:tc>
                <w:tcPr>
                  <w:tcW w:w="1377" w:type="pct"/>
                  <w:tcBorders>
                    <w:tl2br w:val="nil"/>
                    <w:tr2bl w:val="nil"/>
                  </w:tcBorders>
                  <w:noWrap w:val="0"/>
                  <w:vAlign w:val="center"/>
                </w:tcPr>
                <w:p>
                  <w:pPr>
                    <w:pStyle w:val="39"/>
                    <w:bidi w:val="0"/>
                    <w:rPr>
                      <w:rFonts w:hint="default" w:ascii="Times New Roman" w:hAnsi="Times New Roman" w:eastAsia="宋体" w:cs="Times New Roman"/>
                      <w:u w:val="none" w:color="auto"/>
                    </w:rPr>
                  </w:pPr>
                  <w:r>
                    <w:rPr>
                      <w:rFonts w:hint="default" w:ascii="Times New Roman" w:hAnsi="Times New Roman" w:eastAsia="宋体" w:cs="Times New Roman"/>
                      <w:u w:val="none" w:color="auto"/>
                      <w:lang w:val="en-US"/>
                    </w:rPr>
                    <w:t>28度</w:t>
                  </w:r>
                  <w:r>
                    <w:rPr>
                      <w:rFonts w:hint="default" w:ascii="Times New Roman" w:hAnsi="Times New Roman" w:eastAsia="宋体" w:cs="Times New Roman"/>
                      <w:u w:val="none" w:color="auto"/>
                      <w:lang w:val="en-US" w:eastAsia="zh-CN"/>
                    </w:rPr>
                    <w:t>11</w:t>
                  </w:r>
                  <w:r>
                    <w:rPr>
                      <w:rFonts w:hint="default" w:ascii="Times New Roman" w:hAnsi="Times New Roman" w:eastAsia="宋体" w:cs="Times New Roman"/>
                      <w:u w:val="none" w:color="auto"/>
                      <w:lang w:val="en-US"/>
                    </w:rPr>
                    <w:t>分</w:t>
                  </w:r>
                  <w:r>
                    <w:rPr>
                      <w:rFonts w:hint="default" w:ascii="Times New Roman" w:hAnsi="Times New Roman" w:eastAsia="宋体" w:cs="Times New Roman"/>
                      <w:u w:val="none" w:color="auto"/>
                      <w:lang w:val="en-US" w:eastAsia="zh-CN"/>
                    </w:rPr>
                    <w:t>29.651</w:t>
                  </w:r>
                  <w:r>
                    <w:rPr>
                      <w:rFonts w:hint="default" w:ascii="Times New Roman" w:hAnsi="Times New Roman" w:eastAsia="宋体" w:cs="Times New Roman"/>
                      <w:u w:val="none" w:color="auto"/>
                      <w:lang w:val="en-US"/>
                    </w:rPr>
                    <w:t>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主要危险物质及分布</w:t>
                  </w:r>
                </w:p>
              </w:tc>
              <w:tc>
                <w:tcPr>
                  <w:tcW w:w="39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柴油，位于配电间中，存在量极少；</w:t>
                  </w:r>
                  <w:r>
                    <w:rPr>
                      <w:rFonts w:hint="default" w:ascii="Times New Roman" w:hAnsi="Times New Roman" w:eastAsia="宋体" w:cs="Times New Roman"/>
                      <w:color w:val="000000"/>
                      <w:sz w:val="21"/>
                      <w:szCs w:val="21"/>
                      <w:u w:val="none" w:color="auto"/>
                      <w:lang w:val="en-US" w:eastAsia="zh-CN"/>
                    </w:rPr>
                    <w:t>生产废水位于污水处理站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1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环境影响途径及危害后果（大气、地表水、地下水）</w:t>
                  </w:r>
                </w:p>
              </w:tc>
              <w:tc>
                <w:tcPr>
                  <w:tcW w:w="39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b/>
                      <w:color w:val="000000"/>
                      <w:sz w:val="21"/>
                      <w:szCs w:val="21"/>
                      <w:u w:val="none" w:color="auto"/>
                    </w:rPr>
                    <w:t>1、地表水和地下水</w:t>
                  </w:r>
                  <w:r>
                    <w:rPr>
                      <w:rFonts w:hint="default" w:ascii="Times New Roman" w:hAnsi="Times New Roman" w:eastAsia="宋体" w:cs="Times New Roman"/>
                      <w:color w:val="000000"/>
                      <w:sz w:val="21"/>
                      <w:szCs w:val="21"/>
                      <w:u w:val="none" w:color="auto"/>
                    </w:rPr>
                    <w:t>：当因设备、管件更换，或其它原因，导致废水处理设施不能正常运转、不能达到预期处理效果时，直接外排至周边地表水环境，将对其造成污染。</w:t>
                  </w:r>
                </w:p>
                <w:p>
                  <w:pPr>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
                      <w:color w:val="000000"/>
                      <w:sz w:val="21"/>
                      <w:szCs w:val="21"/>
                      <w:u w:val="none" w:color="auto"/>
                    </w:rPr>
                    <w:t>2、大气</w:t>
                  </w:r>
                  <w:r>
                    <w:rPr>
                      <w:rFonts w:hint="default" w:ascii="Times New Roman" w:hAnsi="Times New Roman" w:eastAsia="宋体" w:cs="Times New Roman"/>
                      <w:color w:val="000000"/>
                      <w:sz w:val="21"/>
                      <w:szCs w:val="21"/>
                      <w:u w:val="none" w:color="auto"/>
                    </w:rPr>
                    <w:t>：</w:t>
                  </w:r>
                  <w:r>
                    <w:rPr>
                      <w:rFonts w:hint="default" w:ascii="Times New Roman" w:hAnsi="Times New Roman" w:eastAsia="宋体" w:cs="Times New Roman"/>
                      <w:color w:val="000000"/>
                      <w:sz w:val="21"/>
                      <w:szCs w:val="21"/>
                      <w:u w:val="none" w:color="auto"/>
                      <w:lang w:val="en-US" w:eastAsia="zh-CN"/>
                    </w:rPr>
                    <w:t>废气处理设施故障导致废气未经处理后直接外排，</w:t>
                  </w:r>
                  <w:r>
                    <w:rPr>
                      <w:rFonts w:hint="default" w:ascii="Times New Roman" w:hAnsi="Times New Roman" w:eastAsia="宋体" w:cs="Times New Roman"/>
                      <w:color w:val="000000"/>
                      <w:sz w:val="21"/>
                      <w:szCs w:val="21"/>
                      <w:u w:val="none" w:color="auto"/>
                    </w:rPr>
                    <w:t>气体排放随风向外扩散，处于不利风向的周边企业、员工及村庄等均会受到不同程度的影响</w:t>
                  </w:r>
                  <w:r>
                    <w:rPr>
                      <w:rFonts w:hint="default" w:ascii="Times New Roman" w:hAnsi="Times New Roman" w:eastAsia="宋体"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lang w:val="en-US" w:eastAsia="zh-CN"/>
                    </w:rPr>
                    <w:t>对周边环境影响较大。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1049" w:type="pct"/>
                  <w:tcBorders>
                    <w:tl2br w:val="nil"/>
                    <w:tr2bl w:val="nil"/>
                  </w:tcBorders>
                  <w:noWrap w:val="0"/>
                  <w:vAlign w:val="center"/>
                </w:tcPr>
                <w:p>
                  <w:pPr>
                    <w:pStyle w:val="39"/>
                    <w:bidi w:val="0"/>
                    <w:jc w:val="center"/>
                    <w:rPr>
                      <w:rFonts w:hint="eastAsia" w:ascii="Times New Roman" w:hAnsi="Times New Roman" w:eastAsia="宋体" w:cs="Times New Roman"/>
                      <w:color w:val="auto"/>
                      <w:sz w:val="21"/>
                      <w:szCs w:val="22"/>
                      <w:u w:val="none" w:color="auto"/>
                      <w:lang w:val="en-US" w:eastAsia="zh-CN"/>
                    </w:rPr>
                  </w:pPr>
                  <w:r>
                    <w:rPr>
                      <w:rFonts w:hint="eastAsia"/>
                      <w:highlight w:val="none"/>
                      <w:u w:val="none" w:color="auto"/>
                      <w:lang w:val="en-US" w:eastAsia="zh-CN"/>
                    </w:rPr>
                    <w:t>风险防范措施要求</w:t>
                  </w:r>
                </w:p>
              </w:tc>
              <w:tc>
                <w:tcPr>
                  <w:tcW w:w="3950" w:type="pct"/>
                  <w:gridSpan w:val="4"/>
                  <w:tcBorders>
                    <w:tl2br w:val="nil"/>
                    <w:tr2bl w:val="nil"/>
                  </w:tcBorders>
                  <w:noWrap w:val="0"/>
                  <w:vAlign w:val="center"/>
                </w:tcPr>
                <w:p>
                  <w:pPr>
                    <w:pStyle w:val="39"/>
                    <w:bidi w:val="0"/>
                    <w:jc w:val="left"/>
                    <w:rPr>
                      <w:rFonts w:hint="default" w:ascii="Times New Roman" w:hAnsi="Times New Roman" w:eastAsia="宋体" w:cs="Times New Roman"/>
                      <w:color w:val="auto"/>
                      <w:sz w:val="21"/>
                      <w:szCs w:val="24"/>
                      <w:u w:val="none" w:color="auto"/>
                    </w:rPr>
                  </w:pPr>
                  <w:r>
                    <w:rPr>
                      <w:rFonts w:hint="default" w:ascii="Times New Roman" w:hAnsi="Times New Roman" w:eastAsia="宋体" w:cs="Times New Roman"/>
                      <w:color w:val="auto"/>
                      <w:sz w:val="21"/>
                      <w:szCs w:val="24"/>
                      <w:u w:val="none" w:color="auto"/>
                    </w:rPr>
                    <w:t>①</w:t>
                  </w:r>
                  <w:r>
                    <w:rPr>
                      <w:rFonts w:hint="default" w:ascii="Times New Roman" w:hAnsi="Times New Roman" w:eastAsia="宋体" w:cs="Times New Roman"/>
                      <w:szCs w:val="21"/>
                      <w:u w:val="none" w:color="auto"/>
                    </w:rPr>
                    <w:t>落实主要风险防控单元的责任人</w:t>
                  </w:r>
                  <w:r>
                    <w:rPr>
                      <w:rFonts w:hint="default" w:ascii="Times New Roman" w:hAnsi="Times New Roman" w:eastAsia="宋体" w:cs="Times New Roman"/>
                      <w:color w:val="auto"/>
                      <w:sz w:val="21"/>
                      <w:szCs w:val="24"/>
                      <w:u w:val="none" w:color="auto"/>
                    </w:rPr>
                    <w:t>；</w:t>
                  </w:r>
                </w:p>
                <w:p>
                  <w:pPr>
                    <w:pStyle w:val="39"/>
                    <w:bidi w:val="0"/>
                    <w:jc w:val="left"/>
                    <w:rPr>
                      <w:rFonts w:hint="default" w:ascii="Times New Roman" w:hAnsi="Times New Roman" w:eastAsia="宋体" w:cs="Times New Roman"/>
                      <w:color w:val="auto"/>
                      <w:sz w:val="21"/>
                      <w:szCs w:val="24"/>
                      <w:u w:val="none" w:color="auto"/>
                    </w:rPr>
                  </w:pPr>
                  <w:r>
                    <w:rPr>
                      <w:rFonts w:hint="default" w:ascii="Times New Roman" w:hAnsi="Times New Roman" w:eastAsia="宋体" w:cs="Times New Roman"/>
                      <w:color w:val="auto"/>
                      <w:sz w:val="21"/>
                      <w:szCs w:val="24"/>
                      <w:u w:val="none" w:color="auto"/>
                    </w:rPr>
                    <w:t>②</w:t>
                  </w:r>
                  <w:r>
                    <w:rPr>
                      <w:rFonts w:hint="default" w:ascii="Times New Roman" w:hAnsi="Times New Roman" w:eastAsia="宋体" w:cs="Times New Roman"/>
                      <w:szCs w:val="21"/>
                      <w:u w:val="none" w:color="auto"/>
                    </w:rPr>
                    <w:t>建立隐患排查治理等环境风险管理制度</w:t>
                  </w:r>
                  <w:r>
                    <w:rPr>
                      <w:rFonts w:hint="default" w:ascii="Times New Roman" w:hAnsi="Times New Roman" w:eastAsia="宋体" w:cs="Times New Roman"/>
                      <w:color w:val="auto"/>
                      <w:sz w:val="21"/>
                      <w:szCs w:val="24"/>
                      <w:u w:val="none" w:color="auto"/>
                    </w:rPr>
                    <w:t>；</w:t>
                  </w:r>
                </w:p>
                <w:p>
                  <w:pPr>
                    <w:pStyle w:val="39"/>
                    <w:bidi w:val="0"/>
                    <w:jc w:val="left"/>
                    <w:rPr>
                      <w:rFonts w:hint="default" w:ascii="Times New Roman" w:hAnsi="Times New Roman" w:eastAsia="宋体" w:cs="Times New Roman"/>
                      <w:color w:val="auto"/>
                      <w:sz w:val="21"/>
                      <w:szCs w:val="24"/>
                      <w:u w:val="none" w:color="auto"/>
                    </w:rPr>
                  </w:pPr>
                  <w:r>
                    <w:rPr>
                      <w:rFonts w:hint="default" w:ascii="Times New Roman" w:hAnsi="Times New Roman" w:eastAsia="宋体" w:cs="Times New Roman"/>
                      <w:color w:val="auto"/>
                      <w:sz w:val="21"/>
                      <w:szCs w:val="24"/>
                      <w:u w:val="none" w:color="auto"/>
                    </w:rPr>
                    <w:t>③</w:t>
                  </w:r>
                  <w:r>
                    <w:rPr>
                      <w:rFonts w:hint="default" w:ascii="Times New Roman" w:hAnsi="Times New Roman" w:eastAsia="宋体" w:cs="Times New Roman"/>
                      <w:szCs w:val="21"/>
                      <w:u w:val="none" w:color="auto"/>
                    </w:rPr>
                    <w:t>建立和落实民企联系制度，加强与当地环保主管部门、村庄居民的联系，做好防火及事故应急救援的联动</w:t>
                  </w:r>
                  <w:r>
                    <w:rPr>
                      <w:rFonts w:hint="default" w:ascii="Times New Roman" w:hAnsi="Times New Roman" w:eastAsia="宋体" w:cs="Times New Roman"/>
                      <w:color w:val="auto"/>
                      <w:sz w:val="21"/>
                      <w:szCs w:val="24"/>
                      <w:u w:val="none" w:color="auto"/>
                    </w:rPr>
                    <w:t>；</w:t>
                  </w:r>
                </w:p>
                <w:p>
                  <w:pPr>
                    <w:pStyle w:val="39"/>
                    <w:bidi w:val="0"/>
                    <w:jc w:val="left"/>
                    <w:rPr>
                      <w:rFonts w:hint="default" w:ascii="Times New Roman" w:hAnsi="Times New Roman" w:eastAsia="宋体" w:cs="Times New Roman"/>
                      <w:color w:val="auto"/>
                      <w:sz w:val="21"/>
                      <w:szCs w:val="24"/>
                      <w:u w:val="none" w:color="auto"/>
                    </w:rPr>
                  </w:pPr>
                  <w:r>
                    <w:rPr>
                      <w:rFonts w:hint="default" w:ascii="Times New Roman" w:hAnsi="Times New Roman" w:eastAsia="宋体" w:cs="Times New Roman"/>
                      <w:color w:val="auto"/>
                      <w:sz w:val="21"/>
                      <w:szCs w:val="24"/>
                      <w:u w:val="none" w:color="auto"/>
                    </w:rPr>
                    <w:t>④</w:t>
                  </w:r>
                  <w:r>
                    <w:rPr>
                      <w:rFonts w:hint="eastAsia" w:ascii="Times New Roman" w:hAnsi="Times New Roman" w:cs="Times New Roman"/>
                      <w:u w:val="none" w:color="auto"/>
                      <w:lang w:val="en-US" w:eastAsia="zh-CN"/>
                    </w:rPr>
                    <w:t>锅炉房</w:t>
                  </w:r>
                  <w:r>
                    <w:rPr>
                      <w:rFonts w:hint="default" w:ascii="Times New Roman" w:hAnsi="Times New Roman" w:cs="Times New Roman"/>
                      <w:u w:val="none" w:color="auto"/>
                    </w:rPr>
                    <w:t>等危险部位通过安装报警器。一旦报警器报警时，现场值班人员立即向</w:t>
                  </w:r>
                  <w:r>
                    <w:rPr>
                      <w:rFonts w:hint="default" w:ascii="Times New Roman" w:hAnsi="Times New Roman" w:cs="Times New Roman"/>
                      <w:u w:val="none" w:color="auto"/>
                      <w:lang w:eastAsia="zh-CN"/>
                    </w:rPr>
                    <w:t>应急办</w:t>
                  </w:r>
                  <w:r>
                    <w:rPr>
                      <w:rFonts w:hint="default" w:ascii="Times New Roman" w:hAnsi="Times New Roman" w:cs="Times New Roman"/>
                      <w:u w:val="none" w:color="auto"/>
                    </w:rPr>
                    <w:t>主任报告，并通知相关负责人到报警器报警位置检查</w:t>
                  </w:r>
                  <w:r>
                    <w:rPr>
                      <w:rFonts w:hint="default" w:ascii="Times New Roman" w:hAnsi="Times New Roman" w:eastAsia="宋体" w:cs="Times New Roman"/>
                      <w:color w:val="auto"/>
                      <w:sz w:val="21"/>
                      <w:szCs w:val="24"/>
                      <w:u w:val="none" w:color="auto"/>
                    </w:rPr>
                    <w:t>；</w:t>
                  </w:r>
                </w:p>
                <w:p>
                  <w:pPr>
                    <w:pStyle w:val="39"/>
                    <w:bidi w:val="0"/>
                    <w:jc w:val="left"/>
                    <w:rPr>
                      <w:rFonts w:hint="default" w:ascii="Times New Roman" w:hAnsi="Times New Roman" w:eastAsia="宋体" w:cs="Times New Roman"/>
                      <w:color w:val="auto"/>
                      <w:sz w:val="21"/>
                      <w:szCs w:val="24"/>
                      <w:u w:val="none" w:color="auto"/>
                    </w:rPr>
                  </w:pPr>
                  <w:r>
                    <w:rPr>
                      <w:rFonts w:hint="default" w:ascii="Times New Roman" w:hAnsi="Times New Roman" w:eastAsia="宋体" w:cs="Times New Roman"/>
                      <w:color w:val="auto"/>
                      <w:sz w:val="21"/>
                      <w:szCs w:val="24"/>
                      <w:u w:val="none" w:color="auto"/>
                    </w:rPr>
                    <w:t>⑤</w:t>
                  </w:r>
                  <w:r>
                    <w:rPr>
                      <w:rFonts w:hint="default" w:ascii="Times New Roman" w:hAnsi="Times New Roman" w:cs="Times New Roman"/>
                      <w:u w:val="none" w:color="auto"/>
                    </w:rPr>
                    <w:t>在</w:t>
                  </w:r>
                  <w:r>
                    <w:rPr>
                      <w:rFonts w:hint="eastAsia" w:ascii="Times New Roman" w:hAnsi="Times New Roman" w:cs="Times New Roman"/>
                      <w:u w:val="none" w:color="auto"/>
                      <w:lang w:val="en-US" w:eastAsia="zh-CN"/>
                    </w:rPr>
                    <w:t>车间</w:t>
                  </w:r>
                  <w:r>
                    <w:rPr>
                      <w:rFonts w:hint="default" w:ascii="Times New Roman" w:hAnsi="Times New Roman" w:cs="Times New Roman"/>
                      <w:u w:val="none" w:color="auto"/>
                    </w:rPr>
                    <w:t>张贴安全操作规程，车间和班组管理人员每天对作业员工开展班前安全训示，注意作业人员的思想和精神状况，检查作业人员是否按规定使用劳动防护用品。如发现设备的安全防护装置有故障，则对设备进行整修</w:t>
                  </w:r>
                  <w:r>
                    <w:rPr>
                      <w:rFonts w:hint="default" w:ascii="Times New Roman" w:hAnsi="Times New Roman" w:eastAsia="宋体" w:cs="Times New Roman"/>
                      <w:color w:val="auto"/>
                      <w:sz w:val="21"/>
                      <w:szCs w:val="24"/>
                      <w:u w:val="none" w:color="auto"/>
                    </w:rPr>
                    <w:t>；</w:t>
                  </w:r>
                </w:p>
                <w:p>
                  <w:pPr>
                    <w:pStyle w:val="39"/>
                    <w:bidi w:val="0"/>
                    <w:jc w:val="left"/>
                    <w:rPr>
                      <w:rFonts w:hint="default" w:ascii="Times New Roman" w:hAnsi="Times New Roman" w:eastAsia="宋体" w:cs="Times New Roman"/>
                      <w:color w:val="000000"/>
                      <w:sz w:val="21"/>
                      <w:szCs w:val="24"/>
                      <w:u w:val="none" w:color="auto"/>
                    </w:rPr>
                  </w:pPr>
                  <w:r>
                    <w:rPr>
                      <w:rFonts w:hint="default" w:ascii="Times New Roman" w:hAnsi="Times New Roman" w:eastAsia="宋体" w:cs="Times New Roman"/>
                      <w:color w:val="auto"/>
                      <w:sz w:val="21"/>
                      <w:szCs w:val="24"/>
                      <w:u w:val="none" w:color="auto"/>
                    </w:rPr>
                    <w:t>⑥</w:t>
                  </w:r>
                  <w:r>
                    <w:rPr>
                      <w:rFonts w:hint="default" w:ascii="Times New Roman" w:hAnsi="Times New Roman" w:cs="Times New Roman"/>
                      <w:u w:val="none" w:color="auto"/>
                    </w:rPr>
                    <w:t>公司应将危险源可能发生事故的应急措施信息告知相关单位和人员</w:t>
                  </w:r>
                  <w:r>
                    <w:rPr>
                      <w:rFonts w:hint="default" w:ascii="Times New Roman" w:hAnsi="Times New Roman" w:eastAsia="宋体" w:cs="Times New Roman"/>
                      <w:color w:val="auto"/>
                      <w:sz w:val="21"/>
                      <w:szCs w:val="24"/>
                      <w:u w:val="none" w:color="auto"/>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000" w:type="pct"/>
                  <w:gridSpan w:val="5"/>
                  <w:tcBorders>
                    <w:tl2br w:val="nil"/>
                    <w:tr2bl w:val="nil"/>
                  </w:tcBorders>
                  <w:noWrap w:val="0"/>
                  <w:vAlign w:val="center"/>
                </w:tcPr>
                <w:p>
                  <w:pPr>
                    <w:pStyle w:val="39"/>
                    <w:bidi w:val="0"/>
                    <w:jc w:val="left"/>
                    <w:rPr>
                      <w:rFonts w:hint="default" w:ascii="Times New Roman" w:hAnsi="Times New Roman" w:eastAsia="宋体" w:cs="Times New Roman"/>
                      <w:color w:val="000000"/>
                      <w:sz w:val="21"/>
                      <w:szCs w:val="24"/>
                      <w:u w:val="none" w:color="auto"/>
                    </w:rPr>
                  </w:pPr>
                  <w:r>
                    <w:rPr>
                      <w:rFonts w:hint="default" w:ascii="Times New Roman" w:hAnsi="Times New Roman" w:eastAsia="宋体" w:cs="Times New Roman"/>
                      <w:b/>
                      <w:color w:val="auto"/>
                      <w:u w:val="none" w:color="auto"/>
                    </w:rPr>
                    <w:t>填表说明（列出项目相关信息及评价说明）：</w:t>
                  </w:r>
                  <w:r>
                    <w:rPr>
                      <w:rFonts w:hint="default" w:ascii="Times New Roman" w:hAnsi="Times New Roman" w:eastAsia="宋体" w:cs="Times New Roman"/>
                      <w:color w:val="auto"/>
                      <w:u w:val="none" w:color="auto"/>
                    </w:rPr>
                    <w:t>项目建成后主要为食品制造业项目，根据《建设项目环境风险评价技术导则》（HJ169-2018），项目环境风险潜势为Ⅰ，本次环境风险评价等级确定为简单分析。本项目事故风险水平较低，再进一步采取安全防范措施和事故应急预案后，基本上满足国家有关环境保护和安全法规、标准的要求，项目对场外环境的风险可控。</w:t>
                  </w:r>
                </w:p>
              </w:tc>
            </w:tr>
          </w:tbl>
          <w:p>
            <w:pPr>
              <w:pStyle w:val="6"/>
              <w:bidi w:val="0"/>
              <w:ind w:left="0" w:leftChars="0" w:firstLine="0" w:firstLineChars="0"/>
              <w:rPr>
                <w:rFonts w:ascii="Times New Roman" w:hAnsi="Times New Roman" w:cs="Times New Roman"/>
                <w:u w:val="none" w:color="auto"/>
                <w:lang w:val="en-US"/>
              </w:rPr>
            </w:pPr>
            <w:r>
              <w:rPr>
                <w:rFonts w:hint="default" w:ascii="Times New Roman" w:hAnsi="Times New Roman" w:cs="Times New Roman"/>
                <w:u w:val="none" w:color="auto"/>
                <w:lang w:val="en-US"/>
              </w:rPr>
              <w:t>4.</w:t>
            </w:r>
            <w:r>
              <w:rPr>
                <w:rFonts w:hint="default" w:ascii="Times New Roman" w:hAnsi="Times New Roman" w:cs="Times New Roman"/>
                <w:u w:val="none" w:color="auto"/>
                <w:lang w:val="en-US" w:eastAsia="zh-CN"/>
              </w:rPr>
              <w:t>4</w:t>
            </w:r>
            <w:r>
              <w:rPr>
                <w:rFonts w:hint="default" w:ascii="Times New Roman" w:hAnsi="Times New Roman" w:cs="Times New Roman"/>
                <w:u w:val="none" w:color="auto"/>
                <w:lang w:val="en-US"/>
              </w:rPr>
              <w:t>电磁辐射分析</w:t>
            </w:r>
          </w:p>
          <w:p>
            <w:pPr>
              <w:bidi w:val="0"/>
              <w:rPr>
                <w:rFonts w:hint="default" w:ascii="Times New Roman" w:hAnsi="Times New Roman" w:cs="Times New Roman"/>
                <w:u w:val="none" w:color="auto"/>
              </w:rPr>
            </w:pPr>
            <w:r>
              <w:rPr>
                <w:rFonts w:hint="default" w:ascii="Times New Roman" w:hAnsi="Times New Roman" w:cs="Times New Roman"/>
                <w:color w:val="auto"/>
                <w:highlight w:val="none"/>
                <w:u w:val="none" w:color="auto"/>
              </w:rPr>
              <w:t>本项目不属于电磁辐射类项目，无需开展电磁辐射影响分析。</w:t>
            </w:r>
          </w:p>
          <w:p>
            <w:pPr>
              <w:ind w:firstLine="0" w:firstLineChars="0"/>
              <w:rPr>
                <w:rFonts w:ascii="Times New Roman" w:hAnsi="Times New Roman" w:cs="Times New Roman"/>
                <w:color w:val="auto"/>
                <w:u w:val="none" w:color="auto"/>
                <w:lang w:val="en-US"/>
              </w:rPr>
            </w:pPr>
          </w:p>
        </w:tc>
      </w:tr>
    </w:tbl>
    <w:p>
      <w:pPr>
        <w:wordWrap/>
        <w:overflowPunct w:val="0"/>
        <w:topLinePunct w:val="0"/>
        <w:autoSpaceDE w:val="0"/>
        <w:autoSpaceDN w:val="0"/>
        <w:ind w:firstLine="420"/>
        <w:jc w:val="left"/>
        <w:rPr>
          <w:sz w:val="21"/>
        </w:rPr>
        <w:sectPr>
          <w:pgSz w:w="11910" w:h="16850"/>
          <w:pgMar w:top="1600" w:right="1320" w:bottom="1000" w:left="1340" w:header="0" w:footer="817" w:gutter="0"/>
          <w:pgBorders>
            <w:top w:val="none" w:sz="0" w:space="0"/>
            <w:left w:val="none" w:sz="0" w:space="0"/>
            <w:bottom w:val="none" w:sz="0" w:space="0"/>
            <w:right w:val="none" w:sz="0" w:space="0"/>
          </w:pgBorders>
          <w:pgNumType w:fmt="decimal"/>
          <w:cols w:space="720" w:num="1"/>
        </w:sectPr>
      </w:pPr>
    </w:p>
    <w:p>
      <w:pPr>
        <w:pStyle w:val="13"/>
        <w:wordWrap/>
        <w:overflowPunct w:val="0"/>
        <w:topLinePunct w:val="0"/>
        <w:autoSpaceDE w:val="0"/>
        <w:autoSpaceDN w:val="0"/>
        <w:spacing w:before="58"/>
        <w:ind w:right="652" w:firstLine="0" w:firstLineChars="0"/>
        <w:jc w:val="left"/>
        <w:outlineLvl w:val="0"/>
        <w:rPr>
          <w:rFonts w:hint="eastAsia" w:asciiTheme="minorEastAsia" w:hAnsiTheme="minorEastAsia" w:eastAsiaTheme="minorEastAsia" w:cstheme="minorEastAsia"/>
          <w:b/>
          <w:bCs/>
          <w:u w:val="single"/>
        </w:rPr>
      </w:pPr>
      <w:bookmarkStart w:id="139" w:name="_Toc22725"/>
      <w:bookmarkStart w:id="140" w:name="_Toc4923"/>
      <w:r>
        <w:rPr>
          <w:rFonts w:hint="eastAsia" w:asciiTheme="minorEastAsia" w:hAnsiTheme="minorEastAsia" w:eastAsiaTheme="minorEastAsia" w:cstheme="minorEastAsia"/>
          <w:b/>
          <w:bCs/>
          <w:u w:val="single"/>
        </w:rPr>
        <w:t>五、环境保护措施监督检查清单</w:t>
      </w:r>
      <w:bookmarkEnd w:id="139"/>
      <w:bookmarkEnd w:id="140"/>
    </w:p>
    <w:tbl>
      <w:tblPr>
        <w:tblStyle w:val="28"/>
        <w:tblW w:w="0" w:type="auto"/>
        <w:tblInd w:w="2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3"/>
        <w:gridCol w:w="1710"/>
        <w:gridCol w:w="1695"/>
        <w:gridCol w:w="1815"/>
        <w:gridCol w:w="19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4" w:hRule="atLeast"/>
        </w:trPr>
        <w:tc>
          <w:tcPr>
            <w:tcW w:w="1603" w:type="dxa"/>
            <w:tcBorders>
              <w:bottom w:val="single" w:color="000000" w:sz="4" w:space="0"/>
              <w:right w:val="single" w:color="000000" w:sz="4" w:space="0"/>
            </w:tcBorders>
          </w:tcPr>
          <w:p>
            <w:pPr>
              <w:pStyle w:val="49"/>
              <w:wordWrap/>
              <w:overflowPunct w:val="0"/>
              <w:topLinePunct w:val="0"/>
              <w:autoSpaceDE w:val="0"/>
              <w:autoSpaceDN w:val="0"/>
              <w:spacing w:before="3"/>
              <w:ind w:left="947"/>
              <w:jc w:val="left"/>
              <w:rPr>
                <w:b/>
                <w:bCs/>
                <w:sz w:val="21"/>
                <w:szCs w:val="21"/>
                <w:u w:val="single"/>
              </w:rPr>
            </w:pPr>
            <w:r>
              <w:rPr>
                <w:b/>
                <w:bCs/>
                <w:sz w:val="21"/>
                <w:szCs w:val="21"/>
                <w:u w:val="single"/>
              </w:rPr>
              <mc:AlternateContent>
                <mc:Choice Requires="wps">
                  <w:drawing>
                    <wp:anchor distT="0" distB="0" distL="114300" distR="114300" simplePos="0" relativeHeight="251659264" behindDoc="1" locked="0" layoutInCell="1" allowOverlap="1">
                      <wp:simplePos x="0" y="0"/>
                      <wp:positionH relativeFrom="page">
                        <wp:posOffset>15875</wp:posOffset>
                      </wp:positionH>
                      <wp:positionV relativeFrom="paragraph">
                        <wp:posOffset>5080</wp:posOffset>
                      </wp:positionV>
                      <wp:extent cx="957580" cy="419100"/>
                      <wp:effectExtent l="1905" t="4445" r="15875" b="18415"/>
                      <wp:wrapNone/>
                      <wp:docPr id="10" name="直线 2"/>
                      <wp:cNvGraphicFramePr/>
                      <a:graphic xmlns:a="http://schemas.openxmlformats.org/drawingml/2006/main">
                        <a:graphicData uri="http://schemas.microsoft.com/office/word/2010/wordprocessingShape">
                          <wps:wsp>
                            <wps:cNvCnPr/>
                            <wps:spPr>
                              <a:xfrm>
                                <a:off x="0" y="0"/>
                                <a:ext cx="957580" cy="41910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25pt;margin-top:0.4pt;height:33pt;width:75.4pt;mso-position-horizontal-relative:page;z-index:-251657216;mso-width-relative:page;mso-height-relative:page;" filled="f" stroked="t" coordsize="21600,21600" o:gfxdata="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3/&#10;7kfVAAAABQEAAA8AAAAAAAAAAQAgAAAAIgAAAGRycy9kb3ducmV2LnhtbFBLAQIUABQAAAAIAIdO&#10;4kDkHaDf7QEAAOADAAAOAAAAAAAAAAEAIAAAACQBAABkcnMvZTJvRG9jLnhtbFBLBQYAAAAABgAG&#10;AFkBAACDBQAAAAA=&#10;">
                      <v:fill on="f" focussize="0,0"/>
                      <v:stroke weight="0.48pt" color="#000000" joinstyle="round"/>
                      <v:imagedata o:title=""/>
                      <o:lock v:ext="edit" aspectratio="f"/>
                    </v:line>
                  </w:pict>
                </mc:Fallback>
              </mc:AlternateContent>
            </w:r>
            <w:r>
              <w:rPr>
                <w:b/>
                <w:bCs/>
                <w:sz w:val="21"/>
                <w:szCs w:val="21"/>
                <w:u w:val="single"/>
              </w:rPr>
              <w:t xml:space="preserve">内容 </w:t>
            </w:r>
          </w:p>
          <w:p>
            <w:pPr>
              <w:pStyle w:val="49"/>
              <w:wordWrap/>
              <w:overflowPunct w:val="0"/>
              <w:topLinePunct w:val="0"/>
              <w:autoSpaceDE w:val="0"/>
              <w:autoSpaceDN w:val="0"/>
              <w:spacing w:before="2" w:line="250" w:lineRule="exact"/>
              <w:ind w:left="107"/>
              <w:jc w:val="left"/>
              <w:rPr>
                <w:b/>
                <w:bCs/>
                <w:sz w:val="21"/>
                <w:szCs w:val="21"/>
                <w:u w:val="single"/>
              </w:rPr>
            </w:pPr>
            <w:r>
              <w:rPr>
                <w:b/>
                <w:bCs/>
                <w:sz w:val="21"/>
                <w:szCs w:val="21"/>
                <w:u w:val="single"/>
              </w:rPr>
              <w:t xml:space="preserve">要素 </w:t>
            </w:r>
          </w:p>
        </w:tc>
        <w:tc>
          <w:tcPr>
            <w:tcW w:w="1710" w:type="dxa"/>
            <w:tcBorders>
              <w:left w:val="single" w:color="000000" w:sz="4" w:space="0"/>
              <w:bottom w:val="single" w:color="000000" w:sz="4" w:space="0"/>
              <w:right w:val="single" w:color="000000" w:sz="4" w:space="0"/>
            </w:tcBorders>
          </w:tcPr>
          <w:p>
            <w:pPr>
              <w:pStyle w:val="49"/>
              <w:wordWrap/>
              <w:overflowPunct w:val="0"/>
              <w:topLinePunct w:val="0"/>
              <w:autoSpaceDE w:val="0"/>
              <w:autoSpaceDN w:val="0"/>
              <w:spacing w:before="2" w:line="270" w:lineRule="atLeast"/>
              <w:ind w:left="252" w:right="71" w:hanging="53"/>
              <w:jc w:val="left"/>
              <w:rPr>
                <w:b/>
                <w:bCs/>
                <w:sz w:val="21"/>
                <w:szCs w:val="21"/>
                <w:u w:val="single"/>
              </w:rPr>
            </w:pPr>
            <w:r>
              <w:rPr>
                <w:b/>
                <w:bCs/>
                <w:sz w:val="21"/>
                <w:szCs w:val="21"/>
                <w:u w:val="single"/>
              </w:rPr>
              <w:t xml:space="preserve">排放口(编号、名称)/污染源 </w:t>
            </w:r>
          </w:p>
        </w:tc>
        <w:tc>
          <w:tcPr>
            <w:tcW w:w="1695" w:type="dxa"/>
            <w:tcBorders>
              <w:left w:val="single" w:color="000000" w:sz="4" w:space="0"/>
              <w:bottom w:val="single" w:color="000000" w:sz="4" w:space="0"/>
              <w:right w:val="single" w:color="000000" w:sz="4" w:space="0"/>
            </w:tcBorders>
          </w:tcPr>
          <w:p>
            <w:pPr>
              <w:pStyle w:val="49"/>
              <w:wordWrap/>
              <w:overflowPunct w:val="0"/>
              <w:topLinePunct w:val="0"/>
              <w:autoSpaceDE w:val="0"/>
              <w:autoSpaceDN w:val="0"/>
              <w:spacing w:before="137"/>
              <w:ind w:left="388" w:right="268"/>
              <w:jc w:val="center"/>
              <w:rPr>
                <w:b/>
                <w:bCs/>
                <w:sz w:val="21"/>
                <w:szCs w:val="21"/>
                <w:u w:val="single"/>
              </w:rPr>
            </w:pPr>
            <w:r>
              <w:rPr>
                <w:b/>
                <w:bCs/>
                <w:sz w:val="21"/>
                <w:szCs w:val="21"/>
                <w:u w:val="single"/>
              </w:rPr>
              <w:t>污染物</w:t>
            </w:r>
            <w:r>
              <w:rPr>
                <w:rFonts w:hint="eastAsia"/>
                <w:b/>
                <w:bCs/>
                <w:sz w:val="21"/>
                <w:szCs w:val="21"/>
                <w:u w:val="single"/>
                <w:lang w:val="en-US" w:eastAsia="zh-CN"/>
              </w:rPr>
              <w:t>项</w:t>
            </w:r>
            <w:r>
              <w:rPr>
                <w:b/>
                <w:bCs/>
                <w:sz w:val="21"/>
                <w:szCs w:val="21"/>
                <w:u w:val="single"/>
              </w:rPr>
              <w:t>目</w:t>
            </w:r>
          </w:p>
        </w:tc>
        <w:tc>
          <w:tcPr>
            <w:tcW w:w="1815" w:type="dxa"/>
            <w:tcBorders>
              <w:left w:val="single" w:color="000000" w:sz="4" w:space="0"/>
              <w:bottom w:val="single" w:color="000000" w:sz="4" w:space="0"/>
              <w:right w:val="single" w:color="000000" w:sz="4" w:space="0"/>
            </w:tcBorders>
          </w:tcPr>
          <w:p>
            <w:pPr>
              <w:pStyle w:val="49"/>
              <w:wordWrap/>
              <w:overflowPunct w:val="0"/>
              <w:topLinePunct w:val="0"/>
              <w:autoSpaceDE w:val="0"/>
              <w:autoSpaceDN w:val="0"/>
              <w:spacing w:before="137"/>
              <w:ind w:left="282" w:right="161"/>
              <w:jc w:val="left"/>
              <w:rPr>
                <w:b/>
                <w:bCs/>
                <w:sz w:val="21"/>
                <w:szCs w:val="21"/>
                <w:u w:val="single"/>
              </w:rPr>
            </w:pPr>
            <w:r>
              <w:rPr>
                <w:b/>
                <w:bCs/>
                <w:sz w:val="21"/>
                <w:szCs w:val="21"/>
                <w:u w:val="single"/>
              </w:rPr>
              <w:t xml:space="preserve">环境保护措施 </w:t>
            </w:r>
          </w:p>
        </w:tc>
        <w:tc>
          <w:tcPr>
            <w:tcW w:w="1978" w:type="dxa"/>
            <w:tcBorders>
              <w:left w:val="single" w:color="000000" w:sz="4" w:space="0"/>
              <w:bottom w:val="single" w:color="000000" w:sz="4" w:space="0"/>
            </w:tcBorders>
          </w:tcPr>
          <w:p>
            <w:pPr>
              <w:pStyle w:val="49"/>
              <w:wordWrap/>
              <w:overflowPunct w:val="0"/>
              <w:topLinePunct w:val="0"/>
              <w:autoSpaceDE w:val="0"/>
              <w:autoSpaceDN w:val="0"/>
              <w:spacing w:before="137"/>
              <w:ind w:left="497" w:right="365"/>
              <w:jc w:val="left"/>
              <w:rPr>
                <w:b/>
                <w:bCs/>
                <w:sz w:val="21"/>
                <w:szCs w:val="21"/>
                <w:u w:val="single"/>
              </w:rPr>
            </w:pPr>
            <w:r>
              <w:rPr>
                <w:b/>
                <w:bCs/>
                <w:sz w:val="21"/>
                <w:szCs w:val="21"/>
                <w:u w:val="single"/>
              </w:rPr>
              <w:t xml:space="preserve">执行标准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8" w:hRule="atLeast"/>
        </w:trPr>
        <w:tc>
          <w:tcPr>
            <w:tcW w:w="1603" w:type="dxa"/>
            <w:vMerge w:val="restart"/>
            <w:tcBorders>
              <w:top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大气环境</w:t>
            </w:r>
          </w:p>
        </w:tc>
        <w:tc>
          <w:tcPr>
            <w:tcW w:w="1710"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生产区</w:t>
            </w: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生产粉尘</w:t>
            </w:r>
          </w:p>
        </w:tc>
        <w:tc>
          <w:tcPr>
            <w:tcW w:w="1815"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生产区密闭，大部分粉尘自然沉降后收集清理，少部分无组织排放</w:t>
            </w:r>
          </w:p>
        </w:tc>
        <w:tc>
          <w:tcPr>
            <w:tcW w:w="1978" w:type="dxa"/>
            <w:vMerge w:val="restart"/>
            <w:tcBorders>
              <w:top w:val="single" w:color="000000" w:sz="4" w:space="0"/>
              <w:left w:val="single" w:color="000000" w:sz="4" w:space="0"/>
            </w:tcBorders>
            <w:vAlign w:val="center"/>
          </w:tcPr>
          <w:p>
            <w:pPr>
              <w:pStyle w:val="49"/>
              <w:wordWrap/>
              <w:overflowPunct w:val="0"/>
              <w:topLinePunct w:val="0"/>
              <w:autoSpaceDE w:val="0"/>
              <w:autoSpaceDN w:val="0"/>
              <w:jc w:val="center"/>
              <w:rPr>
                <w:sz w:val="21"/>
                <w:szCs w:val="21"/>
                <w:u w:val="single"/>
                <w:lang w:val="en-US"/>
              </w:rPr>
            </w:pPr>
            <w:r>
              <w:rPr>
                <w:sz w:val="21"/>
                <w:szCs w:val="21"/>
                <w:u w:val="single"/>
                <w:lang w:val="en-US"/>
              </w:rPr>
              <w:t>《大气污染物综合排放标准》（GB16297-1996）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1603" w:type="dxa"/>
            <w:vMerge w:val="continue"/>
            <w:tcBorders>
              <w:right w:val="single" w:color="000000" w:sz="4" w:space="0"/>
            </w:tcBorders>
            <w:vAlign w:val="center"/>
          </w:tcPr>
          <w:p>
            <w:pPr>
              <w:pStyle w:val="49"/>
              <w:wordWrap/>
              <w:overflowPunct w:val="0"/>
              <w:topLinePunct w:val="0"/>
              <w:autoSpaceDE w:val="0"/>
              <w:autoSpaceDN w:val="0"/>
              <w:jc w:val="center"/>
              <w:rPr>
                <w:rFonts w:hint="eastAsia"/>
                <w:sz w:val="21"/>
                <w:szCs w:val="21"/>
                <w:u w:val="single"/>
                <w:lang w:val="en-US"/>
              </w:rPr>
            </w:pPr>
          </w:p>
        </w:tc>
        <w:tc>
          <w:tcPr>
            <w:tcW w:w="1710"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r>
              <w:rPr>
                <w:rFonts w:hint="eastAsia"/>
                <w:sz w:val="21"/>
                <w:szCs w:val="21"/>
                <w:u w:val="single"/>
                <w:lang w:val="en-US" w:eastAsia="zh-CN"/>
              </w:rPr>
              <w:t>锅炉房</w:t>
            </w: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eastAsia="宋体"/>
                <w:sz w:val="21"/>
                <w:szCs w:val="21"/>
                <w:u w:val="single"/>
                <w:lang w:val="en-US" w:eastAsia="zh-CN"/>
              </w:rPr>
            </w:pPr>
            <w:r>
              <w:rPr>
                <w:rFonts w:hint="eastAsia"/>
                <w:sz w:val="21"/>
                <w:szCs w:val="21"/>
                <w:u w:val="single"/>
                <w:lang w:val="en-US" w:eastAsia="zh-CN"/>
              </w:rPr>
              <w:t>投料粉尘</w:t>
            </w:r>
          </w:p>
        </w:tc>
        <w:tc>
          <w:tcPr>
            <w:tcW w:w="1815"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rFonts w:hint="default" w:eastAsia="宋体"/>
                <w:sz w:val="21"/>
                <w:szCs w:val="21"/>
                <w:u w:val="single"/>
                <w:lang w:val="en-US" w:eastAsia="zh-CN"/>
              </w:rPr>
            </w:pPr>
            <w:r>
              <w:rPr>
                <w:rFonts w:hint="eastAsia"/>
                <w:sz w:val="21"/>
                <w:szCs w:val="21"/>
                <w:u w:val="single"/>
                <w:lang w:val="en-US" w:eastAsia="zh-CN"/>
              </w:rPr>
              <w:t>产生量极小，为无组织排放，加强车间通风</w:t>
            </w:r>
          </w:p>
        </w:tc>
        <w:tc>
          <w:tcPr>
            <w:tcW w:w="1978" w:type="dxa"/>
            <w:vMerge w:val="continue"/>
            <w:tcBorders>
              <w:left w:val="single" w:color="000000" w:sz="4" w:space="0"/>
            </w:tcBorders>
            <w:vAlign w:val="center"/>
          </w:tcPr>
          <w:p>
            <w:pPr>
              <w:pStyle w:val="49"/>
              <w:wordWrap/>
              <w:overflowPunct w:val="0"/>
              <w:topLinePunct w:val="0"/>
              <w:autoSpaceDE w:val="0"/>
              <w:autoSpaceDN w:val="0"/>
              <w:jc w:val="center"/>
              <w:rPr>
                <w:sz w:val="21"/>
                <w:szCs w:val="21"/>
                <w:u w:val="single"/>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603" w:type="dxa"/>
            <w:vMerge w:val="continue"/>
            <w:tcBorders>
              <w:right w:val="single" w:color="000000" w:sz="4" w:space="0"/>
            </w:tcBorders>
          </w:tcPr>
          <w:p>
            <w:pPr>
              <w:wordWrap/>
              <w:overflowPunct w:val="0"/>
              <w:topLinePunct w:val="0"/>
              <w:autoSpaceDE w:val="0"/>
              <w:autoSpaceDN w:val="0"/>
              <w:ind w:firstLine="420"/>
              <w:jc w:val="center"/>
              <w:rPr>
                <w:sz w:val="21"/>
                <w:szCs w:val="21"/>
                <w:u w:val="single"/>
                <w:lang w:val="en-US"/>
              </w:rPr>
            </w:pPr>
          </w:p>
        </w:tc>
        <w:tc>
          <w:tcPr>
            <w:tcW w:w="1710" w:type="dxa"/>
            <w:tcBorders>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污水处理站恶臭</w:t>
            </w: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硫化氢、氨气</w:t>
            </w:r>
          </w:p>
        </w:tc>
        <w:tc>
          <w:tcPr>
            <w:tcW w:w="1815"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highlight w:val="none"/>
                <w:u w:val="single"/>
                <w:lang w:val="en-US" w:eastAsia="zh-CN"/>
              </w:rPr>
              <w:t>加盖密闭、</w:t>
            </w:r>
            <w:r>
              <w:rPr>
                <w:rFonts w:hint="eastAsia"/>
                <w:sz w:val="21"/>
                <w:szCs w:val="21"/>
                <w:highlight w:val="none"/>
                <w:u w:val="single"/>
                <w:lang w:val="en-US"/>
              </w:rPr>
              <w:t>喷洒除臭剂</w:t>
            </w:r>
          </w:p>
        </w:tc>
        <w:tc>
          <w:tcPr>
            <w:tcW w:w="1978" w:type="dxa"/>
            <w:vMerge w:val="restart"/>
            <w:tcBorders>
              <w:left w:val="single" w:color="000000" w:sz="4" w:space="0"/>
            </w:tcBorders>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《恶臭污染物排放标准》（GB14554-93）表1中二级标准限值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603" w:type="dxa"/>
            <w:vMerge w:val="continue"/>
            <w:tcBorders>
              <w:right w:val="single" w:color="000000" w:sz="4" w:space="0"/>
            </w:tcBorders>
          </w:tcPr>
          <w:p>
            <w:pPr>
              <w:wordWrap/>
              <w:overflowPunct w:val="0"/>
              <w:topLinePunct w:val="0"/>
              <w:autoSpaceDE w:val="0"/>
              <w:autoSpaceDN w:val="0"/>
              <w:ind w:firstLine="420"/>
              <w:jc w:val="center"/>
              <w:rPr>
                <w:sz w:val="21"/>
                <w:szCs w:val="21"/>
                <w:u w:val="single"/>
                <w:lang w:val="en-US"/>
              </w:rPr>
            </w:pPr>
          </w:p>
        </w:tc>
        <w:tc>
          <w:tcPr>
            <w:tcW w:w="1710" w:type="dxa"/>
            <w:tcBorders>
              <w:left w:val="single" w:color="000000" w:sz="4" w:space="0"/>
              <w:right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r>
              <w:rPr>
                <w:rFonts w:hint="eastAsia"/>
                <w:sz w:val="21"/>
                <w:szCs w:val="21"/>
                <w:u w:val="single"/>
                <w:lang w:val="en-US" w:eastAsia="zh-CN"/>
              </w:rPr>
              <w:t>发酵异味</w:t>
            </w: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r>
              <w:rPr>
                <w:rFonts w:hint="eastAsia"/>
                <w:sz w:val="21"/>
                <w:szCs w:val="21"/>
                <w:u w:val="single"/>
                <w:lang w:val="en-US" w:eastAsia="zh-CN"/>
              </w:rPr>
              <w:t>恶臭</w:t>
            </w:r>
          </w:p>
        </w:tc>
        <w:tc>
          <w:tcPr>
            <w:tcW w:w="1815"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r>
              <w:rPr>
                <w:rFonts w:hint="eastAsia"/>
                <w:sz w:val="21"/>
                <w:szCs w:val="21"/>
                <w:u w:val="single"/>
                <w:lang w:val="en-US" w:eastAsia="zh-CN"/>
              </w:rPr>
              <w:t>通风</w:t>
            </w:r>
          </w:p>
        </w:tc>
        <w:tc>
          <w:tcPr>
            <w:tcW w:w="1978" w:type="dxa"/>
            <w:vMerge w:val="continue"/>
            <w:tcBorders>
              <w:left w:val="single" w:color="000000" w:sz="4" w:space="0"/>
              <w:bottom w:val="single" w:color="000000" w:sz="4" w:space="0"/>
            </w:tcBorders>
          </w:tcPr>
          <w:p>
            <w:pPr>
              <w:pStyle w:val="49"/>
              <w:wordWrap/>
              <w:overflowPunct w:val="0"/>
              <w:topLinePunct w:val="0"/>
              <w:autoSpaceDE w:val="0"/>
              <w:autoSpaceDN w:val="0"/>
              <w:jc w:val="center"/>
              <w:rPr>
                <w:rFonts w:hint="eastAsia"/>
                <w:sz w:val="21"/>
                <w:szCs w:val="21"/>
                <w:u w:val="single"/>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603" w:type="dxa"/>
            <w:vMerge w:val="continue"/>
            <w:tcBorders>
              <w:right w:val="single" w:color="000000" w:sz="4" w:space="0"/>
            </w:tcBorders>
          </w:tcPr>
          <w:p>
            <w:pPr>
              <w:wordWrap/>
              <w:overflowPunct w:val="0"/>
              <w:topLinePunct w:val="0"/>
              <w:autoSpaceDE w:val="0"/>
              <w:autoSpaceDN w:val="0"/>
              <w:ind w:firstLine="420"/>
              <w:jc w:val="center"/>
              <w:rPr>
                <w:sz w:val="21"/>
                <w:szCs w:val="21"/>
                <w:u w:val="single"/>
                <w:lang w:val="en-US"/>
              </w:rPr>
            </w:pPr>
          </w:p>
        </w:tc>
        <w:tc>
          <w:tcPr>
            <w:tcW w:w="1710" w:type="dxa"/>
            <w:tcBorders>
              <w:left w:val="single" w:color="000000" w:sz="4" w:space="0"/>
              <w:right w:val="single" w:color="000000" w:sz="4" w:space="0"/>
            </w:tcBorders>
            <w:vAlign w:val="center"/>
          </w:tcPr>
          <w:p>
            <w:pPr>
              <w:pStyle w:val="49"/>
              <w:wordWrap/>
              <w:overflowPunct w:val="0"/>
              <w:topLinePunct w:val="0"/>
              <w:autoSpaceDE w:val="0"/>
              <w:autoSpaceDN w:val="0"/>
              <w:jc w:val="center"/>
              <w:rPr>
                <w:rFonts w:hint="default" w:eastAsia="宋体"/>
                <w:sz w:val="21"/>
                <w:szCs w:val="21"/>
                <w:u w:val="single"/>
                <w:lang w:val="en-US" w:eastAsia="zh-CN"/>
              </w:rPr>
            </w:pPr>
            <w:r>
              <w:rPr>
                <w:rFonts w:hint="eastAsia"/>
                <w:sz w:val="21"/>
                <w:szCs w:val="21"/>
                <w:u w:val="single"/>
                <w:lang w:val="en-US" w:eastAsia="zh-CN"/>
              </w:rPr>
              <w:t>备用柴油发电机废气</w:t>
            </w: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eastAsia="宋体"/>
                <w:sz w:val="21"/>
                <w:szCs w:val="21"/>
                <w:u w:val="single"/>
                <w:lang w:val="en-US" w:eastAsia="zh-CN"/>
              </w:rPr>
            </w:pPr>
            <w:r>
              <w:rPr>
                <w:rFonts w:hint="eastAsia"/>
                <w:sz w:val="21"/>
                <w:szCs w:val="21"/>
                <w:u w:val="single"/>
                <w:lang w:val="en-US" w:eastAsia="zh-CN"/>
              </w:rPr>
              <w:t>颗粒物、二氧化硫、氮氧化物</w:t>
            </w:r>
          </w:p>
        </w:tc>
        <w:tc>
          <w:tcPr>
            <w:tcW w:w="1815"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r>
              <w:rPr>
                <w:rFonts w:hint="eastAsia"/>
                <w:sz w:val="21"/>
                <w:szCs w:val="21"/>
                <w:u w:val="single"/>
                <w:lang w:val="en-US" w:eastAsia="zh-CN"/>
              </w:rPr>
              <w:t>通风</w:t>
            </w:r>
          </w:p>
        </w:tc>
        <w:tc>
          <w:tcPr>
            <w:tcW w:w="1978" w:type="dxa"/>
            <w:tcBorders>
              <w:left w:val="single" w:color="000000" w:sz="4" w:space="0"/>
              <w:bottom w:val="single" w:color="000000" w:sz="4" w:space="0"/>
            </w:tcBorders>
          </w:tcPr>
          <w:p>
            <w:pPr>
              <w:pStyle w:val="49"/>
              <w:wordWrap/>
              <w:overflowPunct w:val="0"/>
              <w:topLinePunct w:val="0"/>
              <w:autoSpaceDE w:val="0"/>
              <w:autoSpaceDN w:val="0"/>
              <w:jc w:val="center"/>
              <w:rPr>
                <w:rFonts w:hint="eastAsia"/>
                <w:sz w:val="21"/>
                <w:szCs w:val="21"/>
                <w:u w:val="single"/>
                <w:lang w:val="en-US"/>
              </w:rPr>
            </w:pPr>
            <w:r>
              <w:rPr>
                <w:sz w:val="21"/>
                <w:szCs w:val="21"/>
                <w:u w:val="single"/>
                <w:lang w:val="en-US"/>
              </w:rPr>
              <w:t>《大气污染物综合排放标准》（GB16297-1996）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603" w:type="dxa"/>
            <w:vMerge w:val="continue"/>
            <w:tcBorders>
              <w:bottom w:val="single" w:color="000000" w:sz="4" w:space="0"/>
              <w:right w:val="single" w:color="000000" w:sz="4" w:space="0"/>
            </w:tcBorders>
          </w:tcPr>
          <w:p>
            <w:pPr>
              <w:wordWrap/>
              <w:overflowPunct w:val="0"/>
              <w:topLinePunct w:val="0"/>
              <w:autoSpaceDE w:val="0"/>
              <w:autoSpaceDN w:val="0"/>
              <w:ind w:firstLine="420"/>
              <w:jc w:val="center"/>
              <w:rPr>
                <w:sz w:val="21"/>
                <w:szCs w:val="21"/>
                <w:u w:val="single"/>
                <w:lang w:val="en-US"/>
              </w:rPr>
            </w:pPr>
          </w:p>
        </w:tc>
        <w:tc>
          <w:tcPr>
            <w:tcW w:w="1710" w:type="dxa"/>
            <w:tcBorders>
              <w:left w:val="single" w:color="000000" w:sz="4" w:space="0"/>
              <w:right w:val="single" w:color="000000" w:sz="4" w:space="0"/>
            </w:tcBorders>
            <w:vAlign w:val="center"/>
          </w:tcPr>
          <w:p>
            <w:pPr>
              <w:pStyle w:val="49"/>
              <w:wordWrap/>
              <w:overflowPunct w:val="0"/>
              <w:topLinePunct w:val="0"/>
              <w:autoSpaceDE w:val="0"/>
              <w:autoSpaceDN w:val="0"/>
              <w:jc w:val="center"/>
              <w:rPr>
                <w:rFonts w:hint="default"/>
                <w:sz w:val="21"/>
                <w:szCs w:val="21"/>
                <w:u w:val="single"/>
                <w:lang w:val="en-US" w:eastAsia="zh-CN"/>
              </w:rPr>
            </w:pPr>
            <w:r>
              <w:rPr>
                <w:rFonts w:hint="eastAsia"/>
                <w:sz w:val="21"/>
                <w:szCs w:val="21"/>
                <w:u w:val="single"/>
                <w:lang w:val="en-US" w:eastAsia="zh-CN"/>
              </w:rPr>
              <w:t>锅炉废气DA001</w:t>
            </w: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eastAsia"/>
                <w:sz w:val="21"/>
                <w:szCs w:val="21"/>
                <w:u w:val="single"/>
                <w:lang w:val="en-US" w:eastAsia="zh-CN"/>
              </w:rPr>
            </w:pPr>
            <w:r>
              <w:rPr>
                <w:rFonts w:hint="eastAsia"/>
                <w:sz w:val="21"/>
                <w:szCs w:val="21"/>
                <w:u w:val="single"/>
                <w:lang w:val="en-US" w:eastAsia="zh-CN"/>
              </w:rPr>
              <w:t>颗粒物、二氧化硫、氮氧化物</w:t>
            </w:r>
          </w:p>
        </w:tc>
        <w:tc>
          <w:tcPr>
            <w:tcW w:w="1815"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sz w:val="21"/>
                <w:szCs w:val="21"/>
                <w:u w:val="single"/>
                <w:lang w:val="en-US" w:eastAsia="zh-CN"/>
              </w:rPr>
            </w:pPr>
            <w:r>
              <w:rPr>
                <w:rFonts w:hint="eastAsia"/>
                <w:sz w:val="21"/>
                <w:szCs w:val="21"/>
                <w:u w:val="single"/>
                <w:lang w:val="en-US" w:eastAsia="zh-CN"/>
              </w:rPr>
              <w:t>低氮燃烧+湿式除尘+20m排气筒</w:t>
            </w:r>
          </w:p>
        </w:tc>
        <w:tc>
          <w:tcPr>
            <w:tcW w:w="1978" w:type="dxa"/>
            <w:tcBorders>
              <w:left w:val="single" w:color="000000" w:sz="4" w:space="0"/>
              <w:bottom w:val="single" w:color="000000" w:sz="4" w:space="0"/>
            </w:tcBorders>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《锅炉大气污染物排放标准》（</w:t>
            </w:r>
            <w:r>
              <w:rPr>
                <w:sz w:val="21"/>
                <w:szCs w:val="21"/>
                <w:u w:val="single"/>
                <w:lang w:val="en-US"/>
              </w:rPr>
              <w:t>GB13271-2014</w:t>
            </w:r>
            <w:r>
              <w:rPr>
                <w:rFonts w:hint="eastAsia"/>
                <w:sz w:val="21"/>
                <w:szCs w:val="21"/>
                <w:u w:val="single"/>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6" w:hRule="atLeast"/>
        </w:trPr>
        <w:tc>
          <w:tcPr>
            <w:tcW w:w="1603" w:type="dxa"/>
            <w:vMerge w:val="restart"/>
            <w:tcBorders>
              <w:top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rPr>
            </w:pPr>
            <w:r>
              <w:rPr>
                <w:rFonts w:hint="eastAsia"/>
                <w:sz w:val="21"/>
                <w:szCs w:val="21"/>
                <w:u w:val="single"/>
              </w:rPr>
              <w:t>地表水</w:t>
            </w:r>
            <w:r>
              <w:rPr>
                <w:sz w:val="21"/>
                <w:szCs w:val="21"/>
                <w:u w:val="single"/>
              </w:rPr>
              <w:t>环境</w:t>
            </w:r>
          </w:p>
        </w:tc>
        <w:tc>
          <w:tcPr>
            <w:tcW w:w="1710"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生活废水</w:t>
            </w: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CODcr、BOD</w:t>
            </w:r>
            <w:r>
              <w:rPr>
                <w:rFonts w:hint="eastAsia"/>
                <w:sz w:val="21"/>
                <w:szCs w:val="21"/>
                <w:u w:val="single"/>
                <w:vertAlign w:val="subscript"/>
                <w:lang w:val="en-US"/>
              </w:rPr>
              <w:t>5</w:t>
            </w:r>
            <w:r>
              <w:rPr>
                <w:rFonts w:hint="eastAsia"/>
                <w:sz w:val="21"/>
                <w:szCs w:val="21"/>
                <w:u w:val="single"/>
                <w:lang w:val="en-US"/>
              </w:rPr>
              <w:t>、SS、氨氮、总氮</w:t>
            </w:r>
          </w:p>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、总磷、动植物油</w:t>
            </w:r>
          </w:p>
        </w:tc>
        <w:tc>
          <w:tcPr>
            <w:tcW w:w="1815" w:type="dxa"/>
            <w:vMerge w:val="restart"/>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r>
              <w:rPr>
                <w:rFonts w:hint="eastAsia"/>
                <w:sz w:val="21"/>
                <w:szCs w:val="21"/>
                <w:u w:val="single"/>
                <w:lang w:val="en-US"/>
              </w:rPr>
              <w:t>经一体化污水处理</w:t>
            </w:r>
            <w:r>
              <w:rPr>
                <w:rFonts w:hint="eastAsia"/>
                <w:sz w:val="21"/>
                <w:szCs w:val="21"/>
                <w:u w:val="single"/>
                <w:lang w:val="en-US" w:eastAsia="zh-CN"/>
              </w:rPr>
              <w:t>设施（混凝沉淀+SBR法）</w:t>
            </w:r>
            <w:r>
              <w:rPr>
                <w:rFonts w:hint="eastAsia"/>
                <w:sz w:val="21"/>
                <w:szCs w:val="21"/>
                <w:u w:val="single"/>
                <w:lang w:val="en-US"/>
              </w:rPr>
              <w:t>处理后</w:t>
            </w:r>
            <w:r>
              <w:rPr>
                <w:rFonts w:hint="eastAsia"/>
                <w:sz w:val="21"/>
                <w:szCs w:val="21"/>
                <w:u w:val="single"/>
                <w:lang w:val="en-US" w:eastAsia="zh-CN"/>
              </w:rPr>
              <w:t>农灌</w:t>
            </w:r>
          </w:p>
        </w:tc>
        <w:tc>
          <w:tcPr>
            <w:tcW w:w="1978" w:type="dxa"/>
            <w:vMerge w:val="restart"/>
            <w:tcBorders>
              <w:top w:val="single" w:color="000000" w:sz="4" w:space="0"/>
              <w:left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r>
              <w:rPr>
                <w:rFonts w:hint="eastAsia" w:eastAsia="宋体"/>
                <w:sz w:val="21"/>
                <w:szCs w:val="21"/>
                <w:u w:val="single"/>
                <w:lang w:val="en-US" w:eastAsia="zh-CN"/>
              </w:rPr>
              <w:t>《农田灌溉水质标准》（GB5084-2021）中的水田标准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9" w:hRule="atLeast"/>
        </w:trPr>
        <w:tc>
          <w:tcPr>
            <w:tcW w:w="1603" w:type="dxa"/>
            <w:vMerge w:val="continue"/>
            <w:tcBorders>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rPr>
            </w:pPr>
          </w:p>
        </w:tc>
        <w:tc>
          <w:tcPr>
            <w:tcW w:w="1710"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生产废水</w:t>
            </w:r>
          </w:p>
        </w:tc>
        <w:tc>
          <w:tcPr>
            <w:tcW w:w="1695"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CODcr、BOD</w:t>
            </w:r>
            <w:r>
              <w:rPr>
                <w:rFonts w:hint="eastAsia"/>
                <w:sz w:val="21"/>
                <w:szCs w:val="21"/>
                <w:u w:val="single"/>
                <w:vertAlign w:val="subscript"/>
                <w:lang w:val="en-US"/>
              </w:rPr>
              <w:t>5</w:t>
            </w:r>
            <w:r>
              <w:rPr>
                <w:rFonts w:hint="eastAsia"/>
                <w:sz w:val="21"/>
                <w:szCs w:val="21"/>
                <w:u w:val="single"/>
                <w:lang w:val="en-US"/>
              </w:rPr>
              <w:t>、SS、氨氮、总氮</w:t>
            </w:r>
          </w:p>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、总磷、动植物油</w:t>
            </w:r>
          </w:p>
        </w:tc>
        <w:tc>
          <w:tcPr>
            <w:tcW w:w="1815" w:type="dxa"/>
            <w:vMerge w:val="continue"/>
            <w:tcBorders>
              <w:left w:val="single" w:color="000000" w:sz="4" w:space="0"/>
              <w:right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p>
        </w:tc>
        <w:tc>
          <w:tcPr>
            <w:tcW w:w="1978" w:type="dxa"/>
            <w:vMerge w:val="continue"/>
            <w:tcBorders>
              <w:left w:val="single" w:color="000000" w:sz="4" w:space="0"/>
              <w:bottom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9" w:hRule="atLeast"/>
        </w:trPr>
        <w:tc>
          <w:tcPr>
            <w:tcW w:w="1603"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rPr>
            </w:pPr>
            <w:r>
              <w:rPr>
                <w:sz w:val="21"/>
                <w:szCs w:val="21"/>
                <w:u w:val="single"/>
              </w:rPr>
              <w:t>声环境</w:t>
            </w:r>
          </w:p>
        </w:tc>
        <w:tc>
          <w:tcPr>
            <w:tcW w:w="1710"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各生产处理设备</w:t>
            </w:r>
          </w:p>
        </w:tc>
        <w:tc>
          <w:tcPr>
            <w:tcW w:w="1695"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等效A声级</w:t>
            </w:r>
          </w:p>
        </w:tc>
        <w:tc>
          <w:tcPr>
            <w:tcW w:w="1815" w:type="dxa"/>
            <w:tcBorders>
              <w:top w:val="single" w:color="000000" w:sz="4" w:space="0"/>
              <w:left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基础减震、选用低噪设备、厂房隔声</w:t>
            </w:r>
          </w:p>
        </w:tc>
        <w:tc>
          <w:tcPr>
            <w:tcW w:w="1978" w:type="dxa"/>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jc w:val="center"/>
              <w:rPr>
                <w:rFonts w:hint="eastAsia" w:eastAsia="宋体"/>
                <w:sz w:val="21"/>
                <w:szCs w:val="21"/>
                <w:u w:val="single"/>
                <w:lang w:val="en-US" w:eastAsia="zh-CN"/>
              </w:rPr>
            </w:pPr>
            <w:r>
              <w:rPr>
                <w:rFonts w:hint="eastAsia"/>
                <w:sz w:val="21"/>
                <w:szCs w:val="21"/>
                <w:highlight w:val="none"/>
                <w:u w:val="single"/>
                <w:lang w:val="en-US" w:eastAsia="zh-CN"/>
              </w:rPr>
              <w:t>东西</w:t>
            </w:r>
            <w:r>
              <w:rPr>
                <w:rFonts w:hint="eastAsia"/>
                <w:sz w:val="21"/>
                <w:szCs w:val="21"/>
                <w:u w:val="single"/>
                <w:lang w:val="en-US" w:eastAsia="zh-CN"/>
              </w:rPr>
              <w:t>北侧执行</w:t>
            </w:r>
            <w:r>
              <w:rPr>
                <w:rFonts w:hint="eastAsia"/>
                <w:sz w:val="21"/>
                <w:szCs w:val="21"/>
                <w:u w:val="single"/>
                <w:lang w:val="en-US"/>
              </w:rPr>
              <w:t>《工业企业厂界环境噪声排放标准》（GB12348-2008）</w:t>
            </w:r>
            <w:r>
              <w:rPr>
                <w:rFonts w:hint="eastAsia"/>
                <w:sz w:val="21"/>
                <w:szCs w:val="21"/>
                <w:highlight w:val="none"/>
                <w:u w:val="single"/>
                <w:lang w:val="en-US" w:eastAsia="zh-CN"/>
              </w:rPr>
              <w:t>2</w:t>
            </w:r>
            <w:r>
              <w:rPr>
                <w:rFonts w:hint="eastAsia"/>
                <w:sz w:val="21"/>
                <w:szCs w:val="21"/>
                <w:highlight w:val="none"/>
                <w:u w:val="single"/>
                <w:lang w:val="en-US"/>
              </w:rPr>
              <w:t>类标准</w:t>
            </w:r>
            <w:r>
              <w:rPr>
                <w:rFonts w:hint="eastAsia"/>
                <w:sz w:val="21"/>
                <w:szCs w:val="21"/>
                <w:highlight w:val="none"/>
                <w:u w:val="single"/>
                <w:lang w:val="en-US" w:eastAsia="zh-CN"/>
              </w:rPr>
              <w:t>；南侧</w:t>
            </w:r>
            <w:r>
              <w:rPr>
                <w:rFonts w:hint="eastAsia"/>
                <w:sz w:val="21"/>
                <w:szCs w:val="21"/>
                <w:u w:val="single"/>
                <w:lang w:val="en-US" w:eastAsia="zh-CN"/>
              </w:rPr>
              <w:t>执行</w:t>
            </w:r>
            <w:r>
              <w:rPr>
                <w:rFonts w:hint="eastAsia"/>
                <w:sz w:val="21"/>
                <w:szCs w:val="21"/>
                <w:u w:val="single"/>
                <w:lang w:val="en-US"/>
              </w:rPr>
              <w:t>《工业企业厂界环境噪声排放标准》（GB12348-2008）</w:t>
            </w:r>
            <w:r>
              <w:rPr>
                <w:rFonts w:hint="eastAsia"/>
                <w:sz w:val="21"/>
                <w:szCs w:val="21"/>
                <w:highlight w:val="none"/>
                <w:u w:val="single"/>
                <w:lang w:val="en-US" w:eastAsia="zh-CN"/>
              </w:rPr>
              <w:t>4</w:t>
            </w:r>
            <w:r>
              <w:rPr>
                <w:rFonts w:hint="eastAsia"/>
                <w:sz w:val="21"/>
                <w:szCs w:val="21"/>
                <w:highlight w:val="none"/>
                <w:u w:val="single"/>
                <w:lang w:val="en-US"/>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6" w:hRule="atLeast"/>
        </w:trPr>
        <w:tc>
          <w:tcPr>
            <w:tcW w:w="1603" w:type="dxa"/>
            <w:tcBorders>
              <w:top w:val="single" w:color="000000" w:sz="4" w:space="0"/>
              <w:bottom w:val="single" w:color="000000" w:sz="4" w:space="0"/>
              <w:right w:val="single" w:color="000000" w:sz="4" w:space="0"/>
            </w:tcBorders>
          </w:tcPr>
          <w:p>
            <w:pPr>
              <w:pStyle w:val="49"/>
              <w:wordWrap/>
              <w:overflowPunct w:val="0"/>
              <w:topLinePunct w:val="0"/>
              <w:autoSpaceDE w:val="0"/>
              <w:autoSpaceDN w:val="0"/>
              <w:ind w:left="288" w:right="171"/>
              <w:jc w:val="center"/>
              <w:rPr>
                <w:sz w:val="21"/>
                <w:szCs w:val="21"/>
                <w:u w:val="single"/>
              </w:rPr>
            </w:pPr>
            <w:r>
              <w:rPr>
                <w:sz w:val="21"/>
                <w:szCs w:val="21"/>
                <w:u w:val="single"/>
              </w:rPr>
              <w:t>固体废物</w:t>
            </w:r>
          </w:p>
        </w:tc>
        <w:tc>
          <w:tcPr>
            <w:tcW w:w="7198" w:type="dxa"/>
            <w:gridSpan w:val="4"/>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jc w:val="center"/>
              <w:rPr>
                <w:rFonts w:hint="default" w:eastAsia="宋体"/>
                <w:sz w:val="21"/>
                <w:szCs w:val="21"/>
                <w:u w:val="single"/>
                <w:lang w:val="en-US" w:eastAsia="zh-CN"/>
              </w:rPr>
            </w:pPr>
            <w:r>
              <w:rPr>
                <w:rFonts w:hint="eastAsia"/>
                <w:sz w:val="21"/>
                <w:szCs w:val="21"/>
                <w:u w:val="single"/>
                <w:lang w:val="en-US"/>
              </w:rPr>
              <w:t>生活垃圾</w:t>
            </w:r>
            <w:r>
              <w:rPr>
                <w:rFonts w:hint="eastAsia"/>
                <w:sz w:val="21"/>
                <w:szCs w:val="21"/>
                <w:u w:val="single"/>
                <w:lang w:val="en-US" w:eastAsia="zh-CN"/>
              </w:rPr>
              <w:t>及砂石</w:t>
            </w:r>
            <w:r>
              <w:rPr>
                <w:rFonts w:hint="eastAsia"/>
                <w:sz w:val="21"/>
                <w:szCs w:val="21"/>
                <w:u w:val="single"/>
                <w:lang w:val="en-US"/>
              </w:rPr>
              <w:t>收集后由环卫部门统一清运处理</w:t>
            </w:r>
            <w:r>
              <w:rPr>
                <w:rFonts w:hint="eastAsia"/>
                <w:sz w:val="21"/>
                <w:szCs w:val="21"/>
                <w:u w:val="single"/>
                <w:lang w:val="en-US" w:eastAsia="zh-CN"/>
              </w:rPr>
              <w:t>；</w:t>
            </w:r>
            <w:r>
              <w:rPr>
                <w:rFonts w:hint="eastAsia"/>
                <w:sz w:val="21"/>
                <w:szCs w:val="21"/>
                <w:u w:val="single"/>
                <w:lang w:val="en-US"/>
              </w:rPr>
              <w:t>废包装物收集后外售至废品回收站</w:t>
            </w:r>
            <w:r>
              <w:rPr>
                <w:rFonts w:hint="eastAsia"/>
                <w:sz w:val="21"/>
                <w:szCs w:val="21"/>
                <w:u w:val="single"/>
                <w:lang w:val="en-US" w:eastAsia="zh-CN"/>
              </w:rPr>
              <w:t>；过期原辅料同生产性废料</w:t>
            </w:r>
            <w:r>
              <w:rPr>
                <w:rFonts w:hint="eastAsia"/>
                <w:sz w:val="21"/>
                <w:szCs w:val="21"/>
                <w:u w:val="single"/>
                <w:lang w:val="en-US"/>
              </w:rPr>
              <w:t>收集后当天及时出售给养殖户作为饲料使用</w:t>
            </w:r>
            <w:r>
              <w:rPr>
                <w:rFonts w:hint="eastAsia"/>
                <w:sz w:val="21"/>
                <w:szCs w:val="21"/>
                <w:u w:val="single"/>
                <w:lang w:val="en-US" w:eastAsia="zh-CN"/>
              </w:rPr>
              <w:t>；</w:t>
            </w:r>
            <w:r>
              <w:rPr>
                <w:rFonts w:hint="eastAsia"/>
                <w:sz w:val="21"/>
                <w:szCs w:val="21"/>
                <w:u w:val="single"/>
                <w:lang w:val="en-US"/>
              </w:rPr>
              <w:t>污泥经污泥干化池脱水后的污泥采取密闭封装</w:t>
            </w:r>
            <w:r>
              <w:rPr>
                <w:rFonts w:hint="eastAsia"/>
                <w:sz w:val="21"/>
                <w:szCs w:val="21"/>
                <w:u w:val="single"/>
                <w:lang w:val="en-US" w:eastAsia="zh-CN"/>
              </w:rPr>
              <w:t>，交</w:t>
            </w:r>
            <w:r>
              <w:rPr>
                <w:rFonts w:hint="eastAsia"/>
                <w:sz w:val="21"/>
                <w:szCs w:val="21"/>
                <w:u w:val="single"/>
                <w:lang w:val="en-US"/>
              </w:rPr>
              <w:t>由环卫部门统一清运</w:t>
            </w:r>
            <w:r>
              <w:rPr>
                <w:rFonts w:hint="eastAsia"/>
                <w:sz w:val="21"/>
                <w:szCs w:val="21"/>
                <w:u w:val="single"/>
                <w:lang w:val="en-US" w:eastAsia="zh-CN"/>
              </w:rPr>
              <w:t>至吉首垃圾焚烧厂焚烧</w:t>
            </w:r>
            <w:r>
              <w:rPr>
                <w:rFonts w:hint="eastAsia"/>
                <w:sz w:val="21"/>
                <w:szCs w:val="21"/>
                <w:u w:val="single"/>
                <w:lang w:val="en-US"/>
              </w:rPr>
              <w:t>处理</w:t>
            </w:r>
            <w:r>
              <w:rPr>
                <w:rFonts w:hint="eastAsia"/>
                <w:sz w:val="21"/>
                <w:szCs w:val="21"/>
                <w:u w:val="single"/>
                <w:lang w:val="en-US" w:eastAsia="zh-CN"/>
              </w:rPr>
              <w:t>；检验室固废</w:t>
            </w:r>
            <w:r>
              <w:rPr>
                <w:rFonts w:hint="eastAsia"/>
                <w:sz w:val="21"/>
                <w:szCs w:val="21"/>
                <w:u w:val="single"/>
                <w:lang w:eastAsia="zh-CN"/>
              </w:rPr>
              <w:t>属于一般固废，</w:t>
            </w:r>
            <w:r>
              <w:rPr>
                <w:rFonts w:hint="eastAsia"/>
                <w:sz w:val="21"/>
                <w:szCs w:val="21"/>
                <w:u w:val="single"/>
                <w:lang w:val="en-US" w:eastAsia="zh-CN"/>
              </w:rPr>
              <w:t>其中培养基经高温灭活后可按一般固废处置，</w:t>
            </w:r>
            <w:r>
              <w:rPr>
                <w:rFonts w:hint="eastAsia"/>
                <w:sz w:val="21"/>
                <w:szCs w:val="21"/>
                <w:u w:val="single"/>
                <w:lang w:eastAsia="zh-CN"/>
              </w:rPr>
              <w:t>交由环卫部门清运；</w:t>
            </w:r>
            <w:r>
              <w:rPr>
                <w:rFonts w:hint="eastAsia"/>
                <w:sz w:val="21"/>
                <w:szCs w:val="21"/>
                <w:u w:val="single"/>
                <w:lang w:val="en-US" w:eastAsia="zh-CN"/>
              </w:rPr>
              <w:t>除尘灰同锅炉灰渣</w:t>
            </w:r>
            <w:r>
              <w:rPr>
                <w:sz w:val="21"/>
                <w:szCs w:val="21"/>
                <w:u w:val="single"/>
              </w:rPr>
              <w:t>交由附近村庄农户用作果园、苗圃、蔬菜地或绿化树木的肥料</w:t>
            </w:r>
            <w:r>
              <w:rPr>
                <w:rFonts w:hint="eastAsia"/>
                <w:sz w:val="21"/>
                <w:szCs w:val="21"/>
                <w:u w:val="single"/>
                <w:lang w:eastAsia="zh-CN"/>
              </w:rPr>
              <w:t>；过滤器（</w:t>
            </w:r>
            <w:r>
              <w:rPr>
                <w:rFonts w:hint="eastAsia"/>
                <w:sz w:val="21"/>
                <w:szCs w:val="21"/>
                <w:u w:val="single"/>
                <w:lang w:val="en-US" w:eastAsia="zh-CN"/>
              </w:rPr>
              <w:t>含活性炭</w:t>
            </w:r>
            <w:r>
              <w:rPr>
                <w:rFonts w:hint="eastAsia"/>
                <w:sz w:val="21"/>
                <w:szCs w:val="21"/>
                <w:u w:val="single"/>
                <w:lang w:eastAsia="zh-CN"/>
              </w:rPr>
              <w:t>）、反渗透膜经处理后可以重复使用，</w:t>
            </w:r>
            <w:r>
              <w:rPr>
                <w:rFonts w:hint="eastAsia"/>
                <w:sz w:val="21"/>
                <w:szCs w:val="21"/>
                <w:u w:val="single"/>
                <w:lang w:val="en-US" w:eastAsia="zh-CN"/>
              </w:rPr>
              <w:t>与废树脂一同</w:t>
            </w:r>
            <w:r>
              <w:rPr>
                <w:rFonts w:hint="eastAsia"/>
                <w:sz w:val="21"/>
                <w:szCs w:val="21"/>
                <w:u w:val="single"/>
                <w:lang w:eastAsia="zh-CN"/>
              </w:rPr>
              <w:t>由设备服务公司回收；</w:t>
            </w:r>
            <w:r>
              <w:rPr>
                <w:rFonts w:hint="eastAsia"/>
                <w:sz w:val="21"/>
                <w:szCs w:val="21"/>
                <w:u w:val="single"/>
                <w:lang w:val="en-US" w:eastAsia="zh-CN"/>
              </w:rPr>
              <w:t>废紫外灯管以及检验室废液属于危险废物，定期交由资质单位处置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6" w:hRule="atLeast"/>
        </w:trPr>
        <w:tc>
          <w:tcPr>
            <w:tcW w:w="1603"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土壤及地下水污染防治措施</w:t>
            </w:r>
          </w:p>
        </w:tc>
        <w:tc>
          <w:tcPr>
            <w:tcW w:w="7198" w:type="dxa"/>
            <w:gridSpan w:val="4"/>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jc w:val="center"/>
              <w:rPr>
                <w:rFonts w:hint="default" w:eastAsia="宋体"/>
                <w:sz w:val="21"/>
                <w:szCs w:val="21"/>
                <w:u w:val="single"/>
                <w:lang w:val="en-US" w:eastAsia="zh-CN"/>
              </w:rPr>
            </w:pPr>
            <w:r>
              <w:rPr>
                <w:rFonts w:hint="default" w:eastAsia="宋体"/>
                <w:sz w:val="21"/>
                <w:szCs w:val="21"/>
                <w:u w:val="single"/>
                <w:lang w:val="en-US" w:eastAsia="zh-CN"/>
              </w:rPr>
              <w:t>为防止地下水、土壤受污染，污水处理站</w:t>
            </w:r>
            <w:r>
              <w:rPr>
                <w:rFonts w:hint="eastAsia" w:eastAsia="宋体"/>
                <w:sz w:val="21"/>
                <w:szCs w:val="21"/>
                <w:u w:val="single"/>
                <w:lang w:val="en-US" w:eastAsia="zh-CN"/>
              </w:rPr>
              <w:t>、</w:t>
            </w:r>
            <w:r>
              <w:rPr>
                <w:rFonts w:hint="default" w:eastAsia="宋体"/>
                <w:sz w:val="21"/>
                <w:szCs w:val="21"/>
                <w:u w:val="single"/>
                <w:lang w:val="en-US" w:eastAsia="zh-CN"/>
              </w:rPr>
              <w:t>危废暂存间为重点防渗区，生产车间、备用柴油发电机房、化粪池</w:t>
            </w:r>
            <w:r>
              <w:rPr>
                <w:rFonts w:hint="eastAsia"/>
                <w:sz w:val="21"/>
                <w:szCs w:val="21"/>
                <w:u w:val="single"/>
                <w:lang w:val="en-US" w:eastAsia="zh-CN"/>
              </w:rPr>
              <w:t>、一般固废间</w:t>
            </w:r>
            <w:r>
              <w:rPr>
                <w:rFonts w:hint="default" w:eastAsia="宋体"/>
                <w:sz w:val="21"/>
                <w:szCs w:val="21"/>
                <w:u w:val="single"/>
                <w:lang w:val="en-US" w:eastAsia="zh-CN"/>
              </w:rPr>
              <w:t>为一般防渗区，不与外界土壤、地下水接触，对地下水、土壤环境影响较小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6" w:hRule="atLeast"/>
        </w:trPr>
        <w:tc>
          <w:tcPr>
            <w:tcW w:w="1603"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rPr>
              <w:t>生态保护措施</w:t>
            </w:r>
          </w:p>
        </w:tc>
        <w:tc>
          <w:tcPr>
            <w:tcW w:w="7198" w:type="dxa"/>
            <w:gridSpan w:val="4"/>
            <w:tcBorders>
              <w:top w:val="single" w:color="000000" w:sz="4" w:space="0"/>
              <w:left w:val="single" w:color="000000" w:sz="4" w:space="0"/>
              <w:bottom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ascii="Times New Roman" w:hAnsi="Times New Roman" w:eastAsia="宋体" w:cs="宋体"/>
                <w:b w:val="0"/>
                <w:bCs w:val="0"/>
                <w:color w:val="000000"/>
                <w:sz w:val="21"/>
                <w:szCs w:val="21"/>
                <w:u w:val="single"/>
                <w:lang w:eastAsia="zh-CN"/>
              </w:rPr>
              <w:t>不得越过红线破坏生态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2" w:hRule="atLeast"/>
        </w:trPr>
        <w:tc>
          <w:tcPr>
            <w:tcW w:w="1603" w:type="dxa"/>
            <w:tcBorders>
              <w:top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sz w:val="21"/>
                <w:szCs w:val="21"/>
                <w:u w:val="single"/>
                <w:lang w:val="en-US"/>
              </w:rPr>
            </w:pPr>
            <w:r>
              <w:rPr>
                <w:rFonts w:hint="eastAsia"/>
                <w:sz w:val="21"/>
                <w:szCs w:val="21"/>
                <w:u w:val="single"/>
                <w:lang w:val="en-US" w:eastAsia="zh-CN"/>
              </w:rPr>
              <w:t>风险防范措施要求</w:t>
            </w:r>
          </w:p>
        </w:tc>
        <w:tc>
          <w:tcPr>
            <w:tcW w:w="7198" w:type="dxa"/>
            <w:gridSpan w:val="4"/>
            <w:tcBorders>
              <w:top w:val="single" w:color="000000" w:sz="4" w:space="0"/>
              <w:left w:val="single" w:color="000000" w:sz="4" w:space="0"/>
              <w:bottom w:val="single" w:color="000000" w:sz="4" w:space="0"/>
            </w:tcBorders>
            <w:vAlign w:val="center"/>
          </w:tcPr>
          <w:p>
            <w:pPr>
              <w:pStyle w:val="39"/>
              <w:bidi w:val="0"/>
              <w:jc w:val="left"/>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①</w:t>
            </w:r>
            <w:r>
              <w:rPr>
                <w:rFonts w:hint="default" w:ascii="Times New Roman" w:hAnsi="Times New Roman" w:eastAsia="宋体" w:cs="Times New Roman"/>
                <w:szCs w:val="21"/>
                <w:u w:val="single"/>
              </w:rPr>
              <w:t>落实主要风险防控单元的责任人</w:t>
            </w:r>
            <w:r>
              <w:rPr>
                <w:rFonts w:hint="default" w:ascii="Times New Roman" w:hAnsi="Times New Roman" w:eastAsia="宋体" w:cs="Times New Roman"/>
                <w:color w:val="auto"/>
                <w:sz w:val="21"/>
                <w:szCs w:val="21"/>
                <w:u w:val="single"/>
              </w:rPr>
              <w:t>；</w:t>
            </w:r>
          </w:p>
          <w:p>
            <w:pPr>
              <w:pStyle w:val="39"/>
              <w:bidi w:val="0"/>
              <w:jc w:val="left"/>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②</w:t>
            </w:r>
            <w:r>
              <w:rPr>
                <w:rFonts w:hint="default" w:ascii="Times New Roman" w:hAnsi="Times New Roman" w:eastAsia="宋体" w:cs="Times New Roman"/>
                <w:szCs w:val="21"/>
                <w:u w:val="single"/>
              </w:rPr>
              <w:t>建立隐患排查治理等环境风险管理制度</w:t>
            </w:r>
            <w:r>
              <w:rPr>
                <w:rFonts w:hint="default" w:ascii="Times New Roman" w:hAnsi="Times New Roman" w:eastAsia="宋体" w:cs="Times New Roman"/>
                <w:color w:val="auto"/>
                <w:sz w:val="21"/>
                <w:szCs w:val="21"/>
                <w:u w:val="single"/>
              </w:rPr>
              <w:t>；</w:t>
            </w:r>
          </w:p>
          <w:p>
            <w:pPr>
              <w:pStyle w:val="39"/>
              <w:bidi w:val="0"/>
              <w:jc w:val="left"/>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③</w:t>
            </w:r>
            <w:r>
              <w:rPr>
                <w:rFonts w:hint="default" w:ascii="Times New Roman" w:hAnsi="Times New Roman" w:eastAsia="宋体" w:cs="Times New Roman"/>
                <w:szCs w:val="21"/>
                <w:u w:val="single"/>
              </w:rPr>
              <w:t>建立和落实民企联系制度，加强与当地环保主管部门、村庄居民的联系，做好防火及事故应急救援的联动</w:t>
            </w:r>
            <w:r>
              <w:rPr>
                <w:rFonts w:hint="default" w:ascii="Times New Roman" w:hAnsi="Times New Roman" w:eastAsia="宋体" w:cs="Times New Roman"/>
                <w:color w:val="auto"/>
                <w:sz w:val="21"/>
                <w:szCs w:val="21"/>
                <w:u w:val="single"/>
              </w:rPr>
              <w:t>；</w:t>
            </w:r>
          </w:p>
          <w:p>
            <w:pPr>
              <w:pStyle w:val="39"/>
              <w:bidi w:val="0"/>
              <w:jc w:val="left"/>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④</w:t>
            </w:r>
            <w:r>
              <w:rPr>
                <w:rFonts w:hint="eastAsia" w:ascii="Times New Roman" w:hAnsi="Times New Roman" w:cs="Times New Roman"/>
                <w:szCs w:val="21"/>
                <w:u w:val="single"/>
                <w:lang w:val="en-US" w:eastAsia="zh-CN"/>
              </w:rPr>
              <w:t>锅炉房</w:t>
            </w:r>
            <w:r>
              <w:rPr>
                <w:rFonts w:hint="default" w:ascii="Times New Roman" w:hAnsi="Times New Roman" w:cs="Times New Roman"/>
                <w:szCs w:val="21"/>
                <w:u w:val="single"/>
              </w:rPr>
              <w:t>等危险部位通过安装报警器。一旦报警器报警时，现场值班人员立即向</w:t>
            </w:r>
            <w:r>
              <w:rPr>
                <w:rFonts w:hint="default" w:ascii="Times New Roman" w:hAnsi="Times New Roman" w:cs="Times New Roman"/>
                <w:szCs w:val="21"/>
                <w:u w:val="single"/>
                <w:lang w:eastAsia="zh-CN"/>
              </w:rPr>
              <w:t>应急办</w:t>
            </w:r>
            <w:r>
              <w:rPr>
                <w:rFonts w:hint="default" w:ascii="Times New Roman" w:hAnsi="Times New Roman" w:cs="Times New Roman"/>
                <w:szCs w:val="21"/>
                <w:u w:val="single"/>
              </w:rPr>
              <w:t>主任报告，并通知相关负责人到报警器报警位置检查</w:t>
            </w:r>
            <w:r>
              <w:rPr>
                <w:rFonts w:hint="default" w:ascii="Times New Roman" w:hAnsi="Times New Roman" w:eastAsia="宋体" w:cs="Times New Roman"/>
                <w:color w:val="auto"/>
                <w:sz w:val="21"/>
                <w:szCs w:val="21"/>
                <w:u w:val="single"/>
              </w:rPr>
              <w:t>；</w:t>
            </w:r>
          </w:p>
          <w:p>
            <w:pPr>
              <w:pStyle w:val="39"/>
              <w:bidi w:val="0"/>
              <w:jc w:val="left"/>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⑤</w:t>
            </w:r>
            <w:r>
              <w:rPr>
                <w:rFonts w:hint="default" w:ascii="Times New Roman" w:hAnsi="Times New Roman" w:cs="Times New Roman"/>
                <w:szCs w:val="21"/>
                <w:u w:val="single"/>
              </w:rPr>
              <w:t>在</w:t>
            </w:r>
            <w:r>
              <w:rPr>
                <w:rFonts w:hint="eastAsia" w:ascii="Times New Roman" w:hAnsi="Times New Roman" w:cs="Times New Roman"/>
                <w:szCs w:val="21"/>
                <w:u w:val="single"/>
                <w:lang w:val="en-US" w:eastAsia="zh-CN"/>
              </w:rPr>
              <w:t>车间</w:t>
            </w:r>
            <w:r>
              <w:rPr>
                <w:rFonts w:hint="default" w:ascii="Times New Roman" w:hAnsi="Times New Roman" w:cs="Times New Roman"/>
                <w:szCs w:val="21"/>
                <w:u w:val="single"/>
              </w:rPr>
              <w:t>张贴安全操作规程，车间和班组管理人员每天对作业员工开展班前安全训示，注意作业人员的思想和精神状况，检查作业人员是否按规定使用劳动防护用品。如发现设备的安全防护装置有故障，则对设备进行整修</w:t>
            </w:r>
            <w:r>
              <w:rPr>
                <w:rFonts w:hint="default" w:ascii="Times New Roman" w:hAnsi="Times New Roman" w:eastAsia="宋体" w:cs="Times New Roman"/>
                <w:color w:val="auto"/>
                <w:sz w:val="21"/>
                <w:szCs w:val="21"/>
                <w:u w:val="single"/>
              </w:rPr>
              <w:t>；</w:t>
            </w:r>
          </w:p>
          <w:p>
            <w:pPr>
              <w:pStyle w:val="49"/>
              <w:wordWrap/>
              <w:overflowPunct w:val="0"/>
              <w:topLinePunct w:val="0"/>
              <w:autoSpaceDE w:val="0"/>
              <w:autoSpaceDN w:val="0"/>
              <w:jc w:val="left"/>
              <w:rPr>
                <w:sz w:val="21"/>
                <w:szCs w:val="21"/>
                <w:u w:val="single"/>
                <w:lang w:val="en-US"/>
              </w:rPr>
            </w:pPr>
            <w:r>
              <w:rPr>
                <w:rFonts w:hint="default" w:ascii="Times New Roman" w:hAnsi="Times New Roman" w:eastAsia="宋体" w:cs="Times New Roman"/>
                <w:color w:val="auto"/>
                <w:sz w:val="21"/>
                <w:szCs w:val="21"/>
                <w:u w:val="single"/>
              </w:rPr>
              <w:t>⑥</w:t>
            </w:r>
            <w:r>
              <w:rPr>
                <w:rFonts w:hint="default" w:ascii="Times New Roman" w:hAnsi="Times New Roman" w:cs="Times New Roman"/>
                <w:sz w:val="21"/>
                <w:szCs w:val="21"/>
                <w:u w:val="single"/>
              </w:rPr>
              <w:t>公司应将危险源可能发生事故的应急措施信息告知相关单位和人员</w:t>
            </w:r>
            <w:r>
              <w:rPr>
                <w:rFonts w:hint="default" w:ascii="Times New Roman" w:hAnsi="Times New Roman" w:eastAsia="宋体" w:cs="Times New Roman"/>
                <w:color w:val="auto"/>
                <w:sz w:val="21"/>
                <w:szCs w:val="21"/>
                <w:u w:val="singl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trPr>
        <w:tc>
          <w:tcPr>
            <w:tcW w:w="1603" w:type="dxa"/>
            <w:tcBorders>
              <w:top w:val="single" w:color="000000" w:sz="4" w:space="0"/>
              <w:right w:val="single" w:color="000000" w:sz="4" w:space="0"/>
            </w:tcBorders>
            <w:vAlign w:val="center"/>
          </w:tcPr>
          <w:p>
            <w:pPr>
              <w:pStyle w:val="49"/>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sz w:val="21"/>
                <w:szCs w:val="21"/>
                <w:u w:val="single"/>
                <w:lang w:val="en-US"/>
              </w:rPr>
            </w:pPr>
            <w:r>
              <w:rPr>
                <w:rFonts w:hint="eastAsia"/>
                <w:sz w:val="21"/>
                <w:szCs w:val="21"/>
                <w:u w:val="single"/>
                <w:lang w:val="en-US"/>
              </w:rPr>
              <w:t>其他环境管理要求</w:t>
            </w:r>
          </w:p>
        </w:tc>
        <w:tc>
          <w:tcPr>
            <w:tcW w:w="7198" w:type="dxa"/>
            <w:gridSpan w:val="4"/>
            <w:tcBorders>
              <w:top w:val="single" w:color="000000" w:sz="4" w:space="0"/>
              <w:left w:val="single" w:color="000000" w:sz="4" w:space="0"/>
            </w:tcBorders>
            <w:vAlign w:val="center"/>
          </w:tcPr>
          <w:p>
            <w:pPr>
              <w:pStyle w:val="94"/>
              <w:keepNext w:val="0"/>
              <w:keepLines w:val="0"/>
              <w:pageBreakBefore w:val="0"/>
              <w:widowControl w:val="0"/>
              <w:kinsoku/>
              <w:wordWrap w:val="0"/>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1、建设单位应认真落实环保“三同时”，做到废气、废水和噪声治理措施与主体工程建设同时设计、同时施工、同时验收。</w:t>
            </w:r>
          </w:p>
          <w:p>
            <w:pPr>
              <w:pStyle w:val="94"/>
              <w:keepNext w:val="0"/>
              <w:keepLines w:val="0"/>
              <w:pageBreakBefore w:val="0"/>
              <w:widowControl w:val="0"/>
              <w:kinsoku/>
              <w:wordWrap w:val="0"/>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2、严格按照相关要求建好固体废物临时储存场地，分类收集、储存，并及时收集、及时处置。</w:t>
            </w:r>
          </w:p>
          <w:p>
            <w:pPr>
              <w:pStyle w:val="94"/>
              <w:keepNext w:val="0"/>
              <w:keepLines w:val="0"/>
              <w:pageBreakBefore w:val="0"/>
              <w:widowControl w:val="0"/>
              <w:kinsoku/>
              <w:wordWrap w:val="0"/>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3</w:t>
            </w:r>
            <w:r>
              <w:rPr>
                <w:rFonts w:hint="default" w:ascii="Times New Roman" w:hAnsi="Times New Roman" w:cs="Times New Roman"/>
                <w:sz w:val="21"/>
                <w:szCs w:val="21"/>
                <w:u w:val="single"/>
              </w:rPr>
              <w:t>、加强职工环境意识教育，制定环保设施操作运行规程，建立健全各项环保岗位责任制，强化环保管理，确保环保设施正常稳定运行，防止污染事故发生。</w:t>
            </w:r>
          </w:p>
          <w:p>
            <w:pPr>
              <w:pStyle w:val="94"/>
              <w:keepNext w:val="0"/>
              <w:keepLines w:val="0"/>
              <w:pageBreakBefore w:val="0"/>
              <w:widowControl w:val="0"/>
              <w:kinsoku/>
              <w:wordWrap w:val="0"/>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4</w:t>
            </w:r>
            <w:r>
              <w:rPr>
                <w:rFonts w:hint="default" w:ascii="Times New Roman" w:hAnsi="Times New Roman" w:cs="Times New Roman"/>
                <w:sz w:val="21"/>
                <w:szCs w:val="21"/>
                <w:u w:val="single"/>
              </w:rPr>
              <w:t>、严格按照环境影响评价文件要求进行建设，不准擅自变更建设项目的地点、性质、规模及生产工艺等。若发生变化，建设单位应重新办理建设项目环境影响评价手续，并报有审批权的环保部门批准。</w:t>
            </w:r>
          </w:p>
          <w:p>
            <w:pPr>
              <w:pStyle w:val="49"/>
              <w:keepNext w:val="0"/>
              <w:keepLines w:val="0"/>
              <w:pageBreakBefore w:val="0"/>
              <w:widowControl w:val="0"/>
              <w:kinsoku/>
              <w:wordWrap/>
              <w:overflowPunct w:val="0"/>
              <w:topLinePunct w:val="0"/>
              <w:autoSpaceDE w:val="0"/>
              <w:autoSpaceDN w:val="0"/>
              <w:bidi w:val="0"/>
              <w:adjustRightInd/>
              <w:snapToGrid/>
              <w:spacing w:line="360" w:lineRule="auto"/>
              <w:jc w:val="left"/>
              <w:textAlignment w:val="auto"/>
              <w:rPr>
                <w:rFonts w:hint="default" w:eastAsia="宋体"/>
                <w:sz w:val="21"/>
                <w:szCs w:val="21"/>
                <w:u w:val="single"/>
                <w:lang w:val="en-US" w:eastAsia="zh-CN"/>
              </w:rPr>
            </w:pPr>
            <w:r>
              <w:rPr>
                <w:rFonts w:hint="eastAsia" w:cs="Times New Roman"/>
                <w:sz w:val="21"/>
                <w:szCs w:val="21"/>
                <w:u w:val="single"/>
                <w:lang w:val="en-US" w:eastAsia="zh-CN"/>
              </w:rPr>
              <w:t>5</w:t>
            </w:r>
            <w:r>
              <w:rPr>
                <w:rFonts w:hint="default" w:ascii="Times New Roman" w:hAnsi="Times New Roman" w:cs="Times New Roman"/>
                <w:sz w:val="21"/>
                <w:szCs w:val="21"/>
                <w:u w:val="single"/>
                <w:lang w:val="en-US" w:eastAsia="zh-CN"/>
              </w:rPr>
              <w:t>、</w:t>
            </w:r>
            <w:r>
              <w:rPr>
                <w:rFonts w:hint="default" w:ascii="Times New Roman" w:hAnsi="Times New Roman" w:cs="Times New Roman"/>
                <w:sz w:val="21"/>
                <w:szCs w:val="21"/>
                <w:u w:val="single"/>
                <w:lang w:val="en-US"/>
              </w:rPr>
              <w:t>根据《建设项目竣工环境保护验收暂行办法》，建设项目配套水、噪声、大气、固体废物污染防治设施由企业自主验收</w:t>
            </w:r>
            <w:r>
              <w:rPr>
                <w:rFonts w:hint="default" w:ascii="Times New Roman" w:hAnsi="Times New Roman" w:cs="Times New Roman"/>
                <w:sz w:val="21"/>
                <w:szCs w:val="21"/>
                <w:u w:val="single"/>
                <w:lang w:eastAsia="zh-CN"/>
              </w:rPr>
              <w:t>，</w:t>
            </w:r>
            <w:r>
              <w:rPr>
                <w:rFonts w:hint="default" w:ascii="Times New Roman" w:hAnsi="Times New Roman" w:cs="Times New Roman"/>
                <w:sz w:val="21"/>
                <w:szCs w:val="21"/>
                <w:u w:val="single"/>
                <w:lang w:val="en-US" w:eastAsia="zh-CN"/>
              </w:rPr>
              <w:t>并按要求办理排污许可。</w:t>
            </w:r>
          </w:p>
        </w:tc>
      </w:tr>
    </w:tbl>
    <w:p>
      <w:pPr>
        <w:wordWrap/>
        <w:overflowPunct w:val="0"/>
        <w:topLinePunct w:val="0"/>
        <w:autoSpaceDE w:val="0"/>
        <w:autoSpaceDN w:val="0"/>
        <w:ind w:firstLine="420"/>
        <w:jc w:val="left"/>
        <w:rPr>
          <w:sz w:val="21"/>
        </w:rPr>
        <w:sectPr>
          <w:pgSz w:w="11910" w:h="16840"/>
          <w:pgMar w:top="1580" w:right="1320" w:bottom="1000" w:left="1340" w:header="0" w:footer="817" w:gutter="0"/>
          <w:pgBorders>
            <w:top w:val="none" w:sz="0" w:space="0"/>
            <w:left w:val="none" w:sz="0" w:space="0"/>
            <w:bottom w:val="none" w:sz="0" w:space="0"/>
            <w:right w:val="none" w:sz="0" w:space="0"/>
          </w:pgBorders>
          <w:pgNumType w:fmt="decimal"/>
          <w:cols w:space="720" w:num="1"/>
        </w:sectPr>
      </w:pPr>
    </w:p>
    <w:p>
      <w:pPr>
        <w:pStyle w:val="4"/>
        <w:keepNext w:val="0"/>
        <w:keepLines w:val="0"/>
        <w:pageBreakBefore w:val="0"/>
        <w:widowControl w:val="0"/>
        <w:kinsoku/>
        <w:wordWrap w:val="0"/>
        <w:overflowPunct/>
        <w:topLinePunct/>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b/>
          <w:bCs/>
          <w:sz w:val="28"/>
          <w:szCs w:val="28"/>
        </w:rPr>
      </w:pPr>
      <w:bookmarkStart w:id="141" w:name="_Toc11649"/>
      <w:bookmarkStart w:id="142" w:name="_Toc19940"/>
      <w:r>
        <w:rPr>
          <w:rFonts w:hint="default" w:ascii="Times New Roman" w:hAnsi="Times New Roman" w:eastAsia="宋体" w:cs="Times New Roman"/>
          <w:b/>
          <w:bCs/>
          <w:sz w:val="28"/>
          <w:szCs w:val="28"/>
        </w:rPr>
        <w:t>六、结论</w:t>
      </w:r>
      <w:bookmarkEnd w:id="141"/>
      <w:bookmarkEnd w:id="142"/>
    </w:p>
    <w:p>
      <w:pPr>
        <w:pStyle w:val="13"/>
        <w:wordWrap/>
        <w:overflowPunct w:val="0"/>
        <w:topLinePunct w:val="0"/>
        <w:autoSpaceDE w:val="0"/>
        <w:autoSpaceDN w:val="0"/>
        <w:spacing w:before="10"/>
        <w:ind w:firstLine="600"/>
        <w:jc w:val="left"/>
        <w:rPr>
          <w:sz w:val="18"/>
        </w:rPr>
      </w:pPr>
      <w:r>
        <mc:AlternateContent>
          <mc:Choice Requires="wps">
            <w:drawing>
              <wp:anchor distT="0" distB="0" distL="114300" distR="114300" simplePos="0" relativeHeight="251661312" behindDoc="1" locked="0" layoutInCell="1" allowOverlap="1">
                <wp:simplePos x="0" y="0"/>
                <wp:positionH relativeFrom="page">
                  <wp:posOffset>964565</wp:posOffset>
                </wp:positionH>
                <wp:positionV relativeFrom="paragraph">
                  <wp:posOffset>184150</wp:posOffset>
                </wp:positionV>
                <wp:extent cx="5631180" cy="7628890"/>
                <wp:effectExtent l="4445" t="4445" r="18415" b="17145"/>
                <wp:wrapTopAndBottom/>
                <wp:docPr id="15" name="文本框 3"/>
                <wp:cNvGraphicFramePr/>
                <a:graphic xmlns:a="http://schemas.openxmlformats.org/drawingml/2006/main">
                  <a:graphicData uri="http://schemas.microsoft.com/office/word/2010/wordprocessingShape">
                    <wps:wsp>
                      <wps:cNvSpPr txBox="1"/>
                      <wps:spPr>
                        <a:xfrm>
                          <a:off x="0" y="0"/>
                          <a:ext cx="5631180" cy="7628890"/>
                        </a:xfrm>
                        <a:prstGeom prst="rect">
                          <a:avLst/>
                        </a:prstGeom>
                        <a:noFill/>
                        <a:ln w="6350" cap="flat" cmpd="sng">
                          <a:solidFill>
                            <a:srgbClr val="000000"/>
                          </a:solidFill>
                          <a:prstDash val="solid"/>
                          <a:miter/>
                          <a:headEnd type="none" w="med" len="med"/>
                          <a:tailEnd type="none" w="med" len="med"/>
                        </a:ln>
                      </wps:spPr>
                      <wps:txbx>
                        <w:txbxContent>
                          <w:p>
                            <w:pPr>
                              <w:pStyle w:val="13"/>
                              <w:ind w:firstLine="480"/>
                              <w:rPr>
                                <w:rFonts w:hint="eastAsia" w:asciiTheme="minorEastAsia" w:hAnsiTheme="minorEastAsia" w:eastAsiaTheme="minorEastAsia" w:cstheme="minorEastAsia"/>
                                <w:sz w:val="28"/>
                                <w:szCs w:val="28"/>
                              </w:rPr>
                            </w:pPr>
                            <w:bookmarkStart w:id="150" w:name="_Hlk57733186"/>
                            <w:r>
                              <w:rPr>
                                <w:rFonts w:hint="eastAsia" w:asciiTheme="minorEastAsia" w:hAnsiTheme="minorEastAsia" w:eastAsiaTheme="minorEastAsia" w:cstheme="minorEastAsia"/>
                                <w:sz w:val="28"/>
                                <w:szCs w:val="28"/>
                              </w:rPr>
                              <w:t>本项目为</w:t>
                            </w:r>
                            <w:r>
                              <w:rPr>
                                <w:rFonts w:hint="eastAsia" w:asciiTheme="minorEastAsia" w:hAnsiTheme="minorEastAsia" w:eastAsiaTheme="minorEastAsia" w:cstheme="minorEastAsia"/>
                                <w:sz w:val="28"/>
                                <w:szCs w:val="28"/>
                                <w:lang w:eastAsia="zh-CN"/>
                              </w:rPr>
                              <w:t>泸溪特色米粉加工项目</w:t>
                            </w:r>
                            <w:r>
                              <w:rPr>
                                <w:rFonts w:hint="eastAsia" w:asciiTheme="minorEastAsia" w:hAnsiTheme="minorEastAsia" w:eastAsiaTheme="minorEastAsia" w:cstheme="minorEastAsia"/>
                                <w:sz w:val="28"/>
                                <w:szCs w:val="28"/>
                                <w:lang w:val="en-US" w:eastAsia="zh-CN"/>
                              </w:rPr>
                              <w:t>涉及重大变更重新报批</w:t>
                            </w:r>
                            <w:r>
                              <w:rPr>
                                <w:rFonts w:hint="eastAsia" w:asciiTheme="minorEastAsia" w:hAnsiTheme="minorEastAsia" w:eastAsiaTheme="minorEastAsia" w:cstheme="minorEastAsia"/>
                                <w:sz w:val="28"/>
                                <w:szCs w:val="28"/>
                              </w:rPr>
                              <w:t>，项目建设符合项目环保审批原则，符合建设项目环评审批要求，符合现行国家产业政策要求。建设单位在该项目的建设过程中认真落实环保“三同时”制度，做到合理布局，同时做到本评价中提出的各项污染防治措施与建议，确保污染物达标排放，从环保的角度分析，本项目的建设是可行的。</w:t>
                            </w: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bookmarkEnd w:id="150"/>
                          <w:p>
                            <w:pPr>
                              <w:pStyle w:val="13"/>
                              <w:ind w:firstLine="480"/>
                              <w:rPr>
                                <w:sz w:val="24"/>
                              </w:rPr>
                            </w:pPr>
                          </w:p>
                          <w:p>
                            <w:pPr>
                              <w:pStyle w:val="13"/>
                              <w:ind w:firstLine="480"/>
                              <w:rPr>
                                <w:sz w:val="24"/>
                              </w:rPr>
                            </w:pPr>
                          </w:p>
                          <w:p>
                            <w:pPr>
                              <w:pStyle w:val="13"/>
                              <w:ind w:firstLine="480"/>
                              <w:rPr>
                                <w:sz w:val="24"/>
                              </w:rPr>
                            </w:pPr>
                          </w:p>
                          <w:p>
                            <w:pPr>
                              <w:pStyle w:val="13"/>
                              <w:ind w:firstLine="480"/>
                              <w:rPr>
                                <w:sz w:val="24"/>
                              </w:rPr>
                            </w:pPr>
                          </w:p>
                          <w:p>
                            <w:pPr>
                              <w:pStyle w:val="13"/>
                              <w:ind w:firstLine="480"/>
                              <w:rPr>
                                <w:sz w:val="24"/>
                              </w:rPr>
                            </w:pPr>
                          </w:p>
                          <w:p>
                            <w:pPr>
                              <w:pStyle w:val="13"/>
                              <w:ind w:firstLine="480"/>
                              <w:rPr>
                                <w:sz w:val="24"/>
                              </w:rPr>
                            </w:pPr>
                          </w:p>
                          <w:p>
                            <w:pPr>
                              <w:pStyle w:val="13"/>
                              <w:ind w:firstLine="480"/>
                              <w:rPr>
                                <w:sz w:val="24"/>
                              </w:rPr>
                            </w:pPr>
                          </w:p>
                          <w:p>
                            <w:pPr>
                              <w:pStyle w:val="13"/>
                              <w:spacing w:before="12"/>
                              <w:ind w:firstLine="340"/>
                              <w:rPr>
                                <w:sz w:val="17"/>
                              </w:rPr>
                            </w:pPr>
                          </w:p>
                          <w:p>
                            <w:pPr>
                              <w:ind w:left="98" w:firstLine="480"/>
                              <w:jc w:val="left"/>
                            </w:pPr>
                          </w:p>
                          <w:p>
                            <w:pPr>
                              <w:pStyle w:val="34"/>
                              <w:rPr>
                                <w:rFonts w:hint="default"/>
                              </w:rPr>
                            </w:pPr>
                          </w:p>
                          <w:p>
                            <w:pPr>
                              <w:pStyle w:val="34"/>
                              <w:rPr>
                                <w:rFonts w:hint="default"/>
                              </w:rPr>
                            </w:pPr>
                          </w:p>
                          <w:p>
                            <w:pPr>
                              <w:pStyle w:val="34"/>
                              <w:rPr>
                                <w:rFonts w:hint="default"/>
                              </w:rPr>
                            </w:pPr>
                          </w:p>
                          <w:p>
                            <w:pPr>
                              <w:pStyle w:val="34"/>
                              <w:rPr>
                                <w:rFonts w:hint="default"/>
                              </w:rPr>
                            </w:pPr>
                          </w:p>
                          <w:p>
                            <w:pPr>
                              <w:pStyle w:val="34"/>
                              <w:rPr>
                                <w:rFonts w:hint="default"/>
                              </w:rPr>
                            </w:pPr>
                          </w:p>
                          <w:p>
                            <w:pPr>
                              <w:pStyle w:val="34"/>
                              <w:rPr>
                                <w:rFonts w:hint="default"/>
                              </w:rPr>
                            </w:pPr>
                          </w:p>
                        </w:txbxContent>
                      </wps:txbx>
                      <wps:bodyPr lIns="0" tIns="0" rIns="0" bIns="0" upright="1"/>
                    </wps:wsp>
                  </a:graphicData>
                </a:graphic>
              </wp:anchor>
            </w:drawing>
          </mc:Choice>
          <mc:Fallback>
            <w:pict>
              <v:shape id="文本框 3" o:spid="_x0000_s1026" o:spt="202" type="#_x0000_t202" style="position:absolute;left:0pt;margin-left:75.95pt;margin-top:14.5pt;height:600.7pt;width:443.4pt;mso-position-horizontal-relative:page;mso-wrap-distance-bottom:0pt;mso-wrap-distance-top:0pt;z-index:-251655168;mso-width-relative:page;mso-height-relative:page;" filled="f" stroked="t" coordsize="21600,21600" o:gfxdata="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46LObbAAAADAEAAA8A&#10;AAAAAAAAAQAgAAAAIgAAAGRycy9kb3ducmV2LnhtbFBLAQIUABQAAAAIAIdO4kD22SEDFAIAADME&#10;AAAOAAAAAAAAAAEAIAAAACoBAABkcnMvZTJvRG9jLnhtbFBLBQYAAAAABgAGAFkBAACwBQAAAAA=&#10;">
                <v:fill on="f" focussize="0,0"/>
                <v:stroke weight="0.5pt" color="#000000" joinstyle="miter"/>
                <v:imagedata o:title=""/>
                <o:lock v:ext="edit" aspectratio="f"/>
                <v:textbox inset="0mm,0mm,0mm,0mm">
                  <w:txbxContent>
                    <w:p>
                      <w:pPr>
                        <w:pStyle w:val="13"/>
                        <w:ind w:firstLine="480"/>
                        <w:rPr>
                          <w:rFonts w:hint="eastAsia" w:asciiTheme="minorEastAsia" w:hAnsiTheme="minorEastAsia" w:eastAsiaTheme="minorEastAsia" w:cstheme="minorEastAsia"/>
                          <w:sz w:val="28"/>
                          <w:szCs w:val="28"/>
                        </w:rPr>
                      </w:pPr>
                      <w:bookmarkStart w:id="150" w:name="_Hlk57733186"/>
                      <w:r>
                        <w:rPr>
                          <w:rFonts w:hint="eastAsia" w:asciiTheme="minorEastAsia" w:hAnsiTheme="minorEastAsia" w:eastAsiaTheme="minorEastAsia" w:cstheme="minorEastAsia"/>
                          <w:sz w:val="28"/>
                          <w:szCs w:val="28"/>
                        </w:rPr>
                        <w:t>本项目为</w:t>
                      </w:r>
                      <w:r>
                        <w:rPr>
                          <w:rFonts w:hint="eastAsia" w:asciiTheme="minorEastAsia" w:hAnsiTheme="minorEastAsia" w:eastAsiaTheme="minorEastAsia" w:cstheme="minorEastAsia"/>
                          <w:sz w:val="28"/>
                          <w:szCs w:val="28"/>
                          <w:lang w:eastAsia="zh-CN"/>
                        </w:rPr>
                        <w:t>泸溪特色米粉加工项目</w:t>
                      </w:r>
                      <w:r>
                        <w:rPr>
                          <w:rFonts w:hint="eastAsia" w:asciiTheme="minorEastAsia" w:hAnsiTheme="minorEastAsia" w:eastAsiaTheme="minorEastAsia" w:cstheme="minorEastAsia"/>
                          <w:sz w:val="28"/>
                          <w:szCs w:val="28"/>
                          <w:lang w:val="en-US" w:eastAsia="zh-CN"/>
                        </w:rPr>
                        <w:t>涉及重大变更重新报批</w:t>
                      </w:r>
                      <w:r>
                        <w:rPr>
                          <w:rFonts w:hint="eastAsia" w:asciiTheme="minorEastAsia" w:hAnsiTheme="minorEastAsia" w:eastAsiaTheme="minorEastAsia" w:cstheme="minorEastAsia"/>
                          <w:sz w:val="28"/>
                          <w:szCs w:val="28"/>
                        </w:rPr>
                        <w:t>，项目建设符合项目环保审批原则，符合建设项目环评审批要求，符合现行国家产业政策要求。建设单位在该项目的建设过程中认真落实环保“三同时”制度，做到合理布局，同时做到本评价中提出的各项污染防治措施与建议，确保污染物达标排放，从环保的角度分析，本项目的建设是可行的。</w:t>
                      </w: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p>
                      <w:pPr>
                        <w:pStyle w:val="13"/>
                        <w:ind w:firstLine="480"/>
                        <w:rPr>
                          <w:rFonts w:hint="eastAsia" w:asciiTheme="minorEastAsia" w:hAnsiTheme="minorEastAsia" w:eastAsiaTheme="minorEastAsia" w:cstheme="minorEastAsia"/>
                          <w:sz w:val="28"/>
                          <w:szCs w:val="28"/>
                        </w:rPr>
                      </w:pPr>
                    </w:p>
                    <w:bookmarkEnd w:id="150"/>
                    <w:p>
                      <w:pPr>
                        <w:pStyle w:val="13"/>
                        <w:ind w:firstLine="480"/>
                        <w:rPr>
                          <w:sz w:val="24"/>
                        </w:rPr>
                      </w:pPr>
                    </w:p>
                    <w:p>
                      <w:pPr>
                        <w:pStyle w:val="13"/>
                        <w:ind w:firstLine="480"/>
                        <w:rPr>
                          <w:sz w:val="24"/>
                        </w:rPr>
                      </w:pPr>
                    </w:p>
                    <w:p>
                      <w:pPr>
                        <w:pStyle w:val="13"/>
                        <w:ind w:firstLine="480"/>
                        <w:rPr>
                          <w:sz w:val="24"/>
                        </w:rPr>
                      </w:pPr>
                    </w:p>
                    <w:p>
                      <w:pPr>
                        <w:pStyle w:val="13"/>
                        <w:ind w:firstLine="480"/>
                        <w:rPr>
                          <w:sz w:val="24"/>
                        </w:rPr>
                      </w:pPr>
                    </w:p>
                    <w:p>
                      <w:pPr>
                        <w:pStyle w:val="13"/>
                        <w:ind w:firstLine="480"/>
                        <w:rPr>
                          <w:sz w:val="24"/>
                        </w:rPr>
                      </w:pPr>
                    </w:p>
                    <w:p>
                      <w:pPr>
                        <w:pStyle w:val="13"/>
                        <w:ind w:firstLine="480"/>
                        <w:rPr>
                          <w:sz w:val="24"/>
                        </w:rPr>
                      </w:pPr>
                    </w:p>
                    <w:p>
                      <w:pPr>
                        <w:pStyle w:val="13"/>
                        <w:ind w:firstLine="480"/>
                        <w:rPr>
                          <w:sz w:val="24"/>
                        </w:rPr>
                      </w:pPr>
                    </w:p>
                    <w:p>
                      <w:pPr>
                        <w:pStyle w:val="13"/>
                        <w:spacing w:before="12"/>
                        <w:ind w:firstLine="340"/>
                        <w:rPr>
                          <w:sz w:val="17"/>
                        </w:rPr>
                      </w:pPr>
                    </w:p>
                    <w:p>
                      <w:pPr>
                        <w:ind w:left="98" w:firstLine="480"/>
                        <w:jc w:val="left"/>
                      </w:pPr>
                    </w:p>
                    <w:p>
                      <w:pPr>
                        <w:pStyle w:val="34"/>
                        <w:rPr>
                          <w:rFonts w:hint="default"/>
                        </w:rPr>
                      </w:pPr>
                    </w:p>
                    <w:p>
                      <w:pPr>
                        <w:pStyle w:val="34"/>
                        <w:rPr>
                          <w:rFonts w:hint="default"/>
                        </w:rPr>
                      </w:pPr>
                    </w:p>
                    <w:p>
                      <w:pPr>
                        <w:pStyle w:val="34"/>
                        <w:rPr>
                          <w:rFonts w:hint="default"/>
                        </w:rPr>
                      </w:pPr>
                    </w:p>
                    <w:p>
                      <w:pPr>
                        <w:pStyle w:val="34"/>
                        <w:rPr>
                          <w:rFonts w:hint="default"/>
                        </w:rPr>
                      </w:pPr>
                    </w:p>
                    <w:p>
                      <w:pPr>
                        <w:pStyle w:val="34"/>
                        <w:rPr>
                          <w:rFonts w:hint="default"/>
                        </w:rPr>
                      </w:pPr>
                    </w:p>
                    <w:p>
                      <w:pPr>
                        <w:pStyle w:val="34"/>
                        <w:rPr>
                          <w:rFonts w:hint="default"/>
                        </w:rPr>
                      </w:pPr>
                    </w:p>
                  </w:txbxContent>
                </v:textbox>
                <w10:wrap type="topAndBottom"/>
              </v:shape>
            </w:pict>
          </mc:Fallback>
        </mc:AlternateContent>
      </w:r>
    </w:p>
    <w:p>
      <w:pPr>
        <w:wordWrap/>
        <w:overflowPunct w:val="0"/>
        <w:topLinePunct w:val="0"/>
        <w:autoSpaceDE w:val="0"/>
        <w:autoSpaceDN w:val="0"/>
        <w:ind w:firstLine="360"/>
        <w:jc w:val="left"/>
        <w:rPr>
          <w:sz w:val="18"/>
        </w:rPr>
        <w:sectPr>
          <w:pgSz w:w="11910" w:h="16840"/>
          <w:pgMar w:top="1580" w:right="1320" w:bottom="1000" w:left="1340" w:header="0" w:footer="817" w:gutter="0"/>
          <w:pgBorders>
            <w:top w:val="none" w:sz="0" w:space="0"/>
            <w:left w:val="none" w:sz="0" w:space="0"/>
            <w:bottom w:val="none" w:sz="0" w:space="0"/>
            <w:right w:val="none" w:sz="0" w:space="0"/>
          </w:pgBorders>
          <w:pgNumType w:fmt="decimal"/>
          <w:cols w:space="720" w:num="1"/>
        </w:sectPr>
      </w:pPr>
    </w:p>
    <w:p>
      <w:pPr>
        <w:wordWrap/>
        <w:overflowPunct w:val="0"/>
        <w:topLinePunct w:val="0"/>
        <w:autoSpaceDE w:val="0"/>
        <w:autoSpaceDN w:val="0"/>
        <w:spacing w:before="55"/>
        <w:ind w:left="0" w:leftChars="0" w:firstLine="0" w:firstLineChars="0"/>
        <w:jc w:val="left"/>
        <w:rPr>
          <w:rFonts w:hint="eastAsia" w:ascii="宋体" w:hAnsi="宋体" w:eastAsia="宋体" w:cs="宋体"/>
          <w:b/>
          <w:bCs/>
          <w:sz w:val="32"/>
        </w:rPr>
      </w:pPr>
      <w:bookmarkStart w:id="143" w:name="_Toc4944"/>
      <w:bookmarkStart w:id="144" w:name="_Toc16946"/>
      <w:r>
        <w:rPr>
          <w:rFonts w:hint="eastAsia" w:ascii="宋体" w:hAnsi="宋体" w:eastAsia="宋体" w:cs="宋体"/>
          <w:b/>
          <w:bCs/>
          <w:sz w:val="32"/>
        </w:rPr>
        <w:t>附表一</w:t>
      </w:r>
      <w:bookmarkEnd w:id="143"/>
      <w:bookmarkEnd w:id="144"/>
    </w:p>
    <w:p>
      <w:pPr>
        <w:pStyle w:val="13"/>
        <w:keepNext w:val="0"/>
        <w:keepLines w:val="0"/>
        <w:pageBreakBefore w:val="0"/>
        <w:widowControl w:val="0"/>
        <w:kinsoku/>
        <w:wordWrap/>
        <w:overflowPunct w:val="0"/>
        <w:topLinePunct w:val="0"/>
        <w:autoSpaceDE w:val="0"/>
        <w:autoSpaceDN w:val="0"/>
        <w:bidi w:val="0"/>
        <w:adjustRightInd/>
        <w:snapToGrid/>
        <w:spacing w:line="240" w:lineRule="auto"/>
        <w:ind w:left="0" w:right="0" w:firstLine="0" w:firstLineChars="0"/>
        <w:jc w:val="center"/>
        <w:textAlignment w:val="auto"/>
        <w:rPr>
          <w:rFonts w:hint="eastAsia" w:asciiTheme="minorEastAsia" w:hAnsiTheme="minorEastAsia" w:eastAsiaTheme="minorEastAsia" w:cstheme="minorEastAsia"/>
          <w:b/>
          <w:bCs/>
        </w:rPr>
      </w:pPr>
      <w:bookmarkStart w:id="145" w:name="_Toc20351"/>
      <w:bookmarkStart w:id="146" w:name="_Toc11370"/>
      <w:bookmarkStart w:id="147" w:name="_Toc6327"/>
      <w:r>
        <w:rPr>
          <w:rFonts w:hint="eastAsia" w:asciiTheme="minorEastAsia" w:hAnsiTheme="minorEastAsia" w:eastAsiaTheme="minorEastAsia" w:cstheme="minorEastAsia"/>
          <w:b/>
          <w:bCs/>
        </w:rPr>
        <w:t>建设项目污染物排放量汇总表</w:t>
      </w:r>
      <w:bookmarkEnd w:id="145"/>
      <w:bookmarkEnd w:id="146"/>
      <w:bookmarkEnd w:id="147"/>
    </w:p>
    <w:tbl>
      <w:tblPr>
        <w:tblStyle w:val="28"/>
        <w:tblpPr w:leftFromText="180" w:rightFromText="180" w:vertAnchor="text" w:horzAnchor="page" w:tblpX="1607" w:tblpY="185"/>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1"/>
        <w:gridCol w:w="1569"/>
        <w:gridCol w:w="1500"/>
        <w:gridCol w:w="1281"/>
        <w:gridCol w:w="1555"/>
        <w:gridCol w:w="1732"/>
        <w:gridCol w:w="1472"/>
        <w:gridCol w:w="1828"/>
        <w:gridCol w:w="17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4" w:hRule="atLeast"/>
        </w:trPr>
        <w:tc>
          <w:tcPr>
            <w:tcW w:w="1151" w:type="dxa"/>
            <w:tcBorders>
              <w:bottom w:val="single" w:color="000000" w:sz="4" w:space="0"/>
              <w:right w:val="single" w:color="000000" w:sz="4" w:space="0"/>
            </w:tcBorders>
            <w:vAlign w:val="center"/>
            <mc:AlternateContent>
              <mc:Choice Requires="wpsCustomData">
                <wpsCustomData:diagonals>
                  <wpsCustomData:diagonal from="10000" to="30000">
                    <wpsCustomData:border w:val="single" w:color="000000" w:sz="8" w:space="0"/>
                  </wpsCustomData:diagonal>
                </wpsCustomData:diagonals>
              </mc:Choice>
            </mc:AlternateContent>
          </w:tcPr>
          <w:p>
            <w:pPr>
              <w:pStyle w:val="49"/>
              <w:wordWrap/>
              <w:overflowPunct w:val="0"/>
              <w:topLinePunct w:val="0"/>
              <w:autoSpaceDE w:val="0"/>
              <w:autoSpaceDN w:val="0"/>
              <w:snapToGrid w:val="0"/>
              <w:spacing w:before="2"/>
              <w:ind w:left="28"/>
              <w:jc w:val="center"/>
              <mc:AlternateContent>
                <mc:Choice Requires="wpsCustomData">
                  <wpsCustomData:diagonalParaType/>
                </mc:Choice>
              </mc:AlternateContent>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分类</w:t>
            </w:r>
          </w:p>
          <w:p>
            <w:pPr>
              <w:pStyle w:val="49"/>
              <w:wordWrap/>
              <w:overflowPunct w:val="0"/>
              <w:topLinePunct w:val="0"/>
              <w:autoSpaceDE w:val="0"/>
              <w:autoSpaceDN w:val="0"/>
              <w:spacing w:before="2"/>
              <w:ind w:left="28"/>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项目</w:t>
            </w:r>
          </w:p>
        </w:tc>
        <w:tc>
          <w:tcPr>
            <w:tcW w:w="1569"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
              <w:ind w:left="175" w:right="141"/>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污染物名称</w:t>
            </w:r>
          </w:p>
        </w:tc>
        <w:tc>
          <w:tcPr>
            <w:tcW w:w="1500"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
              <w:ind w:left="60" w:right="32"/>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现有工程</w:t>
            </w:r>
          </w:p>
          <w:p>
            <w:pPr>
              <w:pStyle w:val="49"/>
              <w:wordWrap/>
              <w:overflowPunct w:val="0"/>
              <w:topLinePunct w:val="0"/>
              <w:autoSpaceDE w:val="0"/>
              <w:autoSpaceDN w:val="0"/>
              <w:spacing w:before="3" w:line="270" w:lineRule="atLeast"/>
              <w:ind w:left="62" w:right="32"/>
              <w:jc w:val="center"/>
              <w:rPr>
                <w:rFonts w:hint="default" w:ascii="Times New Roman" w:hAnsi="Times New Roman" w:eastAsia="宋体" w:cs="Times New Roman"/>
                <w:b/>
                <w:bCs/>
                <w:sz w:val="21"/>
              </w:rPr>
            </w:pPr>
            <w:r>
              <w:rPr>
                <w:rFonts w:hint="default" w:ascii="Times New Roman" w:hAnsi="Times New Roman" w:eastAsia="宋体" w:cs="Times New Roman"/>
                <w:b/>
                <w:bCs/>
                <w:spacing w:val="-15"/>
                <w:sz w:val="21"/>
              </w:rPr>
              <w:t>排放量</w:t>
            </w:r>
            <w:r>
              <w:rPr>
                <w:rFonts w:hint="default" w:ascii="Times New Roman" w:hAnsi="Times New Roman" w:eastAsia="宋体" w:cs="Times New Roman"/>
                <w:b/>
                <w:bCs/>
                <w:spacing w:val="-13"/>
                <w:sz w:val="21"/>
              </w:rPr>
              <w:t>（</w:t>
            </w:r>
            <w:r>
              <w:rPr>
                <w:rFonts w:hint="default" w:ascii="Times New Roman" w:hAnsi="Times New Roman" w:eastAsia="宋体" w:cs="Times New Roman"/>
                <w:b/>
                <w:bCs/>
                <w:spacing w:val="-15"/>
                <w:sz w:val="21"/>
              </w:rPr>
              <w:t>固体废物产生量</w:t>
            </w:r>
            <w:r>
              <w:rPr>
                <w:rFonts w:hint="default" w:ascii="Times New Roman" w:hAnsi="Times New Roman" w:eastAsia="宋体" w:cs="Times New Roman"/>
                <w:b/>
                <w:bCs/>
                <w:spacing w:val="-7"/>
                <w:sz w:val="21"/>
              </w:rPr>
              <w:t>）①</w:t>
            </w:r>
          </w:p>
        </w:tc>
        <w:tc>
          <w:tcPr>
            <w:tcW w:w="1281"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3" w:line="242" w:lineRule="auto"/>
              <w:ind w:left="146" w:right="115" w:firstLine="2"/>
              <w:jc w:val="center"/>
              <w:rPr>
                <w:rFonts w:hint="default" w:ascii="Times New Roman" w:hAnsi="Times New Roman" w:eastAsia="宋体" w:cs="Times New Roman"/>
                <w:b/>
                <w:bCs/>
                <w:sz w:val="21"/>
              </w:rPr>
            </w:pPr>
            <w:r>
              <w:rPr>
                <w:rFonts w:hint="default" w:ascii="Times New Roman" w:hAnsi="Times New Roman" w:eastAsia="宋体" w:cs="Times New Roman"/>
                <w:b/>
                <w:bCs/>
                <w:spacing w:val="-12"/>
                <w:sz w:val="21"/>
              </w:rPr>
              <w:t xml:space="preserve">现有工程 </w:t>
            </w:r>
            <w:r>
              <w:rPr>
                <w:rFonts w:hint="default" w:ascii="Times New Roman" w:hAnsi="Times New Roman" w:eastAsia="宋体" w:cs="Times New Roman"/>
                <w:b/>
                <w:bCs/>
                <w:spacing w:val="-15"/>
                <w:sz w:val="21"/>
              </w:rPr>
              <w:t>许可排放量</w:t>
            </w:r>
            <w:r>
              <w:rPr>
                <w:rFonts w:hint="default" w:ascii="Times New Roman" w:hAnsi="Times New Roman" w:eastAsia="宋体" w:cs="Times New Roman"/>
                <w:b/>
                <w:bCs/>
                <w:sz w:val="21"/>
              </w:rPr>
              <w:t>②</w:t>
            </w:r>
          </w:p>
        </w:tc>
        <w:tc>
          <w:tcPr>
            <w:tcW w:w="1555"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
              <w:ind w:left="56" w:right="32"/>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在建工程</w:t>
            </w:r>
          </w:p>
          <w:p>
            <w:pPr>
              <w:pStyle w:val="49"/>
              <w:wordWrap/>
              <w:overflowPunct w:val="0"/>
              <w:topLinePunct w:val="0"/>
              <w:autoSpaceDE w:val="0"/>
              <w:autoSpaceDN w:val="0"/>
              <w:spacing w:before="3" w:line="270" w:lineRule="atLeast"/>
              <w:ind w:left="60" w:right="33"/>
              <w:jc w:val="center"/>
              <w:rPr>
                <w:rFonts w:hint="default" w:ascii="Times New Roman" w:hAnsi="Times New Roman" w:eastAsia="宋体" w:cs="Times New Roman"/>
                <w:b/>
                <w:bCs/>
                <w:sz w:val="21"/>
              </w:rPr>
            </w:pPr>
            <w:r>
              <w:rPr>
                <w:rFonts w:hint="default" w:ascii="Times New Roman" w:hAnsi="Times New Roman" w:eastAsia="宋体" w:cs="Times New Roman"/>
                <w:b/>
                <w:bCs/>
                <w:spacing w:val="-15"/>
                <w:sz w:val="21"/>
              </w:rPr>
              <w:t>排放量</w:t>
            </w:r>
            <w:r>
              <w:rPr>
                <w:rFonts w:hint="default" w:ascii="Times New Roman" w:hAnsi="Times New Roman" w:eastAsia="宋体" w:cs="Times New Roman"/>
                <w:b/>
                <w:bCs/>
                <w:spacing w:val="-13"/>
                <w:sz w:val="21"/>
              </w:rPr>
              <w:t>（</w:t>
            </w:r>
            <w:r>
              <w:rPr>
                <w:rFonts w:hint="default" w:ascii="Times New Roman" w:hAnsi="Times New Roman" w:eastAsia="宋体" w:cs="Times New Roman"/>
                <w:b/>
                <w:bCs/>
                <w:spacing w:val="-14"/>
                <w:sz w:val="21"/>
              </w:rPr>
              <w:t>固体废物</w:t>
            </w:r>
            <w:r>
              <w:rPr>
                <w:rFonts w:hint="default" w:ascii="Times New Roman" w:hAnsi="Times New Roman" w:eastAsia="宋体" w:cs="Times New Roman"/>
                <w:b/>
                <w:bCs/>
                <w:spacing w:val="-15"/>
                <w:sz w:val="21"/>
              </w:rPr>
              <w:t>产生量</w:t>
            </w:r>
            <w:r>
              <w:rPr>
                <w:rFonts w:hint="default" w:ascii="Times New Roman" w:hAnsi="Times New Roman" w:eastAsia="宋体" w:cs="Times New Roman"/>
                <w:b/>
                <w:bCs/>
                <w:spacing w:val="-8"/>
                <w:sz w:val="21"/>
              </w:rPr>
              <w:t>）③</w:t>
            </w:r>
          </w:p>
        </w:tc>
        <w:tc>
          <w:tcPr>
            <w:tcW w:w="1732"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
              <w:ind w:left="28"/>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本项目</w:t>
            </w:r>
          </w:p>
          <w:p>
            <w:pPr>
              <w:pStyle w:val="49"/>
              <w:wordWrap/>
              <w:overflowPunct w:val="0"/>
              <w:topLinePunct w:val="0"/>
              <w:autoSpaceDE w:val="0"/>
              <w:autoSpaceDN w:val="0"/>
              <w:spacing w:before="3" w:line="270" w:lineRule="atLeast"/>
              <w:ind w:left="31"/>
              <w:jc w:val="center"/>
              <w:rPr>
                <w:rFonts w:hint="default" w:ascii="Times New Roman" w:hAnsi="Times New Roman" w:eastAsia="宋体" w:cs="Times New Roman"/>
                <w:b/>
                <w:bCs/>
                <w:sz w:val="21"/>
              </w:rPr>
            </w:pPr>
            <w:r>
              <w:rPr>
                <w:rFonts w:hint="default" w:ascii="Times New Roman" w:hAnsi="Times New Roman" w:eastAsia="宋体" w:cs="Times New Roman"/>
                <w:b/>
                <w:bCs/>
                <w:spacing w:val="-42"/>
                <w:sz w:val="21"/>
              </w:rPr>
              <w:t>排放量</w:t>
            </w:r>
            <w:r>
              <w:rPr>
                <w:rFonts w:hint="default" w:ascii="Times New Roman" w:hAnsi="Times New Roman" w:eastAsia="宋体" w:cs="Times New Roman"/>
                <w:b/>
                <w:bCs/>
                <w:spacing w:val="-13"/>
                <w:sz w:val="21"/>
              </w:rPr>
              <w:t>（</w:t>
            </w:r>
            <w:r>
              <w:rPr>
                <w:rFonts w:hint="default" w:ascii="Times New Roman" w:hAnsi="Times New Roman" w:eastAsia="宋体" w:cs="Times New Roman"/>
                <w:b/>
                <w:bCs/>
                <w:spacing w:val="-15"/>
                <w:sz w:val="21"/>
              </w:rPr>
              <w:t>固体废物产生量</w:t>
            </w:r>
            <w:r>
              <w:rPr>
                <w:rFonts w:hint="default" w:ascii="Times New Roman" w:hAnsi="Times New Roman" w:eastAsia="宋体" w:cs="Times New Roman"/>
                <w:b/>
                <w:bCs/>
                <w:spacing w:val="-8"/>
                <w:sz w:val="21"/>
              </w:rPr>
              <w:t>）④</w:t>
            </w:r>
          </w:p>
        </w:tc>
        <w:tc>
          <w:tcPr>
            <w:tcW w:w="1472"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49"/>
              <w:ind w:left="53" w:right="41"/>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以新带老削减量</w:t>
            </w:r>
            <w:r>
              <w:rPr>
                <w:rFonts w:hint="default" w:ascii="Times New Roman" w:hAnsi="Times New Roman" w:eastAsia="宋体" w:cs="Times New Roman"/>
                <w:b/>
                <w:bCs/>
                <w:spacing w:val="-34"/>
                <w:sz w:val="21"/>
              </w:rPr>
              <w:t>（新建项目不填</w:t>
            </w:r>
            <w:r>
              <w:rPr>
                <w:rFonts w:hint="default" w:ascii="Times New Roman" w:hAnsi="Times New Roman" w:eastAsia="宋体" w:cs="Times New Roman"/>
                <w:b/>
                <w:bCs/>
                <w:spacing w:val="-17"/>
                <w:sz w:val="21"/>
              </w:rPr>
              <w:t>）⑤</w:t>
            </w:r>
          </w:p>
        </w:tc>
        <w:tc>
          <w:tcPr>
            <w:tcW w:w="1828" w:type="dxa"/>
            <w:tcBorders>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spacing w:before="13"/>
              <w:ind w:left="29" w:right="18"/>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本项目建成后</w:t>
            </w:r>
          </w:p>
          <w:p>
            <w:pPr>
              <w:pStyle w:val="49"/>
              <w:wordWrap/>
              <w:overflowPunct w:val="0"/>
              <w:topLinePunct w:val="0"/>
              <w:autoSpaceDE w:val="0"/>
              <w:autoSpaceDN w:val="0"/>
              <w:spacing w:before="3" w:line="270" w:lineRule="atLeast"/>
              <w:ind w:left="29" w:right="-29"/>
              <w:jc w:val="center"/>
              <w:rPr>
                <w:rFonts w:hint="default" w:ascii="Times New Roman" w:hAnsi="Times New Roman" w:eastAsia="宋体" w:cs="Times New Roman"/>
                <w:b/>
                <w:bCs/>
                <w:sz w:val="21"/>
              </w:rPr>
            </w:pPr>
            <w:r>
              <w:rPr>
                <w:rFonts w:hint="default" w:ascii="Times New Roman" w:hAnsi="Times New Roman" w:eastAsia="宋体" w:cs="Times New Roman"/>
                <w:b/>
                <w:bCs/>
                <w:spacing w:val="-45"/>
                <w:sz w:val="21"/>
              </w:rPr>
              <w:t>全厂排放量</w:t>
            </w:r>
            <w:r>
              <w:rPr>
                <w:rFonts w:hint="default" w:ascii="Times New Roman" w:hAnsi="Times New Roman" w:eastAsia="宋体" w:cs="Times New Roman"/>
                <w:b/>
                <w:bCs/>
                <w:spacing w:val="-34"/>
                <w:sz w:val="21"/>
              </w:rPr>
              <w:t>（</w:t>
            </w:r>
            <w:r>
              <w:rPr>
                <w:rFonts w:hint="default" w:ascii="Times New Roman" w:hAnsi="Times New Roman" w:eastAsia="宋体" w:cs="Times New Roman"/>
                <w:b/>
                <w:bCs/>
                <w:spacing w:val="-28"/>
                <w:sz w:val="21"/>
              </w:rPr>
              <w:t>固体废物产</w:t>
            </w:r>
            <w:r>
              <w:rPr>
                <w:rFonts w:hint="default" w:ascii="Times New Roman" w:hAnsi="Times New Roman" w:eastAsia="宋体" w:cs="Times New Roman"/>
                <w:b/>
                <w:bCs/>
                <w:spacing w:val="-34"/>
                <w:sz w:val="21"/>
              </w:rPr>
              <w:t>生量</w:t>
            </w:r>
            <w:r>
              <w:rPr>
                <w:rFonts w:hint="default" w:ascii="Times New Roman" w:hAnsi="Times New Roman" w:eastAsia="宋体" w:cs="Times New Roman"/>
                <w:b/>
                <w:bCs/>
                <w:spacing w:val="-17"/>
                <w:sz w:val="21"/>
              </w:rPr>
              <w:t>）⑥</w:t>
            </w:r>
          </w:p>
        </w:tc>
        <w:tc>
          <w:tcPr>
            <w:tcW w:w="1704" w:type="dxa"/>
            <w:tcBorders>
              <w:left w:val="single" w:color="000000" w:sz="4" w:space="0"/>
              <w:bottom w:val="single" w:color="000000" w:sz="4" w:space="0"/>
            </w:tcBorders>
            <w:vAlign w:val="center"/>
          </w:tcPr>
          <w:p>
            <w:pPr>
              <w:pStyle w:val="49"/>
              <w:wordWrap/>
              <w:overflowPunct w:val="0"/>
              <w:topLinePunct w:val="0"/>
              <w:autoSpaceDE w:val="0"/>
              <w:autoSpaceDN w:val="0"/>
              <w:spacing w:before="149"/>
              <w:ind w:left="86" w:right="54"/>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变化量</w:t>
            </w:r>
          </w:p>
          <w:p>
            <w:pPr>
              <w:pStyle w:val="49"/>
              <w:wordWrap/>
              <w:overflowPunct w:val="0"/>
              <w:topLinePunct w:val="0"/>
              <w:autoSpaceDE w:val="0"/>
              <w:autoSpaceDN w:val="0"/>
              <w:spacing w:before="2"/>
              <w:ind w:left="20"/>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 w:hRule="atLeast"/>
        </w:trPr>
        <w:tc>
          <w:tcPr>
            <w:tcW w:w="1151" w:type="dxa"/>
            <w:vMerge w:val="restart"/>
            <w:tcBorders>
              <w:top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废气</w:t>
            </w:r>
          </w:p>
        </w:tc>
        <w:tc>
          <w:tcPr>
            <w:tcW w:w="156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szCs w:val="21"/>
                <w:u w:val="none"/>
              </w:rPr>
              <w:t>SO</w:t>
            </w:r>
            <w:r>
              <w:rPr>
                <w:rFonts w:hint="default" w:ascii="Times New Roman" w:hAnsi="Times New Roman" w:eastAsia="宋体" w:cs="Times New Roman"/>
                <w:sz w:val="21"/>
                <w:szCs w:val="21"/>
                <w:u w:val="none"/>
                <w:vertAlign w:val="subscript"/>
              </w:rPr>
              <w:t>2</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130.408kg/a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130.408kg/a</w:t>
            </w:r>
          </w:p>
        </w:tc>
        <w:tc>
          <w:tcPr>
            <w:tcW w:w="1704" w:type="dxa"/>
            <w:tcBorders>
              <w:top w:val="single" w:color="000000" w:sz="4" w:space="0"/>
              <w:left w:val="single" w:color="000000" w:sz="4" w:space="0"/>
              <w:bottom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+130.408kg/a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6"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szCs w:val="21"/>
                <w:u w:val="none"/>
                <w:lang w:val="en-US" w:eastAsia="zh-CN"/>
              </w:rPr>
              <w:t>颗粒物</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383.521kg/a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383.521kg/a</w:t>
            </w:r>
          </w:p>
        </w:tc>
        <w:tc>
          <w:tcPr>
            <w:tcW w:w="1704" w:type="dxa"/>
            <w:tcBorders>
              <w:top w:val="single" w:color="000000" w:sz="4" w:space="0"/>
              <w:left w:val="single" w:color="000000" w:sz="4" w:space="0"/>
              <w:bottom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+383.521kg/a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szCs w:val="21"/>
                <w:u w:val="none"/>
              </w:rPr>
              <w:t>NOx</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214.758kg/a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214.758kg/a</w:t>
            </w:r>
          </w:p>
        </w:tc>
        <w:tc>
          <w:tcPr>
            <w:tcW w:w="1704" w:type="dxa"/>
            <w:tcBorders>
              <w:top w:val="single" w:color="000000" w:sz="4" w:space="0"/>
              <w:left w:val="single" w:color="000000" w:sz="4" w:space="0"/>
              <w:bottom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rPr>
            </w:pPr>
            <w:r>
              <w:rPr>
                <w:rFonts w:hint="default" w:ascii="Times New Roman" w:hAnsi="Times New Roman" w:eastAsia="宋体" w:cs="Times New Roman"/>
                <w:u w:val="none" w:color="auto"/>
                <w:lang w:val="en-US" w:eastAsia="zh-CN"/>
              </w:rPr>
              <w:t>+214.758kg/a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39"/>
              <w:ind w:left="0" w:leftChars="0" w:right="0" w:rightChars="0" w:firstLine="0" w:firstLineChars="0"/>
              <w:rPr>
                <w:rFonts w:hint="default" w:ascii="Times New Roman" w:hAnsi="Times New Roman" w:eastAsia="宋体" w:cs="Times New Roman"/>
                <w:sz w:val="21"/>
                <w:lang w:val="en-US" w:eastAsia="zh-CN"/>
              </w:rPr>
            </w:pPr>
            <w:r>
              <w:rPr>
                <w:rFonts w:hint="default" w:ascii="Times New Roman" w:hAnsi="Times New Roman" w:eastAsia="宋体" w:cs="Times New Roman"/>
                <w:b w:val="0"/>
                <w:bCs w:val="0"/>
                <w:sz w:val="21"/>
                <w:szCs w:val="21"/>
                <w:u w:val="none" w:color="auto"/>
              </w:rPr>
              <w:t>氨</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highlight w:val="none"/>
                <w:u w:val="none"/>
                <w:lang w:val="en-US" w:eastAsia="zh-CN"/>
              </w:rPr>
              <w:t>16.57</w:t>
            </w:r>
            <w:r>
              <w:rPr>
                <w:rFonts w:hint="default" w:ascii="Times New Roman" w:hAnsi="Times New Roman" w:eastAsia="宋体" w:cs="Times New Roman"/>
                <w:u w:val="none" w:color="auto"/>
                <w:lang w:val="en-US" w:eastAsia="zh-CN"/>
              </w:rPr>
              <w:t>kg/a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color w:val="auto"/>
                <w:highlight w:val="none"/>
                <w:u w:val="none"/>
                <w:lang w:val="en-US" w:eastAsia="zh-CN"/>
              </w:rPr>
              <w:t>16.57</w:t>
            </w:r>
            <w:r>
              <w:rPr>
                <w:rFonts w:hint="default" w:ascii="Times New Roman" w:hAnsi="Times New Roman" w:eastAsia="宋体" w:cs="Times New Roman"/>
                <w:u w:val="none" w:color="auto"/>
                <w:lang w:val="en-US" w:eastAsia="zh-CN"/>
              </w:rPr>
              <w:t>kg/a</w:t>
            </w:r>
          </w:p>
        </w:tc>
        <w:tc>
          <w:tcPr>
            <w:tcW w:w="1704" w:type="dxa"/>
            <w:tcBorders>
              <w:top w:val="single" w:color="000000" w:sz="4" w:space="0"/>
              <w:left w:val="single" w:color="000000" w:sz="4" w:space="0"/>
              <w:bottom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color w:val="auto"/>
                <w:highlight w:val="none"/>
                <w:u w:val="none"/>
                <w:lang w:val="en-US" w:eastAsia="zh-CN"/>
              </w:rPr>
              <w:t>+16.57</w:t>
            </w:r>
            <w:r>
              <w:rPr>
                <w:rFonts w:hint="default" w:ascii="Times New Roman" w:hAnsi="Times New Roman" w:eastAsia="宋体" w:cs="Times New Roman"/>
                <w:u w:val="none" w:color="auto"/>
                <w:lang w:val="en-US" w:eastAsia="zh-CN"/>
              </w:rPr>
              <w:t>kg/a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 w:hRule="atLeast"/>
        </w:trPr>
        <w:tc>
          <w:tcPr>
            <w:tcW w:w="1151" w:type="dxa"/>
            <w:vMerge w:val="continue"/>
            <w:tcBorders>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39"/>
              <w:ind w:left="0" w:leftChars="0" w:right="0" w:rightChars="0" w:firstLine="0" w:firstLineChars="0"/>
              <w:rPr>
                <w:rFonts w:hint="default" w:ascii="Times New Roman" w:hAnsi="Times New Roman" w:eastAsia="宋体" w:cs="Times New Roman"/>
                <w:sz w:val="21"/>
                <w:lang w:val="en-US" w:eastAsia="zh-CN"/>
              </w:rPr>
            </w:pPr>
            <w:r>
              <w:rPr>
                <w:rFonts w:hint="default" w:ascii="Times New Roman" w:hAnsi="Times New Roman" w:eastAsia="宋体" w:cs="Times New Roman"/>
                <w:b w:val="0"/>
                <w:bCs w:val="0"/>
                <w:sz w:val="21"/>
                <w:szCs w:val="21"/>
                <w:u w:val="none" w:color="auto"/>
              </w:rPr>
              <w:t>硫化氢</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highlight w:val="none"/>
                <w:u w:val="none"/>
                <w:lang w:val="en-US" w:eastAsia="zh-CN"/>
              </w:rPr>
              <w:t>0.642</w:t>
            </w:r>
            <w:r>
              <w:rPr>
                <w:rFonts w:hint="default" w:ascii="Times New Roman" w:hAnsi="Times New Roman" w:eastAsia="宋体" w:cs="Times New Roman"/>
                <w:u w:val="none" w:color="auto"/>
                <w:lang w:val="en-US" w:eastAsia="zh-CN"/>
              </w:rPr>
              <w:t>kg/a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color w:val="auto"/>
                <w:highlight w:val="none"/>
                <w:u w:val="none"/>
                <w:lang w:val="en-US" w:eastAsia="zh-CN"/>
              </w:rPr>
              <w:t>0.642</w:t>
            </w:r>
            <w:r>
              <w:rPr>
                <w:rFonts w:hint="default" w:ascii="Times New Roman" w:hAnsi="Times New Roman" w:eastAsia="宋体" w:cs="Times New Roman"/>
                <w:u w:val="none" w:color="auto"/>
                <w:lang w:val="en-US" w:eastAsia="zh-CN"/>
              </w:rPr>
              <w:t>kg/a</w:t>
            </w:r>
          </w:p>
        </w:tc>
        <w:tc>
          <w:tcPr>
            <w:tcW w:w="1704" w:type="dxa"/>
            <w:tcBorders>
              <w:top w:val="single" w:color="000000" w:sz="4" w:space="0"/>
              <w:left w:val="single" w:color="000000" w:sz="4" w:space="0"/>
              <w:bottom w:val="single" w:color="000000" w:sz="4" w:space="0"/>
            </w:tcBorders>
            <w:vAlign w:val="center"/>
          </w:tcPr>
          <w:p>
            <w:pPr>
              <w:pStyle w:val="39"/>
              <w:keepNext w:val="0"/>
              <w:keepLines w:val="0"/>
              <w:pageBreakBefore w:val="0"/>
              <w:widowControl w:val="0"/>
              <w:kinsoku/>
              <w:wordWrap w:val="0"/>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color w:val="auto"/>
                <w:highlight w:val="none"/>
                <w:u w:val="none"/>
                <w:lang w:val="en-US" w:eastAsia="zh-CN"/>
              </w:rPr>
              <w:t>+0.642</w:t>
            </w:r>
            <w:r>
              <w:rPr>
                <w:rFonts w:hint="default" w:ascii="Times New Roman" w:hAnsi="Times New Roman" w:eastAsia="宋体" w:cs="Times New Roman"/>
                <w:u w:val="none" w:color="auto"/>
                <w:lang w:val="en-US" w:eastAsia="zh-CN"/>
              </w:rPr>
              <w:t>kg/a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4" w:hRule="atLeast"/>
        </w:trPr>
        <w:tc>
          <w:tcPr>
            <w:tcW w:w="1151" w:type="dxa"/>
            <w:vMerge w:val="restart"/>
            <w:tcBorders>
              <w:top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废水</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rPr>
            </w:pPr>
            <w:r>
              <w:rPr>
                <w:rFonts w:hint="default" w:ascii="Times New Roman" w:hAnsi="Times New Roman" w:eastAsia="宋体" w:cs="Times New Roman"/>
                <w:sz w:val="21"/>
                <w:lang w:val="en-US"/>
              </w:rPr>
              <w:t>CODcr</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bidi w:val="0"/>
              <w:ind w:firstLine="0" w:firstLineChars="0"/>
              <w:rPr>
                <w:rFonts w:hint="default" w:ascii="Times New Roman" w:hAnsi="Times New Roman" w:eastAsia="宋体" w:cs="Times New Roman"/>
                <w:szCs w:val="21"/>
                <w:highlight w:val="none"/>
                <w:lang w:val="en-US"/>
              </w:rPr>
            </w:pPr>
            <w:r>
              <w:rPr>
                <w:rFonts w:hint="default" w:ascii="Times New Roman" w:hAnsi="Times New Roman" w:eastAsia="宋体" w:cs="Times New Roman"/>
                <w:szCs w:val="21"/>
                <w:lang w:val="en-US" w:eastAsia="zh-CN"/>
              </w:rPr>
              <w:t>1.319</w:t>
            </w:r>
            <w:r>
              <w:rPr>
                <w:rFonts w:hint="default" w:ascii="Times New Roman" w:hAnsi="Times New Roman" w:eastAsia="宋体" w:cs="Times New Roman"/>
                <w:szCs w:val="21"/>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bidi w:val="0"/>
              <w:ind w:firstLine="0" w:firstLineChars="0"/>
              <w:rPr>
                <w:rFonts w:hint="default" w:ascii="Times New Roman" w:hAnsi="Times New Roman" w:eastAsia="宋体" w:cs="Times New Roman"/>
              </w:rPr>
            </w:pPr>
            <w:r>
              <w:rPr>
                <w:rFonts w:hint="default" w:ascii="Times New Roman" w:hAnsi="Times New Roman" w:eastAsia="宋体" w:cs="Times New Roman"/>
                <w:szCs w:val="21"/>
                <w:lang w:val="en-US" w:eastAsia="zh-CN"/>
              </w:rPr>
              <w:t>1.319</w:t>
            </w:r>
            <w:r>
              <w:rPr>
                <w:rFonts w:hint="default" w:ascii="Times New Roman" w:hAnsi="Times New Roman" w:eastAsia="宋体" w:cs="Times New Roman"/>
                <w:szCs w:val="21"/>
                <w:lang w:val="en-US"/>
              </w:rPr>
              <w:t>t/a</w:t>
            </w:r>
          </w:p>
        </w:tc>
        <w:tc>
          <w:tcPr>
            <w:tcW w:w="1704" w:type="dxa"/>
            <w:tcBorders>
              <w:top w:val="single" w:color="000000" w:sz="4" w:space="0"/>
              <w:left w:val="single" w:color="000000" w:sz="4" w:space="0"/>
              <w:bottom w:val="single" w:color="000000" w:sz="4" w:space="0"/>
            </w:tcBorders>
            <w:vAlign w:val="center"/>
          </w:tcPr>
          <w:p>
            <w:pPr>
              <w:pStyle w:val="39"/>
              <w:bidi w:val="0"/>
              <w:ind w:firstLine="0" w:firstLineChars="0"/>
              <w:rPr>
                <w:rFonts w:hint="default" w:ascii="Times New Roman" w:hAnsi="Times New Roman" w:eastAsia="宋体" w:cs="Times New Roman"/>
                <w:lang w:val="en-US"/>
              </w:rPr>
            </w:pPr>
            <w:r>
              <w:rPr>
                <w:rFonts w:hint="default" w:ascii="Times New Roman" w:hAnsi="Times New Roman" w:eastAsia="宋体" w:cs="Times New Roman"/>
                <w:szCs w:val="21"/>
                <w:lang w:val="en-US" w:eastAsia="zh-CN"/>
              </w:rPr>
              <w:t>+1.319</w:t>
            </w:r>
            <w:r>
              <w:rPr>
                <w:rFonts w:hint="default" w:ascii="Times New Roman" w:hAnsi="Times New Roman" w:eastAsia="宋体" w:cs="Times New Roman"/>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rPr>
            </w:pPr>
            <w:r>
              <w:rPr>
                <w:rFonts w:hint="default" w:ascii="Times New Roman" w:hAnsi="Times New Roman" w:eastAsia="宋体" w:cs="Times New Roman"/>
                <w:sz w:val="21"/>
                <w:lang w:val="en-US"/>
              </w:rPr>
              <w:t>BOD</w:t>
            </w:r>
            <w:r>
              <w:rPr>
                <w:rFonts w:hint="default" w:ascii="Times New Roman" w:hAnsi="Times New Roman" w:eastAsia="宋体" w:cs="Times New Roman"/>
                <w:sz w:val="21"/>
                <w:vertAlign w:val="subscript"/>
                <w:lang w:val="en-US"/>
              </w:rPr>
              <w:t>5</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bidi w:val="0"/>
              <w:ind w:firstLine="0" w:firstLineChars="0"/>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lang w:val="en-US" w:eastAsia="zh-CN"/>
              </w:rPr>
              <w:t>0.591</w:t>
            </w:r>
            <w:r>
              <w:rPr>
                <w:rFonts w:hint="default" w:ascii="Times New Roman" w:hAnsi="Times New Roman" w:eastAsia="宋体" w:cs="Times New Roman"/>
                <w:szCs w:val="21"/>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0.591</w:t>
            </w:r>
            <w:r>
              <w:rPr>
                <w:rFonts w:hint="default" w:ascii="Times New Roman" w:hAnsi="Times New Roman" w:eastAsia="宋体" w:cs="Times New Roman"/>
                <w:szCs w:val="21"/>
                <w:lang w:val="en-US"/>
              </w:rPr>
              <w:t>t/a</w:t>
            </w:r>
          </w:p>
        </w:tc>
        <w:tc>
          <w:tcPr>
            <w:tcW w:w="1704" w:type="dxa"/>
            <w:tcBorders>
              <w:top w:val="single" w:color="000000" w:sz="4" w:space="0"/>
              <w:left w:val="single" w:color="000000" w:sz="4" w:space="0"/>
              <w:bottom w:val="single" w:color="000000" w:sz="4" w:space="0"/>
            </w:tcBorders>
            <w:vAlign w:val="center"/>
          </w:tcPr>
          <w:p>
            <w:pPr>
              <w:pStyle w:val="39"/>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+0.591</w:t>
            </w:r>
            <w:r>
              <w:rPr>
                <w:rFonts w:hint="default" w:ascii="Times New Roman" w:hAnsi="Times New Roman" w:eastAsia="宋体" w:cs="Times New Roman"/>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SS</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bidi w:val="0"/>
              <w:ind w:firstLine="0" w:firstLineChars="0"/>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lang w:val="en-US" w:eastAsia="zh-CN"/>
              </w:rPr>
              <w:t>0.535</w:t>
            </w:r>
            <w:r>
              <w:rPr>
                <w:rFonts w:hint="default" w:ascii="Times New Roman" w:hAnsi="Times New Roman" w:eastAsia="宋体" w:cs="Times New Roman"/>
                <w:szCs w:val="21"/>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bidi w:val="0"/>
              <w:ind w:firstLine="0" w:firstLineChars="0"/>
              <w:rPr>
                <w:rFonts w:hint="default" w:ascii="Times New Roman" w:hAnsi="Times New Roman" w:eastAsia="宋体" w:cs="Times New Roman"/>
                <w:lang w:eastAsia="zh-CN"/>
              </w:rPr>
            </w:pPr>
            <w:r>
              <w:rPr>
                <w:rFonts w:hint="default" w:ascii="Times New Roman" w:hAnsi="Times New Roman" w:eastAsia="宋体" w:cs="Times New Roman"/>
                <w:szCs w:val="21"/>
                <w:lang w:val="en-US" w:eastAsia="zh-CN"/>
              </w:rPr>
              <w:t>0.535</w:t>
            </w:r>
            <w:r>
              <w:rPr>
                <w:rFonts w:hint="default" w:ascii="Times New Roman" w:hAnsi="Times New Roman" w:eastAsia="宋体" w:cs="Times New Roman"/>
                <w:szCs w:val="21"/>
                <w:lang w:val="en-US"/>
              </w:rPr>
              <w:t>t/a</w:t>
            </w:r>
          </w:p>
        </w:tc>
        <w:tc>
          <w:tcPr>
            <w:tcW w:w="1704" w:type="dxa"/>
            <w:tcBorders>
              <w:top w:val="single" w:color="000000" w:sz="4" w:space="0"/>
              <w:left w:val="single" w:color="000000" w:sz="4" w:space="0"/>
              <w:bottom w:val="single" w:color="000000" w:sz="4" w:space="0"/>
            </w:tcBorders>
            <w:vAlign w:val="center"/>
          </w:tcPr>
          <w:p>
            <w:pPr>
              <w:pStyle w:val="39"/>
              <w:tabs>
                <w:tab w:val="left" w:pos="434"/>
                <w:tab w:val="center" w:pos="904"/>
              </w:tabs>
              <w:bidi w:val="0"/>
              <w:ind w:firstLine="0" w:firstLineChars="0"/>
              <w:jc w:val="left"/>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ab/>
            </w:r>
            <w:r>
              <w:rPr>
                <w:rFonts w:hint="default"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ab/>
            </w:r>
            <w:r>
              <w:rPr>
                <w:rFonts w:hint="default" w:ascii="Times New Roman" w:hAnsi="Times New Roman" w:eastAsia="宋体" w:cs="Times New Roman"/>
                <w:szCs w:val="21"/>
                <w:lang w:val="en-US" w:eastAsia="zh-CN"/>
              </w:rPr>
              <w:t>0.535</w:t>
            </w:r>
            <w:r>
              <w:rPr>
                <w:rFonts w:hint="default" w:ascii="Times New Roman" w:hAnsi="Times New Roman" w:eastAsia="宋体" w:cs="Times New Roman"/>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rPr>
              <w:t>氨氮</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9"/>
              <w:bidi w:val="0"/>
              <w:ind w:firstLine="0" w:firstLineChars="0"/>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szCs w:val="21"/>
                <w:lang w:val="en-US" w:eastAsia="zh-CN"/>
              </w:rPr>
              <w:t>0.023</w:t>
            </w:r>
            <w:r>
              <w:rPr>
                <w:rFonts w:hint="default" w:ascii="Times New Roman" w:hAnsi="Times New Roman" w:eastAsia="宋体" w:cs="Times New Roman"/>
                <w:szCs w:val="21"/>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39"/>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szCs w:val="21"/>
                <w:lang w:val="en-US" w:eastAsia="zh-CN"/>
              </w:rPr>
              <w:t>0.023</w:t>
            </w:r>
            <w:r>
              <w:rPr>
                <w:rFonts w:hint="default" w:ascii="Times New Roman" w:hAnsi="Times New Roman" w:eastAsia="宋体" w:cs="Times New Roman"/>
                <w:szCs w:val="21"/>
                <w:lang w:val="en-US"/>
              </w:rPr>
              <w:t>t/a</w:t>
            </w:r>
          </w:p>
        </w:tc>
        <w:tc>
          <w:tcPr>
            <w:tcW w:w="1704" w:type="dxa"/>
            <w:tcBorders>
              <w:top w:val="single" w:color="000000" w:sz="4" w:space="0"/>
              <w:left w:val="single" w:color="000000" w:sz="4" w:space="0"/>
              <w:bottom w:val="single" w:color="000000" w:sz="4" w:space="0"/>
            </w:tcBorders>
            <w:vAlign w:val="center"/>
          </w:tcPr>
          <w:p>
            <w:pPr>
              <w:pStyle w:val="39"/>
              <w:bidi w:val="0"/>
              <w:ind w:firstLine="0" w:firstLineChars="0"/>
              <w:rPr>
                <w:rFonts w:hint="default" w:ascii="Times New Roman" w:hAnsi="Times New Roman" w:eastAsia="宋体" w:cs="Times New Roman"/>
                <w:color w:val="auto"/>
                <w:lang w:val="en-US"/>
              </w:rPr>
            </w:pPr>
            <w:r>
              <w:rPr>
                <w:rFonts w:hint="default" w:ascii="Times New Roman" w:hAnsi="Times New Roman" w:eastAsia="宋体" w:cs="Times New Roman"/>
                <w:szCs w:val="21"/>
                <w:lang w:val="en-US" w:eastAsia="zh-CN"/>
              </w:rPr>
              <w:t>+0.023</w:t>
            </w:r>
            <w:r>
              <w:rPr>
                <w:rFonts w:hint="default" w:ascii="Times New Roman" w:hAnsi="Times New Roman" w:eastAsia="宋体" w:cs="Times New Roman"/>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 w:hRule="atLeast"/>
        </w:trPr>
        <w:tc>
          <w:tcPr>
            <w:tcW w:w="1151" w:type="dxa"/>
            <w:vMerge w:val="restart"/>
            <w:tcBorders>
              <w:top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一般工业</w:t>
            </w:r>
          </w:p>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固体废物</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rPr>
              <w:t>污水处理站</w:t>
            </w:r>
            <w:r>
              <w:rPr>
                <w:rFonts w:hint="default" w:ascii="Times New Roman" w:hAnsi="Times New Roman" w:eastAsia="宋体" w:cs="Times New Roman"/>
                <w:sz w:val="21"/>
                <w:lang w:val="en-US" w:eastAsia="zh-CN"/>
              </w:rPr>
              <w:t>污泥</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rPr>
                <w:rFonts w:hint="default" w:ascii="Times New Roman" w:hAnsi="Times New Roman" w:eastAsia="宋体" w:cs="Times New Roman"/>
                <w:lang w:val="en-US"/>
              </w:rPr>
            </w:pPr>
            <w:r>
              <w:rPr>
                <w:rFonts w:hint="default" w:ascii="Times New Roman" w:hAnsi="Times New Roman" w:eastAsia="宋体" w:cs="Times New Roman"/>
                <w:color w:val="auto"/>
                <w:lang w:val="en-US" w:eastAsia="zh-CN"/>
              </w:rPr>
              <w:t>1.98</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lang w:val="en-US"/>
              </w:rPr>
            </w:pPr>
            <w:r>
              <w:rPr>
                <w:rFonts w:hint="default" w:ascii="Times New Roman" w:hAnsi="Times New Roman" w:eastAsia="宋体" w:cs="Times New Roman"/>
                <w:color w:val="auto"/>
                <w:lang w:val="en-US" w:eastAsia="zh-CN"/>
              </w:rPr>
              <w:t>1.98</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lang w:val="en-US"/>
              </w:rPr>
            </w:pPr>
            <w:r>
              <w:rPr>
                <w:rFonts w:hint="default" w:ascii="Times New Roman" w:hAnsi="Times New Roman" w:eastAsia="宋体" w:cs="Times New Roman"/>
                <w:color w:val="auto"/>
                <w:lang w:val="en-US" w:eastAsia="zh-CN"/>
              </w:rPr>
              <w:t>+1.98</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废包装物</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rPr>
                <w:rFonts w:hint="default" w:ascii="Times New Roman" w:hAnsi="Times New Roman" w:eastAsia="宋体" w:cs="Times New Roman"/>
                <w:lang w:val="en-US"/>
              </w:rPr>
            </w:pPr>
            <w:r>
              <w:rPr>
                <w:rFonts w:hint="default" w:ascii="Times New Roman" w:hAnsi="Times New Roman" w:eastAsia="宋体" w:cs="Times New Roman"/>
                <w:lang w:val="en-US" w:eastAsia="zh-CN"/>
              </w:rPr>
              <w:t>2</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lang w:val="en-US"/>
              </w:rPr>
            </w:pPr>
            <w:r>
              <w:rPr>
                <w:rFonts w:hint="default" w:ascii="Times New Roman" w:hAnsi="Times New Roman" w:eastAsia="宋体" w:cs="Times New Roman"/>
                <w:lang w:val="en-US" w:eastAsia="zh-CN"/>
              </w:rPr>
              <w:t>2</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lang w:val="en-US"/>
              </w:rPr>
            </w:pPr>
            <w:r>
              <w:rPr>
                <w:rFonts w:hint="default" w:ascii="Times New Roman" w:hAnsi="Times New Roman" w:eastAsia="宋体" w:cs="Times New Roman"/>
                <w:lang w:val="en-US" w:eastAsia="zh-CN"/>
              </w:rPr>
              <w:t>+2</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生产性</w:t>
            </w:r>
            <w:r>
              <w:rPr>
                <w:rFonts w:hint="default" w:ascii="Times New Roman" w:hAnsi="Times New Roman" w:eastAsia="宋体" w:cs="Times New Roman"/>
                <w:sz w:val="21"/>
                <w:lang w:val="en-US"/>
              </w:rPr>
              <w:t>废弃料</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rPr>
                <w:rFonts w:hint="default" w:ascii="Times New Roman" w:hAnsi="Times New Roman" w:eastAsia="宋体" w:cs="Times New Roman"/>
                <w:lang w:val="en-US"/>
              </w:rPr>
            </w:pPr>
            <w:r>
              <w:rPr>
                <w:rFonts w:hint="default" w:ascii="Times New Roman" w:hAnsi="Times New Roman" w:eastAsia="宋体" w:cs="Times New Roman"/>
                <w:color w:val="auto"/>
                <w:lang w:val="en-US" w:eastAsia="zh-CN"/>
              </w:rPr>
              <w:t>8.365</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lang w:val="en-US"/>
              </w:rPr>
            </w:pPr>
            <w:r>
              <w:rPr>
                <w:rFonts w:hint="default" w:ascii="Times New Roman" w:hAnsi="Times New Roman" w:eastAsia="宋体" w:cs="Times New Roman"/>
                <w:color w:val="auto"/>
                <w:lang w:val="en-US" w:eastAsia="zh-CN"/>
              </w:rPr>
              <w:t>8.365</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lang w:val="en-US"/>
              </w:rPr>
            </w:pPr>
            <w:r>
              <w:rPr>
                <w:rFonts w:hint="default" w:ascii="Times New Roman" w:hAnsi="Times New Roman" w:eastAsia="宋体" w:cs="Times New Roman"/>
                <w:color w:val="auto"/>
                <w:lang w:val="en-US" w:eastAsia="zh-CN"/>
              </w:rPr>
              <w:t>+8.365</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过期原辅料</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lang w:val="en-US" w:eastAsia="zh-CN"/>
              </w:rPr>
            </w:pPr>
            <w:r>
              <w:rPr>
                <w:rFonts w:hint="default" w:ascii="Times New Roman" w:hAnsi="Times New Roman" w:eastAsia="宋体" w:cs="Times New Roman"/>
                <w:lang w:val="en-US" w:eastAsia="zh-CN"/>
              </w:rPr>
              <w:t>1</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lang w:val="en-US" w:eastAsia="zh-CN"/>
              </w:rPr>
              <w:t>1</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lang w:val="en-US" w:eastAsia="zh-CN"/>
              </w:rPr>
              <w:t>+1</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砂石</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sz w:val="21"/>
                <w:lang w:val="en-US" w:eastAsia="zh-CN"/>
              </w:rPr>
            </w:pPr>
            <w:r>
              <w:rPr>
                <w:rFonts w:hint="default" w:ascii="Times New Roman" w:hAnsi="Times New Roman" w:eastAsia="宋体" w:cs="Times New Roman"/>
                <w:lang w:val="en-US" w:eastAsia="zh-CN"/>
              </w:rPr>
              <w:t>检验室固废</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sz w:val="21"/>
                <w:lang w:val="en-US" w:eastAsia="zh-CN"/>
              </w:rPr>
            </w:pPr>
            <w:r>
              <w:rPr>
                <w:rFonts w:hint="default" w:ascii="Times New Roman" w:hAnsi="Times New Roman" w:eastAsia="宋体" w:cs="Times New Roman"/>
                <w:lang w:val="en-US" w:eastAsia="zh-CN"/>
              </w:rPr>
              <w:t>除尘灰</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color w:val="auto"/>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color w:val="auto"/>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color w:val="auto"/>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0.1305</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color w:val="auto"/>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0.1305</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+0.1305</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sz w:val="21"/>
                <w:lang w:val="en-US" w:eastAsia="zh-CN"/>
              </w:rPr>
            </w:pPr>
            <w:r>
              <w:rPr>
                <w:rFonts w:hint="default" w:ascii="Times New Roman" w:hAnsi="Times New Roman" w:eastAsia="宋体" w:cs="Times New Roman"/>
                <w:u w:val="none"/>
              </w:rPr>
              <w:t>锅炉灰渣</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20.75</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20.75</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+20.75</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u w:val="none"/>
                <w:lang w:val="en-US" w:eastAsia="zh-CN"/>
              </w:rPr>
            </w:pPr>
            <w:r>
              <w:rPr>
                <w:rFonts w:hint="default" w:ascii="Times New Roman" w:hAnsi="Times New Roman" w:eastAsia="宋体" w:cs="Times New Roman"/>
                <w:u w:val="none"/>
              </w:rPr>
              <w:t>软水制备产生的</w:t>
            </w:r>
            <w:r>
              <w:rPr>
                <w:rFonts w:hint="default" w:ascii="Times New Roman" w:hAnsi="Times New Roman" w:eastAsia="宋体" w:cs="Times New Roman"/>
                <w:u w:val="none"/>
                <w:lang w:val="en-US" w:eastAsia="zh-CN"/>
              </w:rPr>
              <w:t>过滤器（含活性炭）</w:t>
            </w:r>
            <w:r>
              <w:rPr>
                <w:rFonts w:hint="default" w:ascii="Times New Roman" w:hAnsi="Times New Roman" w:eastAsia="宋体" w:cs="Times New Roman"/>
                <w:u w:val="none"/>
              </w:rPr>
              <w:t>和废反渗透膜</w:t>
            </w:r>
            <w:r>
              <w:rPr>
                <w:rFonts w:hint="default" w:ascii="Times New Roman" w:hAnsi="Times New Roman" w:eastAsia="宋体" w:cs="Times New Roman"/>
                <w:u w:val="none"/>
                <w:lang w:eastAsia="zh-CN"/>
              </w:rPr>
              <w:t>、</w:t>
            </w:r>
            <w:r>
              <w:rPr>
                <w:rFonts w:hint="default" w:ascii="Times New Roman" w:hAnsi="Times New Roman" w:eastAsia="宋体" w:cs="Times New Roman"/>
                <w:u w:val="none"/>
                <w:lang w:val="en-US" w:eastAsia="zh-CN"/>
              </w:rPr>
              <w:t>废树脂</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color w:val="auto"/>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color w:val="auto"/>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color w:val="auto"/>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0.1t</w:t>
            </w:r>
            <w:r>
              <w:rPr>
                <w:rFonts w:hint="default" w:ascii="Times New Roman" w:hAnsi="Times New Roman" w:eastAsia="宋体" w:cs="Times New Roman"/>
                <w:lang w:val="en-US"/>
              </w:rPr>
              <w: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0.1t</w:t>
            </w:r>
            <w:r>
              <w:rPr>
                <w:rFonts w:hint="default" w:ascii="Times New Roman" w:hAnsi="Times New Roman" w:eastAsia="宋体" w:cs="Times New Roman"/>
                <w:lang w:val="en-US"/>
              </w:rPr>
              <w: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+0.1t</w:t>
            </w:r>
            <w:r>
              <w:rPr>
                <w:rFonts w:hint="default" w:ascii="Times New Roman" w:hAnsi="Times New Roman" w:eastAsia="宋体" w:cs="Times New Roman"/>
                <w:lang w:val="en-US"/>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restart"/>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危险废物</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废紫外灯管</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0.02</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0.02</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+0.02</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vMerge w:val="continue"/>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检验室废液</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0.01</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0.01</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+0.01</w:t>
            </w:r>
            <w:r>
              <w:rPr>
                <w:rFonts w:hint="default" w:ascii="Times New Roman" w:hAnsi="Times New Roman" w:eastAsia="宋体"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51" w:type="dxa"/>
            <w:tcBorders>
              <w:right w:val="single" w:color="000000" w:sz="4" w:space="0"/>
            </w:tcBorders>
            <w:vAlign w:val="center"/>
          </w:tcPr>
          <w:p>
            <w:pPr>
              <w:pStyle w:val="49"/>
              <w:wordWrap/>
              <w:overflowPunct w:val="0"/>
              <w:topLinePunct w:val="0"/>
              <w:autoSpaceDE w:val="0"/>
              <w:autoSpaceDN w:val="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生活垃圾</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生活垃圾</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rPr>
            </w:pPr>
            <w:r>
              <w:rPr>
                <w:rFonts w:hint="default" w:ascii="Times New Roman" w:hAnsi="Times New Roman" w:eastAsia="宋体" w:cs="Times New Roman"/>
                <w:sz w:val="21"/>
                <w:lang w:val="en-US"/>
              </w:rPr>
              <w:t>/</w:t>
            </w:r>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lang w:val="en-US" w:eastAsia="zh-CN"/>
              </w:rPr>
              <w:t>1.8</w:t>
            </w:r>
            <w:r>
              <w:rPr>
                <w:rFonts w:hint="default" w:ascii="Times New Roman" w:hAnsi="Times New Roman" w:eastAsia="宋体" w:cs="Times New Roman"/>
                <w:lang w:val="en-US"/>
              </w:rPr>
              <w:t>t/a</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49"/>
              <w:wordWrap/>
              <w:overflowPunct w:val="0"/>
              <w:topLinePunct w:val="0"/>
              <w:autoSpaceDE w:val="0"/>
              <w:autoSpaceDN w:val="0"/>
              <w:ind w:left="0" w:leftChars="0" w:right="0" w:righ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rPr>
              <w:t>/</w:t>
            </w:r>
          </w:p>
        </w:tc>
        <w:tc>
          <w:tcPr>
            <w:tcW w:w="1828" w:type="dxa"/>
            <w:tcBorders>
              <w:top w:val="single" w:color="000000" w:sz="4" w:space="0"/>
              <w:left w:val="single" w:color="000000" w:sz="4" w:space="0"/>
              <w:bottom w:val="single" w:color="000000" w:sz="4" w:space="0"/>
              <w:right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lang w:val="en-US" w:eastAsia="zh-CN"/>
              </w:rPr>
              <w:t>1.8</w:t>
            </w:r>
            <w:r>
              <w:rPr>
                <w:rFonts w:hint="default" w:ascii="Times New Roman" w:hAnsi="Times New Roman" w:eastAsia="宋体" w:cs="Times New Roman"/>
                <w:lang w:val="en-US"/>
              </w:rPr>
              <w:t>t/a</w:t>
            </w:r>
          </w:p>
        </w:tc>
        <w:tc>
          <w:tcPr>
            <w:tcW w:w="1704" w:type="dxa"/>
            <w:tcBorders>
              <w:top w:val="single" w:color="000000" w:sz="4" w:space="0"/>
              <w:left w:val="single" w:color="000000" w:sz="4" w:space="0"/>
              <w:bottom w:val="single" w:color="000000" w:sz="4" w:space="0"/>
            </w:tcBorders>
            <w:vAlign w:val="center"/>
          </w:tcPr>
          <w:p>
            <w:pPr>
              <w:pStyle w:val="51"/>
              <w:widowControl w:val="0"/>
              <w:wordWrap/>
              <w:overflowPunct w:val="0"/>
              <w:topLinePunct w:val="0"/>
              <w:autoSpaceDE w:val="0"/>
              <w:autoSpaceDN w:val="0"/>
              <w:ind w:left="0" w:leftChars="0" w:right="0" w:righ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lang w:val="en-US" w:eastAsia="zh-CN"/>
              </w:rPr>
              <w:t>+1.8</w:t>
            </w:r>
            <w:r>
              <w:rPr>
                <w:rFonts w:hint="default" w:ascii="Times New Roman" w:hAnsi="Times New Roman" w:eastAsia="宋体" w:cs="Times New Roman"/>
                <w:lang w:val="en-US"/>
              </w:rPr>
              <w:t>t/a</w:t>
            </w:r>
          </w:p>
        </w:tc>
      </w:tr>
    </w:tbl>
    <w:p>
      <w:pPr>
        <w:pStyle w:val="13"/>
        <w:wordWrap/>
        <w:overflowPunct w:val="0"/>
        <w:topLinePunct w:val="0"/>
        <w:autoSpaceDE w:val="0"/>
        <w:autoSpaceDN w:val="0"/>
        <w:spacing w:before="11"/>
        <w:ind w:firstLine="120"/>
        <w:jc w:val="left"/>
        <w:rPr>
          <w:rFonts w:ascii="微软雅黑"/>
          <w:sz w:val="6"/>
        </w:rPr>
      </w:pPr>
    </w:p>
    <w:p>
      <w:pPr>
        <w:wordWrap/>
        <w:overflowPunct w:val="0"/>
        <w:topLinePunct w:val="0"/>
        <w:autoSpaceDE w:val="0"/>
        <w:autoSpaceDN w:val="0"/>
        <w:spacing w:before="71"/>
        <w:ind w:left="151" w:firstLine="420"/>
        <w:jc w:val="left"/>
        <w:rPr>
          <w:lang w:val="en-US"/>
        </w:rPr>
      </w:pPr>
      <w:bookmarkStart w:id="148" w:name="_Toc8458"/>
      <w:bookmarkStart w:id="149" w:name="_Toc27838"/>
      <w:r>
        <w:rPr>
          <w:sz w:val="21"/>
        </w:rPr>
        <w:t>注</w:t>
      </w:r>
      <w:bookmarkEnd w:id="148"/>
      <w:bookmarkEnd w:id="149"/>
    </w:p>
    <w:p/>
    <w:p/>
    <w:p/>
    <w:p/>
    <w:sectPr>
      <w:footerReference r:id="rId19" w:type="default"/>
      <w:footerReference r:id="rId20" w:type="even"/>
      <w:pgSz w:w="16840" w:h="11910" w:orient="landscape"/>
      <w:pgMar w:top="1300" w:right="1580" w:bottom="1300" w:left="1000" w:header="0" w:footer="817"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ind w:firstLine="600"/>
      <w:rPr>
        <w:sz w:val="20"/>
      </w:rPr>
    </w:pPr>
    <w:r>
      <mc:AlternateContent>
        <mc:Choice Requires="wps">
          <w:drawing>
            <wp:anchor distT="0" distB="0" distL="114300" distR="114300" simplePos="0" relativeHeight="251662336" behindDoc="1" locked="0" layoutInCell="1" allowOverlap="1">
              <wp:simplePos x="0" y="0"/>
              <wp:positionH relativeFrom="page">
                <wp:posOffset>4946650</wp:posOffset>
              </wp:positionH>
              <wp:positionV relativeFrom="page">
                <wp:posOffset>6884670</wp:posOffset>
              </wp:positionV>
              <wp:extent cx="801370" cy="203835"/>
              <wp:effectExtent l="0" t="0" r="0" b="0"/>
              <wp:wrapNone/>
              <wp:docPr id="21" name="文本框 16"/>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line="321" w:lineRule="exact"/>
                            <w:ind w:left="20" w:firstLine="560"/>
                            <w:jc w:val="left"/>
                            <w:rPr>
                              <w:sz w:val="28"/>
                            </w:rPr>
                          </w:pPr>
                        </w:p>
                      </w:txbxContent>
                    </wps:txbx>
                    <wps:bodyPr lIns="0" tIns="0" rIns="0" bIns="0" upright="1"/>
                  </wps:wsp>
                </a:graphicData>
              </a:graphic>
            </wp:anchor>
          </w:drawing>
        </mc:Choice>
        <mc:Fallback>
          <w:pict>
            <v:shape id="文本框 16" o:spid="_x0000_s1026" o:spt="202" type="#_x0000_t202" style="position:absolute;left:0pt;margin-left:389.5pt;margin-top:542.1pt;height:16.05pt;width:63.1pt;mso-position-horizontal-relative:page;mso-position-vertical-relative:page;z-index:-251654144;mso-width-relative:page;mso-height-relative:page;" filled="f" stroked="f" coordsize="21600,21600" o:gfxdata="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Gr37dsAAAANAQAADwAAAAAAAAABACAAAAAiAAAAZHJzL2Rvd25yZXYueG1s&#10;UEsBAhQAFAAAAAgAh07iQF+XHYm8AQAAcwMAAA4AAAAAAAAAAQAgAAAAKgEAAGRycy9lMm9Eb2Mu&#10;eG1sUEsFBgAAAAAGAAYAWQEAAFgFAAAAAA==&#10;">
              <v:fill on="f" focussize="0,0"/>
              <v:stroke on="f"/>
              <v:imagedata o:title=""/>
              <o:lock v:ext="edit" aspectratio="f"/>
              <v:textbox inset="0mm,0mm,0mm,0mm">
                <w:txbxContent>
                  <w:p>
                    <w:pPr>
                      <w:spacing w:line="321" w:lineRule="exact"/>
                      <w:ind w:left="20" w:firstLine="560"/>
                      <w:jc w:val="left"/>
                      <w:rPr>
                        <w:sz w:val="28"/>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posOffset>2765425</wp:posOffset>
              </wp:positionH>
              <wp:positionV relativeFrom="paragraph">
                <wp:posOffset>0</wp:posOffset>
              </wp:positionV>
              <wp:extent cx="45847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58470" cy="1828800"/>
                      </a:xfrm>
                      <a:prstGeom prst="rect">
                        <a:avLst/>
                      </a:prstGeom>
                      <a:noFill/>
                      <a:ln>
                        <a:noFill/>
                      </a:ln>
                    </wps:spPr>
                    <wps:txbx>
                      <w:txbxContent>
                        <w:p>
                          <w:pPr>
                            <w:pStyle w:val="17"/>
                            <w:ind w:firstLine="360"/>
                          </w:pPr>
                          <w:r>
                            <w:fldChar w:fldCharType="begin"/>
                          </w:r>
                          <w:r>
                            <w:instrText xml:space="preserve"> PAGE  \* MERGEFORMAT </w:instrText>
                          </w:r>
                          <w:r>
                            <w:fldChar w:fldCharType="separate"/>
                          </w:r>
                          <w:r>
                            <w:t>21</w:t>
                          </w:r>
                          <w:r>
                            <w:fldChar w:fldCharType="end"/>
                          </w:r>
                        </w:p>
                      </w:txbxContent>
                    </wps:txbx>
                    <wps:bodyPr wrap="square" lIns="0" tIns="0" rIns="0" bIns="0" upright="1">
                      <a:spAutoFit/>
                    </wps:bodyPr>
                  </wps:wsp>
                </a:graphicData>
              </a:graphic>
            </wp:anchor>
          </w:drawing>
        </mc:Choice>
        <mc:Fallback>
          <w:pict>
            <v:shape id="_x0000_s1026" o:spid="_x0000_s1026" o:spt="202" type="#_x0000_t202" style="position:absolute;left:0pt;margin-left:217.75pt;margin-top:0pt;height:144pt;width:36.1pt;mso-position-horizontal-relative:margin;z-index:251663360;mso-width-relative:page;mso-height-relative:page;" filled="f" stroked="f" coordsize="21600,21600" o:gfxdata="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bmfh/WAAAACAEAAA8AAAAAAAAAAQAgAAAAIgAA&#10;AGRycy9kb3ducmV2LnhtbFBLAQIUABQAAAAIAIdO4kD6tn//0QEAAJoDAAAOAAAAAAAAAAEAIAAA&#10;ACUBAABkcnMvZTJvRG9jLnhtbFBLBQYAAAAABgAGAFkBAABoBQAAAAA=&#10;">
              <v:fill on="f" focussize="0,0"/>
              <v:stroke on="f"/>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ind w:firstLine="360"/>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3YbicgBAACaAwAADgAAAGRycy9lMm9Eb2MueG1srVNNrtMwEN4jcQfL&#10;e+q0Q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ylx3OLAL9+/XX78uvz8SpZF&#10;nz5AjWkPARPT8MYPuDVZt+wHdGbag4o2f5EQwTiqe76qK4dERH60Xq3XFYYExuYL4rDb8xAhvZXe&#10;kmw0NOL4iqr89B7SmDqn5GrO32tjygiN+8uBmNnDbj1mKw37YWp879sz8ulx8g11uOiUmHcOhc1L&#10;MhtxNvazcQxRHzpsbVn6gvD6mLCJ0luuMMJOhXFkhd20Xnkn/ryXrNsv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t2G4nIAQAAmgMAAA4AAAAAAAAAAQAgAAAAHgEAAGRycy9lMm9Eb2Mu&#10;eG1sUEsFBgAAAAAGAAYAWQEAAFgFAAAAAA==&#10;">
              <v:fill on="f" focussize="0,0"/>
              <v:stroke on="f"/>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ind w:firstLine="360"/>
                          </w:pPr>
                          <w:r>
                            <w:fldChar w:fldCharType="begin"/>
                          </w:r>
                          <w:r>
                            <w:instrText xml:space="preserve"> PAGE  \* MERGEFORMAT </w:instrText>
                          </w:r>
                          <w:r>
                            <w:fldChar w:fldCharType="separate"/>
                          </w:r>
                          <w:r>
                            <w:t>47</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OamdsoBAACbAwAADgAAAAAAAAABACAAAAAeAQAAZHJzL2Uyb0Rv&#10;Yy54bWxQSwUGAAAAAAYABgBZAQAAWgUAAAAA&#10;">
              <v:fill on="f" focussize="0,0"/>
              <v:stroke on="f"/>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ind w:firstLine="360"/>
                          </w:pPr>
                          <w:r>
                            <w:fldChar w:fldCharType="begin"/>
                          </w:r>
                          <w:r>
                            <w:instrText xml:space="preserve"> PAGE  \* MERGEFORMAT </w:instrText>
                          </w:r>
                          <w:r>
                            <w:fldChar w:fldCharType="separate"/>
                          </w:r>
                          <w:r>
                            <w:t>48</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LTxWMoBAACbAwAADgAAAAAAAAABACAAAAAeAQAAZHJzL2Uyb0Rv&#10;Yy54bWxQSwUGAAAAAAYABgBZAQAAWgUAAAAA&#10;">
              <v:fill on="f" focussize="0,0"/>
              <v:stroke on="f"/>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8AEEC0"/>
    <w:multiLevelType w:val="multilevel"/>
    <w:tmpl w:val="C78AEEC0"/>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D72D3E23"/>
    <w:multiLevelType w:val="singleLevel"/>
    <w:tmpl w:val="D72D3E23"/>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MjNjZTNiODIzMTdlODIxODFhODJjMThlNTg2MzcifQ=="/>
  </w:docVars>
  <w:rsids>
    <w:rsidRoot w:val="00172A27"/>
    <w:rsid w:val="00036916"/>
    <w:rsid w:val="0008171B"/>
    <w:rsid w:val="00172A27"/>
    <w:rsid w:val="00185A2B"/>
    <w:rsid w:val="001E303C"/>
    <w:rsid w:val="00215AA4"/>
    <w:rsid w:val="003A40A0"/>
    <w:rsid w:val="003F2BCE"/>
    <w:rsid w:val="00493CA4"/>
    <w:rsid w:val="004F1263"/>
    <w:rsid w:val="00526FE1"/>
    <w:rsid w:val="005543FC"/>
    <w:rsid w:val="00591159"/>
    <w:rsid w:val="0075160C"/>
    <w:rsid w:val="00902F26"/>
    <w:rsid w:val="00A301AD"/>
    <w:rsid w:val="00B84E29"/>
    <w:rsid w:val="00BE583C"/>
    <w:rsid w:val="00BE7332"/>
    <w:rsid w:val="00C3652D"/>
    <w:rsid w:val="00C42E88"/>
    <w:rsid w:val="00C4542D"/>
    <w:rsid w:val="00CA529E"/>
    <w:rsid w:val="00CE545B"/>
    <w:rsid w:val="00D7049C"/>
    <w:rsid w:val="00ED1716"/>
    <w:rsid w:val="00EF06BE"/>
    <w:rsid w:val="010D3038"/>
    <w:rsid w:val="01156943"/>
    <w:rsid w:val="011E623B"/>
    <w:rsid w:val="011F5BF7"/>
    <w:rsid w:val="013C690E"/>
    <w:rsid w:val="015A496F"/>
    <w:rsid w:val="01784F8D"/>
    <w:rsid w:val="01B110AA"/>
    <w:rsid w:val="01B41915"/>
    <w:rsid w:val="01B8099E"/>
    <w:rsid w:val="01D94209"/>
    <w:rsid w:val="01EE4EF3"/>
    <w:rsid w:val="02007E4A"/>
    <w:rsid w:val="02076F1C"/>
    <w:rsid w:val="020E2B96"/>
    <w:rsid w:val="02185543"/>
    <w:rsid w:val="022655F4"/>
    <w:rsid w:val="024D5BEC"/>
    <w:rsid w:val="02E8197C"/>
    <w:rsid w:val="02FB350C"/>
    <w:rsid w:val="030F42DA"/>
    <w:rsid w:val="03106505"/>
    <w:rsid w:val="03242412"/>
    <w:rsid w:val="03507E9A"/>
    <w:rsid w:val="037D2DCC"/>
    <w:rsid w:val="039447DF"/>
    <w:rsid w:val="03A23FF4"/>
    <w:rsid w:val="03B86720"/>
    <w:rsid w:val="03C53073"/>
    <w:rsid w:val="03DA3C48"/>
    <w:rsid w:val="03EF2D5D"/>
    <w:rsid w:val="04182300"/>
    <w:rsid w:val="042400C1"/>
    <w:rsid w:val="044C6E68"/>
    <w:rsid w:val="04567CE7"/>
    <w:rsid w:val="048760F2"/>
    <w:rsid w:val="04927C95"/>
    <w:rsid w:val="04996887"/>
    <w:rsid w:val="04A50CB3"/>
    <w:rsid w:val="04A77279"/>
    <w:rsid w:val="04B95396"/>
    <w:rsid w:val="04C1616B"/>
    <w:rsid w:val="04FD6A26"/>
    <w:rsid w:val="05632EB7"/>
    <w:rsid w:val="059443EF"/>
    <w:rsid w:val="05A70A78"/>
    <w:rsid w:val="05AB56B3"/>
    <w:rsid w:val="05B301A3"/>
    <w:rsid w:val="05B33B3B"/>
    <w:rsid w:val="05C25E97"/>
    <w:rsid w:val="05DB0028"/>
    <w:rsid w:val="05FF4A25"/>
    <w:rsid w:val="062320EA"/>
    <w:rsid w:val="06456DE0"/>
    <w:rsid w:val="065178D7"/>
    <w:rsid w:val="065C4457"/>
    <w:rsid w:val="0684789B"/>
    <w:rsid w:val="06DD35A4"/>
    <w:rsid w:val="06DF0467"/>
    <w:rsid w:val="06E6447D"/>
    <w:rsid w:val="06EA56A7"/>
    <w:rsid w:val="06EC2533"/>
    <w:rsid w:val="07202197"/>
    <w:rsid w:val="07204319"/>
    <w:rsid w:val="0720655E"/>
    <w:rsid w:val="072B574D"/>
    <w:rsid w:val="07321D30"/>
    <w:rsid w:val="073A569E"/>
    <w:rsid w:val="073F4A62"/>
    <w:rsid w:val="07420F91"/>
    <w:rsid w:val="076070BE"/>
    <w:rsid w:val="076B063C"/>
    <w:rsid w:val="076B5A04"/>
    <w:rsid w:val="07A0238F"/>
    <w:rsid w:val="07C0438D"/>
    <w:rsid w:val="08324BE7"/>
    <w:rsid w:val="08653F0C"/>
    <w:rsid w:val="086A5B0F"/>
    <w:rsid w:val="08803584"/>
    <w:rsid w:val="08C5639B"/>
    <w:rsid w:val="08D1394E"/>
    <w:rsid w:val="08FD4BD5"/>
    <w:rsid w:val="0904052C"/>
    <w:rsid w:val="09510A7C"/>
    <w:rsid w:val="0955726C"/>
    <w:rsid w:val="09616F12"/>
    <w:rsid w:val="09722ECD"/>
    <w:rsid w:val="097B2DD9"/>
    <w:rsid w:val="09876BB9"/>
    <w:rsid w:val="09986722"/>
    <w:rsid w:val="099948FD"/>
    <w:rsid w:val="09A5202D"/>
    <w:rsid w:val="09AB47CC"/>
    <w:rsid w:val="09C73F0C"/>
    <w:rsid w:val="09E34036"/>
    <w:rsid w:val="0A2D344A"/>
    <w:rsid w:val="0A7A254C"/>
    <w:rsid w:val="0AB434C8"/>
    <w:rsid w:val="0AB6759C"/>
    <w:rsid w:val="0AD57EAC"/>
    <w:rsid w:val="0B05730D"/>
    <w:rsid w:val="0B27418B"/>
    <w:rsid w:val="0B290AAC"/>
    <w:rsid w:val="0B750992"/>
    <w:rsid w:val="0B8F2F4F"/>
    <w:rsid w:val="0B905760"/>
    <w:rsid w:val="0B9949BB"/>
    <w:rsid w:val="0BB10709"/>
    <w:rsid w:val="0BD36504"/>
    <w:rsid w:val="0BEC6CA5"/>
    <w:rsid w:val="0C5E54FB"/>
    <w:rsid w:val="0C680389"/>
    <w:rsid w:val="0C6B65EB"/>
    <w:rsid w:val="0C79233D"/>
    <w:rsid w:val="0C8705A9"/>
    <w:rsid w:val="0CA44969"/>
    <w:rsid w:val="0CA96507"/>
    <w:rsid w:val="0CAE147F"/>
    <w:rsid w:val="0CAF7F74"/>
    <w:rsid w:val="0CB22AEB"/>
    <w:rsid w:val="0CEC081F"/>
    <w:rsid w:val="0CF956B3"/>
    <w:rsid w:val="0D0908AB"/>
    <w:rsid w:val="0D11537F"/>
    <w:rsid w:val="0D3606B5"/>
    <w:rsid w:val="0D367F33"/>
    <w:rsid w:val="0D3C68EA"/>
    <w:rsid w:val="0D4A130A"/>
    <w:rsid w:val="0D5765F8"/>
    <w:rsid w:val="0D5A25F6"/>
    <w:rsid w:val="0D6E6320"/>
    <w:rsid w:val="0D7D3DCC"/>
    <w:rsid w:val="0DA0641E"/>
    <w:rsid w:val="0DEC3AC9"/>
    <w:rsid w:val="0DF36FFF"/>
    <w:rsid w:val="0E294299"/>
    <w:rsid w:val="0E294E8D"/>
    <w:rsid w:val="0E2D1AB8"/>
    <w:rsid w:val="0E303FD5"/>
    <w:rsid w:val="0E437BB8"/>
    <w:rsid w:val="0E462B7A"/>
    <w:rsid w:val="0E4E60F2"/>
    <w:rsid w:val="0E527775"/>
    <w:rsid w:val="0E5D7CD9"/>
    <w:rsid w:val="0E797F07"/>
    <w:rsid w:val="0E9453F8"/>
    <w:rsid w:val="0E9501CD"/>
    <w:rsid w:val="0EBF4EB4"/>
    <w:rsid w:val="0ED2516F"/>
    <w:rsid w:val="0EFA1288"/>
    <w:rsid w:val="0F1322ED"/>
    <w:rsid w:val="0F143ABE"/>
    <w:rsid w:val="0F340C24"/>
    <w:rsid w:val="0F36499C"/>
    <w:rsid w:val="0F411A95"/>
    <w:rsid w:val="0F53451D"/>
    <w:rsid w:val="0F582205"/>
    <w:rsid w:val="0F702EE3"/>
    <w:rsid w:val="0F7D4B79"/>
    <w:rsid w:val="0F9C3DD2"/>
    <w:rsid w:val="0FA97864"/>
    <w:rsid w:val="0FF26B15"/>
    <w:rsid w:val="10316966"/>
    <w:rsid w:val="11060222"/>
    <w:rsid w:val="11131439"/>
    <w:rsid w:val="11296E73"/>
    <w:rsid w:val="112D1C64"/>
    <w:rsid w:val="11365128"/>
    <w:rsid w:val="11417384"/>
    <w:rsid w:val="114E2471"/>
    <w:rsid w:val="116605FA"/>
    <w:rsid w:val="11733C86"/>
    <w:rsid w:val="117A14B8"/>
    <w:rsid w:val="11930F13"/>
    <w:rsid w:val="11936E1B"/>
    <w:rsid w:val="11E305CC"/>
    <w:rsid w:val="120812E2"/>
    <w:rsid w:val="123E24E6"/>
    <w:rsid w:val="1241042A"/>
    <w:rsid w:val="127B3188"/>
    <w:rsid w:val="12863E8D"/>
    <w:rsid w:val="12944034"/>
    <w:rsid w:val="129F4C1A"/>
    <w:rsid w:val="12A762DD"/>
    <w:rsid w:val="12B90B3C"/>
    <w:rsid w:val="12C41383"/>
    <w:rsid w:val="12C50CE7"/>
    <w:rsid w:val="12EF1A32"/>
    <w:rsid w:val="130B4474"/>
    <w:rsid w:val="13272A09"/>
    <w:rsid w:val="13444E7B"/>
    <w:rsid w:val="136C58C9"/>
    <w:rsid w:val="137D459C"/>
    <w:rsid w:val="13847138"/>
    <w:rsid w:val="13944815"/>
    <w:rsid w:val="139C67E9"/>
    <w:rsid w:val="139D148E"/>
    <w:rsid w:val="13A32125"/>
    <w:rsid w:val="13D70612"/>
    <w:rsid w:val="13DC1FB6"/>
    <w:rsid w:val="13E44F13"/>
    <w:rsid w:val="13E61369"/>
    <w:rsid w:val="13E631BB"/>
    <w:rsid w:val="13F044B0"/>
    <w:rsid w:val="13FE0FEC"/>
    <w:rsid w:val="1405608D"/>
    <w:rsid w:val="141F390B"/>
    <w:rsid w:val="14547043"/>
    <w:rsid w:val="146354B5"/>
    <w:rsid w:val="14765F8D"/>
    <w:rsid w:val="14786E57"/>
    <w:rsid w:val="1494314B"/>
    <w:rsid w:val="14AF086D"/>
    <w:rsid w:val="14C617E1"/>
    <w:rsid w:val="14EA4D01"/>
    <w:rsid w:val="14EB0549"/>
    <w:rsid w:val="14F11A91"/>
    <w:rsid w:val="1502101F"/>
    <w:rsid w:val="150A4B66"/>
    <w:rsid w:val="150F74C4"/>
    <w:rsid w:val="15194B44"/>
    <w:rsid w:val="15386393"/>
    <w:rsid w:val="153E326C"/>
    <w:rsid w:val="159761B3"/>
    <w:rsid w:val="15AF7257"/>
    <w:rsid w:val="15ED6592"/>
    <w:rsid w:val="15ED7E7A"/>
    <w:rsid w:val="15F335E7"/>
    <w:rsid w:val="160C22F1"/>
    <w:rsid w:val="162C1596"/>
    <w:rsid w:val="1636797A"/>
    <w:rsid w:val="16746137"/>
    <w:rsid w:val="16994234"/>
    <w:rsid w:val="169F551D"/>
    <w:rsid w:val="16AB00CC"/>
    <w:rsid w:val="16AE71A3"/>
    <w:rsid w:val="16B40FC8"/>
    <w:rsid w:val="16BC17AB"/>
    <w:rsid w:val="16F969DB"/>
    <w:rsid w:val="17014DA3"/>
    <w:rsid w:val="17052FB9"/>
    <w:rsid w:val="175D340E"/>
    <w:rsid w:val="178A3AD7"/>
    <w:rsid w:val="17BB60A4"/>
    <w:rsid w:val="17C77BA2"/>
    <w:rsid w:val="17DC4B77"/>
    <w:rsid w:val="180651A2"/>
    <w:rsid w:val="18585984"/>
    <w:rsid w:val="186462F7"/>
    <w:rsid w:val="186F3B2F"/>
    <w:rsid w:val="18932E60"/>
    <w:rsid w:val="18A71400"/>
    <w:rsid w:val="18B90B18"/>
    <w:rsid w:val="18EF453A"/>
    <w:rsid w:val="18F4283E"/>
    <w:rsid w:val="18F704E8"/>
    <w:rsid w:val="19104BFF"/>
    <w:rsid w:val="191E2B0D"/>
    <w:rsid w:val="193A15CF"/>
    <w:rsid w:val="19677880"/>
    <w:rsid w:val="197F7225"/>
    <w:rsid w:val="19922A2D"/>
    <w:rsid w:val="199714A0"/>
    <w:rsid w:val="19C04A9E"/>
    <w:rsid w:val="19F05B58"/>
    <w:rsid w:val="1A32065F"/>
    <w:rsid w:val="1A3E4395"/>
    <w:rsid w:val="1A3F329F"/>
    <w:rsid w:val="1A526DDC"/>
    <w:rsid w:val="1A5C1E2B"/>
    <w:rsid w:val="1A6745A4"/>
    <w:rsid w:val="1A7F369B"/>
    <w:rsid w:val="1AD40B4A"/>
    <w:rsid w:val="1AED74CE"/>
    <w:rsid w:val="1AF338E8"/>
    <w:rsid w:val="1AFC520C"/>
    <w:rsid w:val="1B024A1B"/>
    <w:rsid w:val="1B5B3F08"/>
    <w:rsid w:val="1B7611FD"/>
    <w:rsid w:val="1B771C85"/>
    <w:rsid w:val="1B86233B"/>
    <w:rsid w:val="1B8F7EC5"/>
    <w:rsid w:val="1B966EEF"/>
    <w:rsid w:val="1BBA2F8E"/>
    <w:rsid w:val="1BD76EB8"/>
    <w:rsid w:val="1BD9327F"/>
    <w:rsid w:val="1BF829FD"/>
    <w:rsid w:val="1C1078A9"/>
    <w:rsid w:val="1C116575"/>
    <w:rsid w:val="1C33759E"/>
    <w:rsid w:val="1C5B3C94"/>
    <w:rsid w:val="1C8E38C5"/>
    <w:rsid w:val="1CB27C6E"/>
    <w:rsid w:val="1CB37761"/>
    <w:rsid w:val="1CB72150"/>
    <w:rsid w:val="1CBA09BB"/>
    <w:rsid w:val="1CF3300F"/>
    <w:rsid w:val="1D3A1AFC"/>
    <w:rsid w:val="1D5232E9"/>
    <w:rsid w:val="1D55083D"/>
    <w:rsid w:val="1D5D1173"/>
    <w:rsid w:val="1D752B34"/>
    <w:rsid w:val="1D7B2B56"/>
    <w:rsid w:val="1D9A07EC"/>
    <w:rsid w:val="1D9A136F"/>
    <w:rsid w:val="1DA402A4"/>
    <w:rsid w:val="1DC00253"/>
    <w:rsid w:val="1DCC45A7"/>
    <w:rsid w:val="1DEB1048"/>
    <w:rsid w:val="1E050B77"/>
    <w:rsid w:val="1E1D4339"/>
    <w:rsid w:val="1E360B3B"/>
    <w:rsid w:val="1E517114"/>
    <w:rsid w:val="1E5F0FAA"/>
    <w:rsid w:val="1E81772C"/>
    <w:rsid w:val="1EA20806"/>
    <w:rsid w:val="1ECD5904"/>
    <w:rsid w:val="1ED23970"/>
    <w:rsid w:val="1EE655CF"/>
    <w:rsid w:val="1EE85105"/>
    <w:rsid w:val="1EF378E4"/>
    <w:rsid w:val="1EFC1F04"/>
    <w:rsid w:val="1F0960D1"/>
    <w:rsid w:val="1F235816"/>
    <w:rsid w:val="1F5E38FA"/>
    <w:rsid w:val="1F8E715E"/>
    <w:rsid w:val="1F95570F"/>
    <w:rsid w:val="1FDD7416"/>
    <w:rsid w:val="1FF100B2"/>
    <w:rsid w:val="1FF13379"/>
    <w:rsid w:val="1FF73CD4"/>
    <w:rsid w:val="2022235F"/>
    <w:rsid w:val="203647FC"/>
    <w:rsid w:val="2040567B"/>
    <w:rsid w:val="20517888"/>
    <w:rsid w:val="205A2928"/>
    <w:rsid w:val="205F4444"/>
    <w:rsid w:val="206613DC"/>
    <w:rsid w:val="206B6297"/>
    <w:rsid w:val="207945FA"/>
    <w:rsid w:val="20D04B2D"/>
    <w:rsid w:val="20D11983"/>
    <w:rsid w:val="20DB1848"/>
    <w:rsid w:val="20DF27DE"/>
    <w:rsid w:val="20EA5F11"/>
    <w:rsid w:val="21037A0F"/>
    <w:rsid w:val="210E5779"/>
    <w:rsid w:val="21194241"/>
    <w:rsid w:val="211D6A8F"/>
    <w:rsid w:val="21215756"/>
    <w:rsid w:val="214871DD"/>
    <w:rsid w:val="215A5DB4"/>
    <w:rsid w:val="21627873"/>
    <w:rsid w:val="21822292"/>
    <w:rsid w:val="218E4CCF"/>
    <w:rsid w:val="21BA320B"/>
    <w:rsid w:val="21C131FA"/>
    <w:rsid w:val="21D07CBB"/>
    <w:rsid w:val="21EB1A3A"/>
    <w:rsid w:val="21F9590A"/>
    <w:rsid w:val="21FF029C"/>
    <w:rsid w:val="2212699F"/>
    <w:rsid w:val="22150E10"/>
    <w:rsid w:val="22314CC5"/>
    <w:rsid w:val="2274785E"/>
    <w:rsid w:val="22882538"/>
    <w:rsid w:val="22882C60"/>
    <w:rsid w:val="228C725E"/>
    <w:rsid w:val="229256F1"/>
    <w:rsid w:val="22BE4037"/>
    <w:rsid w:val="22CA5B6F"/>
    <w:rsid w:val="22CE344F"/>
    <w:rsid w:val="22D2370B"/>
    <w:rsid w:val="231261A2"/>
    <w:rsid w:val="23166B67"/>
    <w:rsid w:val="23207B57"/>
    <w:rsid w:val="23385C12"/>
    <w:rsid w:val="23405992"/>
    <w:rsid w:val="23527D60"/>
    <w:rsid w:val="2358250B"/>
    <w:rsid w:val="23607DE2"/>
    <w:rsid w:val="23623B5A"/>
    <w:rsid w:val="23885BB9"/>
    <w:rsid w:val="238D507B"/>
    <w:rsid w:val="239B6E3A"/>
    <w:rsid w:val="23F87B1D"/>
    <w:rsid w:val="2412732E"/>
    <w:rsid w:val="241955B7"/>
    <w:rsid w:val="24717B55"/>
    <w:rsid w:val="24C22B02"/>
    <w:rsid w:val="24ED0AF8"/>
    <w:rsid w:val="25052A5E"/>
    <w:rsid w:val="2516340D"/>
    <w:rsid w:val="252F2189"/>
    <w:rsid w:val="25312874"/>
    <w:rsid w:val="25381017"/>
    <w:rsid w:val="254602CF"/>
    <w:rsid w:val="25602FE5"/>
    <w:rsid w:val="25677F89"/>
    <w:rsid w:val="257A64D1"/>
    <w:rsid w:val="2591132B"/>
    <w:rsid w:val="25D81540"/>
    <w:rsid w:val="25DA20CE"/>
    <w:rsid w:val="25EB65AC"/>
    <w:rsid w:val="25F57D47"/>
    <w:rsid w:val="2608656F"/>
    <w:rsid w:val="260C199A"/>
    <w:rsid w:val="260D567D"/>
    <w:rsid w:val="26447515"/>
    <w:rsid w:val="264A3A2A"/>
    <w:rsid w:val="265A4FBD"/>
    <w:rsid w:val="266B541C"/>
    <w:rsid w:val="269A5288"/>
    <w:rsid w:val="26A34BB6"/>
    <w:rsid w:val="26CF1507"/>
    <w:rsid w:val="26D54C17"/>
    <w:rsid w:val="26D92D3E"/>
    <w:rsid w:val="26E77493"/>
    <w:rsid w:val="26E841F9"/>
    <w:rsid w:val="26EF1BA9"/>
    <w:rsid w:val="270F2CA5"/>
    <w:rsid w:val="27142605"/>
    <w:rsid w:val="27245FAE"/>
    <w:rsid w:val="27483067"/>
    <w:rsid w:val="2762489C"/>
    <w:rsid w:val="27625930"/>
    <w:rsid w:val="278F17C6"/>
    <w:rsid w:val="27A91D58"/>
    <w:rsid w:val="27B373A0"/>
    <w:rsid w:val="27BB0869"/>
    <w:rsid w:val="27BD2186"/>
    <w:rsid w:val="27FB78AD"/>
    <w:rsid w:val="28190587"/>
    <w:rsid w:val="28574CDA"/>
    <w:rsid w:val="28671E8B"/>
    <w:rsid w:val="287B0F31"/>
    <w:rsid w:val="2883189B"/>
    <w:rsid w:val="28972F31"/>
    <w:rsid w:val="28A400AC"/>
    <w:rsid w:val="28A62A46"/>
    <w:rsid w:val="28C57065"/>
    <w:rsid w:val="28F4171F"/>
    <w:rsid w:val="29194978"/>
    <w:rsid w:val="293E4055"/>
    <w:rsid w:val="29855829"/>
    <w:rsid w:val="298962E5"/>
    <w:rsid w:val="29940B54"/>
    <w:rsid w:val="29A833B6"/>
    <w:rsid w:val="29AB01E3"/>
    <w:rsid w:val="29B03039"/>
    <w:rsid w:val="29DA2074"/>
    <w:rsid w:val="2A012AB6"/>
    <w:rsid w:val="2A445708"/>
    <w:rsid w:val="2A701253"/>
    <w:rsid w:val="2A731936"/>
    <w:rsid w:val="2A7A3E7F"/>
    <w:rsid w:val="2A7B59A6"/>
    <w:rsid w:val="2A8A017B"/>
    <w:rsid w:val="2AB16E14"/>
    <w:rsid w:val="2AB34E1B"/>
    <w:rsid w:val="2AB7391A"/>
    <w:rsid w:val="2AFB753B"/>
    <w:rsid w:val="2AFE0764"/>
    <w:rsid w:val="2B235B57"/>
    <w:rsid w:val="2B3737E3"/>
    <w:rsid w:val="2B612949"/>
    <w:rsid w:val="2B6B1810"/>
    <w:rsid w:val="2B7F799F"/>
    <w:rsid w:val="2B9B1D3D"/>
    <w:rsid w:val="2C0A69D6"/>
    <w:rsid w:val="2C576226"/>
    <w:rsid w:val="2C5A03A2"/>
    <w:rsid w:val="2C73502A"/>
    <w:rsid w:val="2C943FCE"/>
    <w:rsid w:val="2CAC232C"/>
    <w:rsid w:val="2CC46F41"/>
    <w:rsid w:val="2CD86C3B"/>
    <w:rsid w:val="2CDE3D1F"/>
    <w:rsid w:val="2CE6712F"/>
    <w:rsid w:val="2D0709A4"/>
    <w:rsid w:val="2D157E8F"/>
    <w:rsid w:val="2D1C0973"/>
    <w:rsid w:val="2D205B4A"/>
    <w:rsid w:val="2D3D6AD0"/>
    <w:rsid w:val="2D443E3F"/>
    <w:rsid w:val="2D603BB3"/>
    <w:rsid w:val="2D8936A8"/>
    <w:rsid w:val="2DB6710F"/>
    <w:rsid w:val="2DC773DC"/>
    <w:rsid w:val="2DCA6DA5"/>
    <w:rsid w:val="2DCB1F9B"/>
    <w:rsid w:val="2DCE53D6"/>
    <w:rsid w:val="2DD42A5F"/>
    <w:rsid w:val="2E2D72B4"/>
    <w:rsid w:val="2E362D3B"/>
    <w:rsid w:val="2E3C6524"/>
    <w:rsid w:val="2E3E615B"/>
    <w:rsid w:val="2E406DA6"/>
    <w:rsid w:val="2E467AD0"/>
    <w:rsid w:val="2E5961A2"/>
    <w:rsid w:val="2E67471B"/>
    <w:rsid w:val="2E6941E2"/>
    <w:rsid w:val="2E766AD0"/>
    <w:rsid w:val="2EB9163D"/>
    <w:rsid w:val="2EBF3AFD"/>
    <w:rsid w:val="2EE25C61"/>
    <w:rsid w:val="2EEC1170"/>
    <w:rsid w:val="2EF03671"/>
    <w:rsid w:val="2F0F47B2"/>
    <w:rsid w:val="2F105D4D"/>
    <w:rsid w:val="2F11126D"/>
    <w:rsid w:val="2F140D5F"/>
    <w:rsid w:val="2F155F25"/>
    <w:rsid w:val="2F3632FF"/>
    <w:rsid w:val="2F3A70A3"/>
    <w:rsid w:val="2F947BFA"/>
    <w:rsid w:val="2FC60A1B"/>
    <w:rsid w:val="30035ECC"/>
    <w:rsid w:val="3029410E"/>
    <w:rsid w:val="30432C7E"/>
    <w:rsid w:val="3055606E"/>
    <w:rsid w:val="30582CB7"/>
    <w:rsid w:val="305B7828"/>
    <w:rsid w:val="305F7D9F"/>
    <w:rsid w:val="3075311F"/>
    <w:rsid w:val="30B26D46"/>
    <w:rsid w:val="30C5315F"/>
    <w:rsid w:val="30E46638"/>
    <w:rsid w:val="30F755A7"/>
    <w:rsid w:val="30F76324"/>
    <w:rsid w:val="310861E6"/>
    <w:rsid w:val="313F25F6"/>
    <w:rsid w:val="3172745C"/>
    <w:rsid w:val="31815B5E"/>
    <w:rsid w:val="3188548A"/>
    <w:rsid w:val="31937E44"/>
    <w:rsid w:val="31954BAB"/>
    <w:rsid w:val="319704F1"/>
    <w:rsid w:val="31A339F0"/>
    <w:rsid w:val="31A76008"/>
    <w:rsid w:val="31AB5CB4"/>
    <w:rsid w:val="31F369F1"/>
    <w:rsid w:val="323C4F24"/>
    <w:rsid w:val="324E1C25"/>
    <w:rsid w:val="325F5AB5"/>
    <w:rsid w:val="326259CD"/>
    <w:rsid w:val="32811055"/>
    <w:rsid w:val="32970E65"/>
    <w:rsid w:val="32980423"/>
    <w:rsid w:val="32AC73FE"/>
    <w:rsid w:val="32B1065A"/>
    <w:rsid w:val="32BE7974"/>
    <w:rsid w:val="32C75788"/>
    <w:rsid w:val="32CA1D60"/>
    <w:rsid w:val="32D8143D"/>
    <w:rsid w:val="32E966AD"/>
    <w:rsid w:val="32E9699D"/>
    <w:rsid w:val="330863F0"/>
    <w:rsid w:val="331C337B"/>
    <w:rsid w:val="333077D1"/>
    <w:rsid w:val="33313D08"/>
    <w:rsid w:val="33446814"/>
    <w:rsid w:val="334703CD"/>
    <w:rsid w:val="3359524F"/>
    <w:rsid w:val="335D2031"/>
    <w:rsid w:val="335F2F8F"/>
    <w:rsid w:val="336D61EB"/>
    <w:rsid w:val="336F5C9D"/>
    <w:rsid w:val="33851362"/>
    <w:rsid w:val="33A75C03"/>
    <w:rsid w:val="33CB28E3"/>
    <w:rsid w:val="33CB7EB8"/>
    <w:rsid w:val="33CD785A"/>
    <w:rsid w:val="33D924E8"/>
    <w:rsid w:val="33EF31E8"/>
    <w:rsid w:val="33F94067"/>
    <w:rsid w:val="340141B7"/>
    <w:rsid w:val="341364CC"/>
    <w:rsid w:val="342B5F61"/>
    <w:rsid w:val="34545E02"/>
    <w:rsid w:val="34670793"/>
    <w:rsid w:val="34672B10"/>
    <w:rsid w:val="346E6803"/>
    <w:rsid w:val="347A0972"/>
    <w:rsid w:val="347D25A2"/>
    <w:rsid w:val="34886B8F"/>
    <w:rsid w:val="34993C82"/>
    <w:rsid w:val="34BB756E"/>
    <w:rsid w:val="34F32DA2"/>
    <w:rsid w:val="35011425"/>
    <w:rsid w:val="352378FA"/>
    <w:rsid w:val="352757EF"/>
    <w:rsid w:val="358B5193"/>
    <w:rsid w:val="358E07DF"/>
    <w:rsid w:val="35982165"/>
    <w:rsid w:val="35A92860"/>
    <w:rsid w:val="35BC534C"/>
    <w:rsid w:val="35C45C81"/>
    <w:rsid w:val="35E328D9"/>
    <w:rsid w:val="35FE4018"/>
    <w:rsid w:val="36015CF0"/>
    <w:rsid w:val="3637579F"/>
    <w:rsid w:val="365126EE"/>
    <w:rsid w:val="365F6FC6"/>
    <w:rsid w:val="3674665B"/>
    <w:rsid w:val="3686121F"/>
    <w:rsid w:val="36A4669F"/>
    <w:rsid w:val="36BD5820"/>
    <w:rsid w:val="36EB4AD3"/>
    <w:rsid w:val="37116395"/>
    <w:rsid w:val="373144D9"/>
    <w:rsid w:val="37325F60"/>
    <w:rsid w:val="373A0C1E"/>
    <w:rsid w:val="374503AE"/>
    <w:rsid w:val="37561FCC"/>
    <w:rsid w:val="375C3EE1"/>
    <w:rsid w:val="37625837"/>
    <w:rsid w:val="376375A3"/>
    <w:rsid w:val="376637C1"/>
    <w:rsid w:val="37735EDE"/>
    <w:rsid w:val="377B7D18"/>
    <w:rsid w:val="37900854"/>
    <w:rsid w:val="37985945"/>
    <w:rsid w:val="37995AFA"/>
    <w:rsid w:val="37CE0C21"/>
    <w:rsid w:val="37FF4AE1"/>
    <w:rsid w:val="38082864"/>
    <w:rsid w:val="38147D3D"/>
    <w:rsid w:val="382A0C93"/>
    <w:rsid w:val="38455ACD"/>
    <w:rsid w:val="38683569"/>
    <w:rsid w:val="38700F1D"/>
    <w:rsid w:val="38804ECD"/>
    <w:rsid w:val="38856BB1"/>
    <w:rsid w:val="388C2306"/>
    <w:rsid w:val="388D2FD0"/>
    <w:rsid w:val="389E74B2"/>
    <w:rsid w:val="38AC3837"/>
    <w:rsid w:val="38C20ECB"/>
    <w:rsid w:val="38CF77E4"/>
    <w:rsid w:val="38D46734"/>
    <w:rsid w:val="38D66725"/>
    <w:rsid w:val="38DA7888"/>
    <w:rsid w:val="38E44AD1"/>
    <w:rsid w:val="38F372D7"/>
    <w:rsid w:val="3908683B"/>
    <w:rsid w:val="391368DF"/>
    <w:rsid w:val="3937130B"/>
    <w:rsid w:val="39452C8B"/>
    <w:rsid w:val="39492101"/>
    <w:rsid w:val="395017B6"/>
    <w:rsid w:val="39561614"/>
    <w:rsid w:val="398048E2"/>
    <w:rsid w:val="399759BB"/>
    <w:rsid w:val="39B36270"/>
    <w:rsid w:val="39B803FB"/>
    <w:rsid w:val="39C15268"/>
    <w:rsid w:val="39C559F5"/>
    <w:rsid w:val="39CF44F3"/>
    <w:rsid w:val="39F44F30"/>
    <w:rsid w:val="39F8197E"/>
    <w:rsid w:val="3A1E4827"/>
    <w:rsid w:val="3A1F5EA9"/>
    <w:rsid w:val="3A252C40"/>
    <w:rsid w:val="3A253534"/>
    <w:rsid w:val="3A4E00F7"/>
    <w:rsid w:val="3A614F66"/>
    <w:rsid w:val="3A685AA2"/>
    <w:rsid w:val="3A934448"/>
    <w:rsid w:val="3A9B0C41"/>
    <w:rsid w:val="3AA713C3"/>
    <w:rsid w:val="3AA7797E"/>
    <w:rsid w:val="3AFF237A"/>
    <w:rsid w:val="3B236758"/>
    <w:rsid w:val="3B3911ED"/>
    <w:rsid w:val="3B420EDC"/>
    <w:rsid w:val="3B50297F"/>
    <w:rsid w:val="3B5855F2"/>
    <w:rsid w:val="3B5A1C91"/>
    <w:rsid w:val="3B620744"/>
    <w:rsid w:val="3B706A90"/>
    <w:rsid w:val="3B817F46"/>
    <w:rsid w:val="3B8841AC"/>
    <w:rsid w:val="3BA36AEB"/>
    <w:rsid w:val="3BB87F83"/>
    <w:rsid w:val="3BF54A66"/>
    <w:rsid w:val="3C0E5CFC"/>
    <w:rsid w:val="3C0F0B65"/>
    <w:rsid w:val="3C2459F9"/>
    <w:rsid w:val="3C29398E"/>
    <w:rsid w:val="3C3D6D66"/>
    <w:rsid w:val="3C4459B0"/>
    <w:rsid w:val="3C575DCE"/>
    <w:rsid w:val="3C6A684C"/>
    <w:rsid w:val="3CBD666B"/>
    <w:rsid w:val="3CE753A4"/>
    <w:rsid w:val="3CF61143"/>
    <w:rsid w:val="3D6819CA"/>
    <w:rsid w:val="3D8847A2"/>
    <w:rsid w:val="3DFF4F27"/>
    <w:rsid w:val="3E087CC7"/>
    <w:rsid w:val="3E1A0B69"/>
    <w:rsid w:val="3E683FD1"/>
    <w:rsid w:val="3E8B0A67"/>
    <w:rsid w:val="3E9E5F37"/>
    <w:rsid w:val="3F1065D6"/>
    <w:rsid w:val="3F370A20"/>
    <w:rsid w:val="3F497D84"/>
    <w:rsid w:val="3F5A4670"/>
    <w:rsid w:val="3F6020B7"/>
    <w:rsid w:val="3F78623D"/>
    <w:rsid w:val="3F996653"/>
    <w:rsid w:val="3FB47094"/>
    <w:rsid w:val="3FB5178A"/>
    <w:rsid w:val="3FC66856"/>
    <w:rsid w:val="3FE86941"/>
    <w:rsid w:val="40054100"/>
    <w:rsid w:val="40432B9B"/>
    <w:rsid w:val="407056B1"/>
    <w:rsid w:val="40890521"/>
    <w:rsid w:val="40953EE4"/>
    <w:rsid w:val="40CE4185"/>
    <w:rsid w:val="40E82166"/>
    <w:rsid w:val="40FC3D91"/>
    <w:rsid w:val="40FD1795"/>
    <w:rsid w:val="41432DC5"/>
    <w:rsid w:val="41606DEF"/>
    <w:rsid w:val="41697DFF"/>
    <w:rsid w:val="418A2F8F"/>
    <w:rsid w:val="41967399"/>
    <w:rsid w:val="41A27AEC"/>
    <w:rsid w:val="41A968FF"/>
    <w:rsid w:val="41CF6AD5"/>
    <w:rsid w:val="41D834EF"/>
    <w:rsid w:val="41DF04B2"/>
    <w:rsid w:val="41E440A5"/>
    <w:rsid w:val="41E44332"/>
    <w:rsid w:val="41FE0E92"/>
    <w:rsid w:val="42021CF5"/>
    <w:rsid w:val="421A3B26"/>
    <w:rsid w:val="421A5EF5"/>
    <w:rsid w:val="4230681B"/>
    <w:rsid w:val="429269DE"/>
    <w:rsid w:val="42D05A3A"/>
    <w:rsid w:val="42E56DC2"/>
    <w:rsid w:val="42E934F8"/>
    <w:rsid w:val="43331C2E"/>
    <w:rsid w:val="43576496"/>
    <w:rsid w:val="435A4DC7"/>
    <w:rsid w:val="435F1F37"/>
    <w:rsid w:val="43762FDE"/>
    <w:rsid w:val="43792ACE"/>
    <w:rsid w:val="4394619E"/>
    <w:rsid w:val="4396542E"/>
    <w:rsid w:val="43AC4ABD"/>
    <w:rsid w:val="43BB5E68"/>
    <w:rsid w:val="43C26B3A"/>
    <w:rsid w:val="43C66339"/>
    <w:rsid w:val="43CF7EF7"/>
    <w:rsid w:val="43D90DA1"/>
    <w:rsid w:val="43E02137"/>
    <w:rsid w:val="442E1B0B"/>
    <w:rsid w:val="442F7257"/>
    <w:rsid w:val="44300CB0"/>
    <w:rsid w:val="44372824"/>
    <w:rsid w:val="444F252F"/>
    <w:rsid w:val="44775260"/>
    <w:rsid w:val="449315AA"/>
    <w:rsid w:val="44A54955"/>
    <w:rsid w:val="44DC51E3"/>
    <w:rsid w:val="44F642F3"/>
    <w:rsid w:val="44FC27F0"/>
    <w:rsid w:val="45196317"/>
    <w:rsid w:val="452A22D2"/>
    <w:rsid w:val="452E32C5"/>
    <w:rsid w:val="45440D92"/>
    <w:rsid w:val="45673CD8"/>
    <w:rsid w:val="456D6663"/>
    <w:rsid w:val="45750675"/>
    <w:rsid w:val="457C4AF8"/>
    <w:rsid w:val="458463AA"/>
    <w:rsid w:val="45B47DEE"/>
    <w:rsid w:val="45C37B4D"/>
    <w:rsid w:val="45EF0E3A"/>
    <w:rsid w:val="45F816B9"/>
    <w:rsid w:val="46652495"/>
    <w:rsid w:val="46741220"/>
    <w:rsid w:val="468873AE"/>
    <w:rsid w:val="468F61F9"/>
    <w:rsid w:val="46D040D6"/>
    <w:rsid w:val="46D9118F"/>
    <w:rsid w:val="46E916D8"/>
    <w:rsid w:val="4707219F"/>
    <w:rsid w:val="47466EE1"/>
    <w:rsid w:val="4781380A"/>
    <w:rsid w:val="47862FF6"/>
    <w:rsid w:val="47973308"/>
    <w:rsid w:val="479E6FA7"/>
    <w:rsid w:val="47AA14A8"/>
    <w:rsid w:val="47B92ED9"/>
    <w:rsid w:val="47C018C9"/>
    <w:rsid w:val="47D75C76"/>
    <w:rsid w:val="47F8100E"/>
    <w:rsid w:val="47FD0B50"/>
    <w:rsid w:val="480A62F7"/>
    <w:rsid w:val="48331DA4"/>
    <w:rsid w:val="4835540A"/>
    <w:rsid w:val="48402A35"/>
    <w:rsid w:val="48710218"/>
    <w:rsid w:val="487B2E45"/>
    <w:rsid w:val="489A151D"/>
    <w:rsid w:val="489E7916"/>
    <w:rsid w:val="48A25EAE"/>
    <w:rsid w:val="48DD3142"/>
    <w:rsid w:val="48EB5DF5"/>
    <w:rsid w:val="49427209"/>
    <w:rsid w:val="49A8194D"/>
    <w:rsid w:val="49FE3D2D"/>
    <w:rsid w:val="4A0F5F3A"/>
    <w:rsid w:val="4A3B0ADD"/>
    <w:rsid w:val="4A431025"/>
    <w:rsid w:val="4A4A14CC"/>
    <w:rsid w:val="4A647CFD"/>
    <w:rsid w:val="4A656517"/>
    <w:rsid w:val="4A88752F"/>
    <w:rsid w:val="4A944D8F"/>
    <w:rsid w:val="4AA4190C"/>
    <w:rsid w:val="4AA81AB1"/>
    <w:rsid w:val="4AB3302E"/>
    <w:rsid w:val="4AB54934"/>
    <w:rsid w:val="4ABD05D6"/>
    <w:rsid w:val="4AE35975"/>
    <w:rsid w:val="4B2215D4"/>
    <w:rsid w:val="4B2702F7"/>
    <w:rsid w:val="4B2C302F"/>
    <w:rsid w:val="4B315574"/>
    <w:rsid w:val="4B457F42"/>
    <w:rsid w:val="4B5819E1"/>
    <w:rsid w:val="4BA72E91"/>
    <w:rsid w:val="4BBA2037"/>
    <w:rsid w:val="4BFC3B2A"/>
    <w:rsid w:val="4C1979AF"/>
    <w:rsid w:val="4C8D1398"/>
    <w:rsid w:val="4C900814"/>
    <w:rsid w:val="4C9052A2"/>
    <w:rsid w:val="4CA20068"/>
    <w:rsid w:val="4CAF3ACA"/>
    <w:rsid w:val="4CB30A9F"/>
    <w:rsid w:val="4CB87144"/>
    <w:rsid w:val="4CD97501"/>
    <w:rsid w:val="4D0C3721"/>
    <w:rsid w:val="4D184FCC"/>
    <w:rsid w:val="4D275ED7"/>
    <w:rsid w:val="4D3A1520"/>
    <w:rsid w:val="4D7C5695"/>
    <w:rsid w:val="4D94173B"/>
    <w:rsid w:val="4DA1758E"/>
    <w:rsid w:val="4DAB7D28"/>
    <w:rsid w:val="4DBF1088"/>
    <w:rsid w:val="4DD41520"/>
    <w:rsid w:val="4DDA39BC"/>
    <w:rsid w:val="4E0A4873"/>
    <w:rsid w:val="4E161320"/>
    <w:rsid w:val="4E3346E7"/>
    <w:rsid w:val="4E3D3E5A"/>
    <w:rsid w:val="4E54084F"/>
    <w:rsid w:val="4E5C497E"/>
    <w:rsid w:val="4E65440D"/>
    <w:rsid w:val="4E765B8A"/>
    <w:rsid w:val="4EA529C9"/>
    <w:rsid w:val="4EAD3716"/>
    <w:rsid w:val="4EB250E6"/>
    <w:rsid w:val="4EB62F23"/>
    <w:rsid w:val="4ED212E5"/>
    <w:rsid w:val="4ED26CFA"/>
    <w:rsid w:val="4EFC6CE4"/>
    <w:rsid w:val="4F037A91"/>
    <w:rsid w:val="4F364DD6"/>
    <w:rsid w:val="4F4D7C40"/>
    <w:rsid w:val="4F725530"/>
    <w:rsid w:val="4FC60793"/>
    <w:rsid w:val="4FC7696F"/>
    <w:rsid w:val="50061ADB"/>
    <w:rsid w:val="50377F99"/>
    <w:rsid w:val="50AD6780"/>
    <w:rsid w:val="50B138A7"/>
    <w:rsid w:val="50B9275C"/>
    <w:rsid w:val="50D50C59"/>
    <w:rsid w:val="50D66DAC"/>
    <w:rsid w:val="50D92D37"/>
    <w:rsid w:val="510545E6"/>
    <w:rsid w:val="510D4856"/>
    <w:rsid w:val="51462D32"/>
    <w:rsid w:val="514B42FC"/>
    <w:rsid w:val="51552262"/>
    <w:rsid w:val="5171546A"/>
    <w:rsid w:val="51A15BA7"/>
    <w:rsid w:val="51A45BB1"/>
    <w:rsid w:val="51A74CAA"/>
    <w:rsid w:val="51AA02F7"/>
    <w:rsid w:val="52287B99"/>
    <w:rsid w:val="52291B63"/>
    <w:rsid w:val="524C25D7"/>
    <w:rsid w:val="52524C16"/>
    <w:rsid w:val="52667AAD"/>
    <w:rsid w:val="5276382C"/>
    <w:rsid w:val="52B23907"/>
    <w:rsid w:val="52D93BDE"/>
    <w:rsid w:val="53101A00"/>
    <w:rsid w:val="53203D56"/>
    <w:rsid w:val="53397B84"/>
    <w:rsid w:val="53672DDF"/>
    <w:rsid w:val="537137C2"/>
    <w:rsid w:val="538560B6"/>
    <w:rsid w:val="53D333C0"/>
    <w:rsid w:val="53F55879"/>
    <w:rsid w:val="54037CE2"/>
    <w:rsid w:val="541D527C"/>
    <w:rsid w:val="54365ABB"/>
    <w:rsid w:val="543F741C"/>
    <w:rsid w:val="548D243E"/>
    <w:rsid w:val="549B3DB0"/>
    <w:rsid w:val="54B50682"/>
    <w:rsid w:val="54D75E8C"/>
    <w:rsid w:val="54E970E2"/>
    <w:rsid w:val="54F0740B"/>
    <w:rsid w:val="552868BA"/>
    <w:rsid w:val="553345DE"/>
    <w:rsid w:val="553D4A19"/>
    <w:rsid w:val="55585BDD"/>
    <w:rsid w:val="555B2934"/>
    <w:rsid w:val="55611CA3"/>
    <w:rsid w:val="558C70E4"/>
    <w:rsid w:val="55AA6B17"/>
    <w:rsid w:val="55CE5FAF"/>
    <w:rsid w:val="55E5653F"/>
    <w:rsid w:val="55EB0C8F"/>
    <w:rsid w:val="55F054B7"/>
    <w:rsid w:val="56051B1C"/>
    <w:rsid w:val="5647203F"/>
    <w:rsid w:val="565B248D"/>
    <w:rsid w:val="56705FB3"/>
    <w:rsid w:val="567E6B8F"/>
    <w:rsid w:val="568D26C1"/>
    <w:rsid w:val="56913C66"/>
    <w:rsid w:val="56926F9B"/>
    <w:rsid w:val="569A5601"/>
    <w:rsid w:val="56A2763E"/>
    <w:rsid w:val="56A83DB9"/>
    <w:rsid w:val="56C86323"/>
    <w:rsid w:val="56D025AE"/>
    <w:rsid w:val="56D20D04"/>
    <w:rsid w:val="56DF54E0"/>
    <w:rsid w:val="56E755CA"/>
    <w:rsid w:val="57234363"/>
    <w:rsid w:val="57436914"/>
    <w:rsid w:val="57655288"/>
    <w:rsid w:val="57691AB9"/>
    <w:rsid w:val="57C64117"/>
    <w:rsid w:val="57CE21E2"/>
    <w:rsid w:val="57CE2F91"/>
    <w:rsid w:val="57E130A7"/>
    <w:rsid w:val="57FD73D2"/>
    <w:rsid w:val="581110E7"/>
    <w:rsid w:val="581B3CFC"/>
    <w:rsid w:val="58282A4C"/>
    <w:rsid w:val="583D0117"/>
    <w:rsid w:val="585B745B"/>
    <w:rsid w:val="587C793F"/>
    <w:rsid w:val="588545FB"/>
    <w:rsid w:val="589904DC"/>
    <w:rsid w:val="58AD0CD7"/>
    <w:rsid w:val="58BE3005"/>
    <w:rsid w:val="58BF6D7E"/>
    <w:rsid w:val="58C13DD9"/>
    <w:rsid w:val="58DE5456"/>
    <w:rsid w:val="58DF043A"/>
    <w:rsid w:val="58E14F46"/>
    <w:rsid w:val="590B4DA8"/>
    <w:rsid w:val="59301A29"/>
    <w:rsid w:val="59327E4C"/>
    <w:rsid w:val="59AF6DF2"/>
    <w:rsid w:val="59BE7A7C"/>
    <w:rsid w:val="59C24208"/>
    <w:rsid w:val="5A00039E"/>
    <w:rsid w:val="5A0843E5"/>
    <w:rsid w:val="5A0A10DD"/>
    <w:rsid w:val="5A235530"/>
    <w:rsid w:val="5A272E2C"/>
    <w:rsid w:val="5A2C3F9F"/>
    <w:rsid w:val="5A336AFE"/>
    <w:rsid w:val="5A3E3A47"/>
    <w:rsid w:val="5A4F5CAC"/>
    <w:rsid w:val="5A691FEF"/>
    <w:rsid w:val="5A6B0F6B"/>
    <w:rsid w:val="5AAD5CBA"/>
    <w:rsid w:val="5AC50E65"/>
    <w:rsid w:val="5AE42207"/>
    <w:rsid w:val="5AE900E2"/>
    <w:rsid w:val="5AEE7ADD"/>
    <w:rsid w:val="5B1E2AD3"/>
    <w:rsid w:val="5B215A7C"/>
    <w:rsid w:val="5B447EF9"/>
    <w:rsid w:val="5B527A35"/>
    <w:rsid w:val="5B5906B2"/>
    <w:rsid w:val="5B9D74E1"/>
    <w:rsid w:val="5BB72C16"/>
    <w:rsid w:val="5BBF7908"/>
    <w:rsid w:val="5BC54BF2"/>
    <w:rsid w:val="5BC9394E"/>
    <w:rsid w:val="5BCC5550"/>
    <w:rsid w:val="5BD46EBF"/>
    <w:rsid w:val="5BFE0B1D"/>
    <w:rsid w:val="5C1B3770"/>
    <w:rsid w:val="5C24272A"/>
    <w:rsid w:val="5C416BF5"/>
    <w:rsid w:val="5C783C74"/>
    <w:rsid w:val="5C895DE9"/>
    <w:rsid w:val="5CA7116C"/>
    <w:rsid w:val="5CAF49F6"/>
    <w:rsid w:val="5CB926CB"/>
    <w:rsid w:val="5CC606DB"/>
    <w:rsid w:val="5CCC31B4"/>
    <w:rsid w:val="5CEE172D"/>
    <w:rsid w:val="5CF54290"/>
    <w:rsid w:val="5D0A51FF"/>
    <w:rsid w:val="5D1A27D4"/>
    <w:rsid w:val="5D2B2C34"/>
    <w:rsid w:val="5D2F0EFE"/>
    <w:rsid w:val="5D3C099D"/>
    <w:rsid w:val="5D4C4A97"/>
    <w:rsid w:val="5D592884"/>
    <w:rsid w:val="5D5C23ED"/>
    <w:rsid w:val="5D8B72C2"/>
    <w:rsid w:val="5D9848C5"/>
    <w:rsid w:val="5DA337EC"/>
    <w:rsid w:val="5DA37797"/>
    <w:rsid w:val="5DC34C1A"/>
    <w:rsid w:val="5DCC1243"/>
    <w:rsid w:val="5E40013E"/>
    <w:rsid w:val="5E413D91"/>
    <w:rsid w:val="5E5013E5"/>
    <w:rsid w:val="5E512226"/>
    <w:rsid w:val="5E8C325E"/>
    <w:rsid w:val="5EF266CB"/>
    <w:rsid w:val="5F074E28"/>
    <w:rsid w:val="5F2C5178"/>
    <w:rsid w:val="5F2E07B9"/>
    <w:rsid w:val="5F2E2567"/>
    <w:rsid w:val="5F4F16DC"/>
    <w:rsid w:val="5FDA2479"/>
    <w:rsid w:val="5FE27B9E"/>
    <w:rsid w:val="5FEF1EC8"/>
    <w:rsid w:val="600E6248"/>
    <w:rsid w:val="601B0E9B"/>
    <w:rsid w:val="60363DC9"/>
    <w:rsid w:val="604441E3"/>
    <w:rsid w:val="60717EF3"/>
    <w:rsid w:val="607E3EA6"/>
    <w:rsid w:val="60806E07"/>
    <w:rsid w:val="60822C85"/>
    <w:rsid w:val="60872A92"/>
    <w:rsid w:val="60A61B8F"/>
    <w:rsid w:val="60B77B94"/>
    <w:rsid w:val="60BB3ACD"/>
    <w:rsid w:val="60C144B1"/>
    <w:rsid w:val="60E9740E"/>
    <w:rsid w:val="610E264A"/>
    <w:rsid w:val="61234BB6"/>
    <w:rsid w:val="6128657F"/>
    <w:rsid w:val="612F30BF"/>
    <w:rsid w:val="613B6608"/>
    <w:rsid w:val="614001EF"/>
    <w:rsid w:val="61536F44"/>
    <w:rsid w:val="615645DF"/>
    <w:rsid w:val="616665DB"/>
    <w:rsid w:val="617A7CE6"/>
    <w:rsid w:val="61A408F4"/>
    <w:rsid w:val="61CF0031"/>
    <w:rsid w:val="61DB06B3"/>
    <w:rsid w:val="61DF27C9"/>
    <w:rsid w:val="61DF2F65"/>
    <w:rsid w:val="61E34BF7"/>
    <w:rsid w:val="61EF1321"/>
    <w:rsid w:val="61FC694D"/>
    <w:rsid w:val="6208709F"/>
    <w:rsid w:val="62121C2F"/>
    <w:rsid w:val="621D66A7"/>
    <w:rsid w:val="623D7560"/>
    <w:rsid w:val="624327CD"/>
    <w:rsid w:val="624C78D4"/>
    <w:rsid w:val="62701F28"/>
    <w:rsid w:val="627F22CE"/>
    <w:rsid w:val="62AA02EE"/>
    <w:rsid w:val="62BA19B2"/>
    <w:rsid w:val="62BD60DC"/>
    <w:rsid w:val="62D007D3"/>
    <w:rsid w:val="62DB0C58"/>
    <w:rsid w:val="62DD22DA"/>
    <w:rsid w:val="62F3062A"/>
    <w:rsid w:val="62FF4946"/>
    <w:rsid w:val="630D0F83"/>
    <w:rsid w:val="632316DE"/>
    <w:rsid w:val="632F2470"/>
    <w:rsid w:val="633C7415"/>
    <w:rsid w:val="63577939"/>
    <w:rsid w:val="63782CC6"/>
    <w:rsid w:val="63876301"/>
    <w:rsid w:val="63966677"/>
    <w:rsid w:val="639E4A70"/>
    <w:rsid w:val="63A23524"/>
    <w:rsid w:val="63D56FB8"/>
    <w:rsid w:val="64591E34"/>
    <w:rsid w:val="645B2050"/>
    <w:rsid w:val="64824EF0"/>
    <w:rsid w:val="6492032A"/>
    <w:rsid w:val="64DA12AE"/>
    <w:rsid w:val="64DF0A3A"/>
    <w:rsid w:val="65077AE2"/>
    <w:rsid w:val="650B5D87"/>
    <w:rsid w:val="651346D9"/>
    <w:rsid w:val="654459E3"/>
    <w:rsid w:val="654A3E05"/>
    <w:rsid w:val="654C218D"/>
    <w:rsid w:val="654C7BEB"/>
    <w:rsid w:val="657E75AC"/>
    <w:rsid w:val="659A27E3"/>
    <w:rsid w:val="659C0899"/>
    <w:rsid w:val="659F740D"/>
    <w:rsid w:val="65AA2220"/>
    <w:rsid w:val="65CF50BB"/>
    <w:rsid w:val="65E65127"/>
    <w:rsid w:val="65F20792"/>
    <w:rsid w:val="65F52315"/>
    <w:rsid w:val="6604562A"/>
    <w:rsid w:val="66244EA2"/>
    <w:rsid w:val="6655248B"/>
    <w:rsid w:val="66B23A19"/>
    <w:rsid w:val="66B522D7"/>
    <w:rsid w:val="66BF554E"/>
    <w:rsid w:val="67050051"/>
    <w:rsid w:val="670B73FA"/>
    <w:rsid w:val="67114F68"/>
    <w:rsid w:val="67191D4F"/>
    <w:rsid w:val="674029A0"/>
    <w:rsid w:val="67424E02"/>
    <w:rsid w:val="6746239A"/>
    <w:rsid w:val="67481426"/>
    <w:rsid w:val="6751294B"/>
    <w:rsid w:val="675A4B74"/>
    <w:rsid w:val="67686805"/>
    <w:rsid w:val="6773641A"/>
    <w:rsid w:val="678B310E"/>
    <w:rsid w:val="6794190A"/>
    <w:rsid w:val="6796388D"/>
    <w:rsid w:val="67A755AC"/>
    <w:rsid w:val="67AE06E9"/>
    <w:rsid w:val="67BE5F4B"/>
    <w:rsid w:val="67F940D0"/>
    <w:rsid w:val="68114046"/>
    <w:rsid w:val="68207FDB"/>
    <w:rsid w:val="683E6ED1"/>
    <w:rsid w:val="68420D9C"/>
    <w:rsid w:val="68454B64"/>
    <w:rsid w:val="685F470A"/>
    <w:rsid w:val="68695B82"/>
    <w:rsid w:val="68987845"/>
    <w:rsid w:val="68A7253F"/>
    <w:rsid w:val="68B22F9E"/>
    <w:rsid w:val="68C008F6"/>
    <w:rsid w:val="68F953D7"/>
    <w:rsid w:val="6952114A"/>
    <w:rsid w:val="69766255"/>
    <w:rsid w:val="697923B0"/>
    <w:rsid w:val="69903E6F"/>
    <w:rsid w:val="69A65BF3"/>
    <w:rsid w:val="69C74D24"/>
    <w:rsid w:val="69CC3812"/>
    <w:rsid w:val="69E42669"/>
    <w:rsid w:val="69E91E70"/>
    <w:rsid w:val="69FA5D3D"/>
    <w:rsid w:val="6A082AC6"/>
    <w:rsid w:val="6A1C0567"/>
    <w:rsid w:val="6A222CC8"/>
    <w:rsid w:val="6A26215C"/>
    <w:rsid w:val="6A3F1ACC"/>
    <w:rsid w:val="6A4302C5"/>
    <w:rsid w:val="6A645A37"/>
    <w:rsid w:val="6A6D6F89"/>
    <w:rsid w:val="6A6D7512"/>
    <w:rsid w:val="6A8309C6"/>
    <w:rsid w:val="6A924329"/>
    <w:rsid w:val="6AB66A30"/>
    <w:rsid w:val="6ACC3B1E"/>
    <w:rsid w:val="6AE63F8F"/>
    <w:rsid w:val="6B04420C"/>
    <w:rsid w:val="6B12785C"/>
    <w:rsid w:val="6B2772F0"/>
    <w:rsid w:val="6B311C24"/>
    <w:rsid w:val="6B4A1E4B"/>
    <w:rsid w:val="6B612F1C"/>
    <w:rsid w:val="6B657311"/>
    <w:rsid w:val="6B923E7E"/>
    <w:rsid w:val="6B981494"/>
    <w:rsid w:val="6BA97C2E"/>
    <w:rsid w:val="6BB81B36"/>
    <w:rsid w:val="6BB838E4"/>
    <w:rsid w:val="6BBF5136"/>
    <w:rsid w:val="6BFC5A36"/>
    <w:rsid w:val="6C09348C"/>
    <w:rsid w:val="6C3B56BA"/>
    <w:rsid w:val="6C476100"/>
    <w:rsid w:val="6C711CE5"/>
    <w:rsid w:val="6C7755E8"/>
    <w:rsid w:val="6C824F03"/>
    <w:rsid w:val="6C8A3ED1"/>
    <w:rsid w:val="6C8A4FCC"/>
    <w:rsid w:val="6CA644D2"/>
    <w:rsid w:val="6CC4275D"/>
    <w:rsid w:val="6CC96616"/>
    <w:rsid w:val="6CDF1F5E"/>
    <w:rsid w:val="6CE96BF0"/>
    <w:rsid w:val="6D0E52D5"/>
    <w:rsid w:val="6D1220BB"/>
    <w:rsid w:val="6D2726F0"/>
    <w:rsid w:val="6D2D3009"/>
    <w:rsid w:val="6D372470"/>
    <w:rsid w:val="6D5228AA"/>
    <w:rsid w:val="6D582C8A"/>
    <w:rsid w:val="6D607B57"/>
    <w:rsid w:val="6D9B1BAB"/>
    <w:rsid w:val="6DF05D16"/>
    <w:rsid w:val="6DF80910"/>
    <w:rsid w:val="6E011D6E"/>
    <w:rsid w:val="6E855101"/>
    <w:rsid w:val="6E994578"/>
    <w:rsid w:val="6EA15239"/>
    <w:rsid w:val="6ED24A88"/>
    <w:rsid w:val="6EE3213F"/>
    <w:rsid w:val="6F063E1D"/>
    <w:rsid w:val="6F1018A3"/>
    <w:rsid w:val="6F1928EC"/>
    <w:rsid w:val="6F393900"/>
    <w:rsid w:val="6F47268B"/>
    <w:rsid w:val="6F5321F9"/>
    <w:rsid w:val="6F566E2A"/>
    <w:rsid w:val="6F756127"/>
    <w:rsid w:val="6F7E6853"/>
    <w:rsid w:val="6F8545BB"/>
    <w:rsid w:val="6F85477F"/>
    <w:rsid w:val="6F980CAB"/>
    <w:rsid w:val="6FC32AD3"/>
    <w:rsid w:val="6FE130BA"/>
    <w:rsid w:val="6FE25962"/>
    <w:rsid w:val="6FE3612A"/>
    <w:rsid w:val="6FF43673"/>
    <w:rsid w:val="700417EE"/>
    <w:rsid w:val="700A3168"/>
    <w:rsid w:val="701D530C"/>
    <w:rsid w:val="70257958"/>
    <w:rsid w:val="704B0670"/>
    <w:rsid w:val="70743627"/>
    <w:rsid w:val="70A95805"/>
    <w:rsid w:val="70C104A5"/>
    <w:rsid w:val="70C871C0"/>
    <w:rsid w:val="70DC3FD2"/>
    <w:rsid w:val="70E56848"/>
    <w:rsid w:val="70F01A77"/>
    <w:rsid w:val="70F11560"/>
    <w:rsid w:val="7114527E"/>
    <w:rsid w:val="713844BF"/>
    <w:rsid w:val="714763AA"/>
    <w:rsid w:val="71526589"/>
    <w:rsid w:val="71AD5B0C"/>
    <w:rsid w:val="71B467B6"/>
    <w:rsid w:val="71C4397A"/>
    <w:rsid w:val="71C5621F"/>
    <w:rsid w:val="71CF7BDA"/>
    <w:rsid w:val="71D63EEC"/>
    <w:rsid w:val="71EF5B86"/>
    <w:rsid w:val="71F102A3"/>
    <w:rsid w:val="71FB592C"/>
    <w:rsid w:val="722563B0"/>
    <w:rsid w:val="722D66AE"/>
    <w:rsid w:val="725D51E5"/>
    <w:rsid w:val="727B2D88"/>
    <w:rsid w:val="727F515C"/>
    <w:rsid w:val="728734C1"/>
    <w:rsid w:val="72A46970"/>
    <w:rsid w:val="72DC33CC"/>
    <w:rsid w:val="730A56B0"/>
    <w:rsid w:val="730B123E"/>
    <w:rsid w:val="73214CF6"/>
    <w:rsid w:val="7345494C"/>
    <w:rsid w:val="734D5103"/>
    <w:rsid w:val="73587896"/>
    <w:rsid w:val="736E14A8"/>
    <w:rsid w:val="737034EA"/>
    <w:rsid w:val="737C2E74"/>
    <w:rsid w:val="738118FB"/>
    <w:rsid w:val="73944C37"/>
    <w:rsid w:val="73BF271D"/>
    <w:rsid w:val="73CA0659"/>
    <w:rsid w:val="73E70818"/>
    <w:rsid w:val="73ED1D6B"/>
    <w:rsid w:val="741768B1"/>
    <w:rsid w:val="74263287"/>
    <w:rsid w:val="742711C2"/>
    <w:rsid w:val="742E4983"/>
    <w:rsid w:val="74876156"/>
    <w:rsid w:val="748E78D8"/>
    <w:rsid w:val="74D47D91"/>
    <w:rsid w:val="74D83FEA"/>
    <w:rsid w:val="74E037F2"/>
    <w:rsid w:val="74EA574A"/>
    <w:rsid w:val="75142ED5"/>
    <w:rsid w:val="754221D8"/>
    <w:rsid w:val="75502DDF"/>
    <w:rsid w:val="75726276"/>
    <w:rsid w:val="75731DC2"/>
    <w:rsid w:val="75785084"/>
    <w:rsid w:val="7583299A"/>
    <w:rsid w:val="75842A89"/>
    <w:rsid w:val="758B02BC"/>
    <w:rsid w:val="75AA3B02"/>
    <w:rsid w:val="75BC2223"/>
    <w:rsid w:val="75C15501"/>
    <w:rsid w:val="75DF501F"/>
    <w:rsid w:val="75FC3A13"/>
    <w:rsid w:val="75FF7761"/>
    <w:rsid w:val="764C2CEE"/>
    <w:rsid w:val="7654379E"/>
    <w:rsid w:val="76601E26"/>
    <w:rsid w:val="77020A46"/>
    <w:rsid w:val="77170059"/>
    <w:rsid w:val="771F6C70"/>
    <w:rsid w:val="772104B4"/>
    <w:rsid w:val="7760042E"/>
    <w:rsid w:val="77784870"/>
    <w:rsid w:val="778D031B"/>
    <w:rsid w:val="779D6084"/>
    <w:rsid w:val="779F0148"/>
    <w:rsid w:val="77C00FA9"/>
    <w:rsid w:val="77C86DEC"/>
    <w:rsid w:val="77CA303F"/>
    <w:rsid w:val="77E02E6F"/>
    <w:rsid w:val="77EB7198"/>
    <w:rsid w:val="78B75B1B"/>
    <w:rsid w:val="78CC2ECB"/>
    <w:rsid w:val="78D83F6F"/>
    <w:rsid w:val="78E91197"/>
    <w:rsid w:val="78EE303B"/>
    <w:rsid w:val="79020C28"/>
    <w:rsid w:val="79075EAB"/>
    <w:rsid w:val="790B1827"/>
    <w:rsid w:val="790F3391"/>
    <w:rsid w:val="79214AA6"/>
    <w:rsid w:val="792D505B"/>
    <w:rsid w:val="79520DB4"/>
    <w:rsid w:val="79A65B02"/>
    <w:rsid w:val="79A71AC5"/>
    <w:rsid w:val="79B74313"/>
    <w:rsid w:val="79C478F8"/>
    <w:rsid w:val="79D66FCE"/>
    <w:rsid w:val="79E236C7"/>
    <w:rsid w:val="79E661BD"/>
    <w:rsid w:val="7A044173"/>
    <w:rsid w:val="7A1D68D3"/>
    <w:rsid w:val="7A2B0569"/>
    <w:rsid w:val="7A390B35"/>
    <w:rsid w:val="7A802C80"/>
    <w:rsid w:val="7A9B73F5"/>
    <w:rsid w:val="7AAB48FF"/>
    <w:rsid w:val="7ABC3421"/>
    <w:rsid w:val="7AC2249C"/>
    <w:rsid w:val="7AD01C1A"/>
    <w:rsid w:val="7AD07760"/>
    <w:rsid w:val="7AEC345B"/>
    <w:rsid w:val="7B0F05EC"/>
    <w:rsid w:val="7B10428A"/>
    <w:rsid w:val="7B1640F7"/>
    <w:rsid w:val="7B193C46"/>
    <w:rsid w:val="7B36227C"/>
    <w:rsid w:val="7B652325"/>
    <w:rsid w:val="7B6C607F"/>
    <w:rsid w:val="7BE139CE"/>
    <w:rsid w:val="7C005BF5"/>
    <w:rsid w:val="7C0754CF"/>
    <w:rsid w:val="7C1A57EB"/>
    <w:rsid w:val="7C1D7794"/>
    <w:rsid w:val="7C282359"/>
    <w:rsid w:val="7C2B1EB0"/>
    <w:rsid w:val="7C5907CB"/>
    <w:rsid w:val="7C620B3A"/>
    <w:rsid w:val="7C6D0AB7"/>
    <w:rsid w:val="7CB74998"/>
    <w:rsid w:val="7CBB0254"/>
    <w:rsid w:val="7CE92DFD"/>
    <w:rsid w:val="7D0B2AEC"/>
    <w:rsid w:val="7D1371D0"/>
    <w:rsid w:val="7D455F52"/>
    <w:rsid w:val="7D501231"/>
    <w:rsid w:val="7D513B99"/>
    <w:rsid w:val="7D880A10"/>
    <w:rsid w:val="7D983262"/>
    <w:rsid w:val="7DA939D5"/>
    <w:rsid w:val="7DC12B77"/>
    <w:rsid w:val="7DC22469"/>
    <w:rsid w:val="7DE70059"/>
    <w:rsid w:val="7DF770DD"/>
    <w:rsid w:val="7E2273D2"/>
    <w:rsid w:val="7E300E1B"/>
    <w:rsid w:val="7E8E12C6"/>
    <w:rsid w:val="7EA52C5A"/>
    <w:rsid w:val="7EAA51B2"/>
    <w:rsid w:val="7EB443DF"/>
    <w:rsid w:val="7EB54982"/>
    <w:rsid w:val="7EB71A92"/>
    <w:rsid w:val="7ECA00A8"/>
    <w:rsid w:val="7EE86840"/>
    <w:rsid w:val="7F141055"/>
    <w:rsid w:val="7F8028D1"/>
    <w:rsid w:val="7F86701E"/>
    <w:rsid w:val="7F8E6A6D"/>
    <w:rsid w:val="7FA472E2"/>
    <w:rsid w:val="7FAD2991"/>
    <w:rsid w:val="7FD01448"/>
    <w:rsid w:val="7FE45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wordWrap w:val="0"/>
      <w:topLinePunct/>
      <w:spacing w:line="360" w:lineRule="auto"/>
      <w:ind w:firstLine="400" w:firstLineChars="200"/>
      <w:jc w:val="both"/>
    </w:pPr>
    <w:rPr>
      <w:rFonts w:ascii="Times New Roman" w:hAnsi="Times New Roman" w:eastAsia="宋体" w:cs="宋体"/>
      <w:sz w:val="24"/>
      <w:szCs w:val="24"/>
      <w:lang w:val="zh-CN" w:eastAsia="zh-CN" w:bidi="zh-CN"/>
    </w:rPr>
  </w:style>
  <w:style w:type="paragraph" w:styleId="4">
    <w:name w:val="heading 1"/>
    <w:basedOn w:val="1"/>
    <w:next w:val="1"/>
    <w:qFormat/>
    <w:uiPriority w:val="1"/>
    <w:pPr>
      <w:ind w:left="2353" w:right="2356"/>
      <w:jc w:val="center"/>
      <w:outlineLvl w:val="0"/>
    </w:pPr>
    <w:rPr>
      <w:rFonts w:ascii="微软雅黑" w:hAnsi="微软雅黑" w:eastAsia="微软雅黑" w:cs="微软雅黑"/>
      <w:sz w:val="38"/>
      <w:szCs w:val="38"/>
    </w:rPr>
  </w:style>
  <w:style w:type="paragraph" w:styleId="5">
    <w:name w:val="heading 2"/>
    <w:basedOn w:val="4"/>
    <w:next w:val="1"/>
    <w:link w:val="87"/>
    <w:qFormat/>
    <w:uiPriority w:val="1"/>
    <w:pPr>
      <w:ind w:left="0" w:right="0" w:firstLine="0" w:firstLineChars="0"/>
      <w:outlineLvl w:val="1"/>
    </w:pPr>
    <w:rPr>
      <w:sz w:val="36"/>
      <w:szCs w:val="36"/>
    </w:rPr>
  </w:style>
  <w:style w:type="paragraph" w:styleId="6">
    <w:name w:val="heading 3"/>
    <w:basedOn w:val="1"/>
    <w:next w:val="1"/>
    <w:link w:val="38"/>
    <w:unhideWhenUsed/>
    <w:qFormat/>
    <w:uiPriority w:val="0"/>
    <w:pPr>
      <w:keepNext/>
      <w:keepLines/>
      <w:spacing w:line="360" w:lineRule="auto"/>
      <w:ind w:firstLine="0" w:firstLineChars="0"/>
      <w:jc w:val="left"/>
      <w:outlineLvl w:val="2"/>
    </w:pPr>
    <w:rPr>
      <w:rFonts w:ascii="Times New Roman" w:hAnsi="Times New Roman" w:eastAsia="宋体"/>
      <w:b/>
      <w:sz w:val="28"/>
      <w:szCs w:val="28"/>
    </w:rPr>
  </w:style>
  <w:style w:type="paragraph" w:styleId="7">
    <w:name w:val="heading 4"/>
    <w:basedOn w:val="1"/>
    <w:next w:val="1"/>
    <w:link w:val="50"/>
    <w:unhideWhenUsed/>
    <w:qFormat/>
    <w:uiPriority w:val="0"/>
    <w:pPr>
      <w:spacing w:before="100" w:after="120" w:line="360" w:lineRule="auto"/>
      <w:ind w:firstLine="0" w:firstLineChars="0"/>
      <w:outlineLvl w:val="3"/>
    </w:pPr>
    <w:rPr>
      <w:sz w:val="24"/>
    </w:rPr>
  </w:style>
  <w:style w:type="paragraph" w:styleId="8">
    <w:name w:val="heading 5"/>
    <w:basedOn w:val="1"/>
    <w:next w:val="1"/>
    <w:link w:val="65"/>
    <w:unhideWhenUsed/>
    <w:qFormat/>
    <w:uiPriority w:val="0"/>
    <w:pPr>
      <w:keepNext/>
      <w:keepLines/>
      <w:spacing w:before="80" w:after="80"/>
      <w:outlineLvl w:val="4"/>
    </w:pPr>
    <w:rPr>
      <w:b/>
    </w:rPr>
  </w:style>
  <w:style w:type="paragraph" w:styleId="9">
    <w:name w:val="heading 6"/>
    <w:basedOn w:val="1"/>
    <w:next w:val="1"/>
    <w:unhideWhenUsed/>
    <w:qFormat/>
    <w:uiPriority w:val="0"/>
    <w:pPr>
      <w:keepNext/>
      <w:keepLines/>
      <w:spacing w:before="240" w:after="64" w:line="317" w:lineRule="auto"/>
      <w:outlineLvl w:val="5"/>
    </w:pPr>
    <w:rPr>
      <w:rFonts w:ascii="Arial" w:hAnsi="Arial" w:eastAsia="黑体"/>
      <w:b/>
    </w:rPr>
  </w:style>
  <w:style w:type="paragraph" w:styleId="10">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tabs>
        <w:tab w:val="left" w:pos="1021"/>
      </w:tabs>
      <w:ind w:firstLine="420"/>
    </w:pPr>
    <w:rPr>
      <w:lang w:val="en-US"/>
    </w:rPr>
  </w:style>
  <w:style w:type="paragraph" w:styleId="3">
    <w:name w:val="Body Text Indent"/>
    <w:basedOn w:val="1"/>
    <w:unhideWhenUsed/>
    <w:qFormat/>
    <w:uiPriority w:val="99"/>
    <w:pPr>
      <w:spacing w:after="120"/>
      <w:ind w:left="420" w:leftChars="200"/>
    </w:pPr>
  </w:style>
  <w:style w:type="paragraph" w:styleId="11">
    <w:name w:val="Normal Indent"/>
    <w:basedOn w:val="1"/>
    <w:next w:val="1"/>
    <w:unhideWhenUsed/>
    <w:qFormat/>
    <w:uiPriority w:val="0"/>
    <w:pPr>
      <w:ind w:firstLine="420"/>
    </w:pPr>
    <w:rPr>
      <w:szCs w:val="20"/>
    </w:rPr>
  </w:style>
  <w:style w:type="paragraph" w:styleId="12">
    <w:name w:val="annotation text"/>
    <w:basedOn w:val="1"/>
    <w:link w:val="82"/>
    <w:qFormat/>
    <w:uiPriority w:val="0"/>
    <w:pPr>
      <w:jc w:val="left"/>
    </w:pPr>
  </w:style>
  <w:style w:type="paragraph" w:styleId="13">
    <w:name w:val="Body Text"/>
    <w:basedOn w:val="1"/>
    <w:qFormat/>
    <w:uiPriority w:val="1"/>
    <w:rPr>
      <w:rFonts w:ascii="黑体" w:hAnsi="黑体" w:eastAsia="黑体" w:cs="黑体"/>
      <w:sz w:val="30"/>
      <w:szCs w:val="30"/>
    </w:rPr>
  </w:style>
  <w:style w:type="paragraph" w:styleId="14">
    <w:name w:val="Plain Text"/>
    <w:basedOn w:val="1"/>
    <w:unhideWhenUsed/>
    <w:qFormat/>
    <w:uiPriority w:val="99"/>
    <w:pPr>
      <w:adjustRightInd w:val="0"/>
      <w:spacing w:line="312" w:lineRule="atLeast"/>
      <w:ind w:firstLine="0" w:firstLineChars="0"/>
      <w:textAlignment w:val="baseline"/>
    </w:pPr>
    <w:rPr>
      <w:rFonts w:ascii="宋体" w:hAnsi="Courier New"/>
    </w:rPr>
  </w:style>
  <w:style w:type="paragraph" w:styleId="15">
    <w:name w:val="Body Text Indent 2"/>
    <w:basedOn w:val="1"/>
    <w:qFormat/>
    <w:uiPriority w:val="99"/>
    <w:pPr>
      <w:tabs>
        <w:tab w:val="left" w:pos="0"/>
      </w:tabs>
      <w:ind w:firstLine="473" w:firstLineChars="197"/>
      <w:jc w:val="left"/>
    </w:pPr>
  </w:style>
  <w:style w:type="paragraph" w:styleId="16">
    <w:name w:val="Balloon Text"/>
    <w:basedOn w:val="1"/>
    <w:link w:val="81"/>
    <w:qFormat/>
    <w:uiPriority w:val="0"/>
    <w:pPr>
      <w:spacing w:line="240" w:lineRule="auto"/>
    </w:pPr>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next w:val="19"/>
    <w:link w:val="6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19">
    <w:name w:val="样式5"/>
    <w:basedOn w:val="1"/>
    <w:next w:val="1"/>
    <w:qFormat/>
    <w:uiPriority w:val="0"/>
    <w:pPr>
      <w:snapToGrid w:val="0"/>
      <w:spacing w:line="360" w:lineRule="auto"/>
      <w:ind w:firstLine="510"/>
    </w:pPr>
    <w:rPr>
      <w:sz w:val="24"/>
    </w:rPr>
  </w:style>
  <w:style w:type="paragraph" w:styleId="20">
    <w:name w:val="toc 1"/>
    <w:basedOn w:val="1"/>
    <w:next w:val="1"/>
    <w:link w:val="79"/>
    <w:qFormat/>
    <w:uiPriority w:val="0"/>
  </w:style>
  <w:style w:type="paragraph" w:styleId="21">
    <w:name w:val="Subtitle"/>
    <w:basedOn w:val="4"/>
    <w:next w:val="22"/>
    <w:link w:val="85"/>
    <w:qFormat/>
    <w:uiPriority w:val="0"/>
    <w:pPr>
      <w:spacing w:line="240" w:lineRule="auto"/>
      <w:ind w:firstLine="0" w:firstLineChars="0"/>
      <w:jc w:val="center"/>
      <w:textAlignment w:val="center"/>
      <w:outlineLvl w:val="1"/>
    </w:pPr>
    <w:rPr>
      <w:rFonts w:cstheme="majorBidi"/>
      <w:bCs/>
      <w:kern w:val="28"/>
      <w:sz w:val="21"/>
      <w:szCs w:val="32"/>
    </w:rPr>
  </w:style>
  <w:style w:type="paragraph" w:styleId="22">
    <w:name w:val="List"/>
    <w:basedOn w:val="1"/>
    <w:unhideWhenUsed/>
    <w:qFormat/>
    <w:uiPriority w:val="0"/>
    <w:pPr>
      <w:ind w:left="200" w:hanging="200" w:hangingChars="200"/>
      <w:contextualSpacing/>
    </w:pPr>
  </w:style>
  <w:style w:type="paragraph" w:styleId="23">
    <w:name w:val="toc 2"/>
    <w:basedOn w:val="1"/>
    <w:next w:val="1"/>
    <w:unhideWhenUsed/>
    <w:qFormat/>
    <w:uiPriority w:val="39"/>
    <w:pPr>
      <w:ind w:left="420" w:leftChars="200"/>
    </w:pPr>
  </w:style>
  <w:style w:type="paragraph" w:styleId="2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5">
    <w:name w:val="Title"/>
    <w:basedOn w:val="1"/>
    <w:next w:val="7"/>
    <w:qFormat/>
    <w:uiPriority w:val="0"/>
    <w:pPr>
      <w:ind w:firstLine="0" w:firstLineChars="0"/>
      <w:jc w:val="center"/>
      <w:outlineLvl w:val="0"/>
    </w:pPr>
    <w:rPr>
      <w:rFonts w:cstheme="majorBidi"/>
      <w:b/>
      <w:bCs/>
      <w:sz w:val="21"/>
      <w:szCs w:val="32"/>
    </w:rPr>
  </w:style>
  <w:style w:type="paragraph" w:styleId="26">
    <w:name w:val="annotation subject"/>
    <w:basedOn w:val="12"/>
    <w:next w:val="12"/>
    <w:link w:val="83"/>
    <w:qFormat/>
    <w:uiPriority w:val="0"/>
    <w:rPr>
      <w:b/>
      <w:bCs/>
    </w:rPr>
  </w:style>
  <w:style w:type="paragraph" w:styleId="27">
    <w:name w:val="Body Text First Indent"/>
    <w:basedOn w:val="13"/>
    <w:next w:val="1"/>
    <w:qFormat/>
    <w:uiPriority w:val="0"/>
    <w:pPr>
      <w:ind w:firstLine="100" w:firstLineChars="100"/>
    </w:pPr>
  </w:style>
  <w:style w:type="table" w:styleId="29">
    <w:name w:val="Table Grid"/>
    <w:basedOn w:val="28"/>
    <w:qFormat/>
    <w:uiPriority w:val="0"/>
    <w:pPr>
      <w:jc w:val="center"/>
    </w:pPr>
    <w:rPr>
      <w:sz w:val="24"/>
    </w:rPr>
    <w:tblPr>
      <w:jc w:val="cente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styleId="31">
    <w:name w:val="Emphasis"/>
    <w:basedOn w:val="30"/>
    <w:qFormat/>
    <w:uiPriority w:val="0"/>
    <w:rPr>
      <w:rFonts w:ascii="Times New Roman" w:hAnsi="Times New Roman" w:eastAsia="宋体"/>
      <w:b/>
      <w:iCs/>
      <w:sz w:val="21"/>
    </w:rPr>
  </w:style>
  <w:style w:type="character" w:styleId="32">
    <w:name w:val="Hyperlink"/>
    <w:basedOn w:val="30"/>
    <w:unhideWhenUsed/>
    <w:qFormat/>
    <w:uiPriority w:val="99"/>
    <w:rPr>
      <w:color w:val="0000FF"/>
      <w:u w:val="single"/>
    </w:rPr>
  </w:style>
  <w:style w:type="character" w:styleId="33">
    <w:name w:val="annotation reference"/>
    <w:basedOn w:val="30"/>
    <w:qFormat/>
    <w:uiPriority w:val="0"/>
    <w:rPr>
      <w:sz w:val="21"/>
      <w:szCs w:val="21"/>
    </w:rPr>
  </w:style>
  <w:style w:type="paragraph" w:customStyle="1" w:styleId="34">
    <w:name w:val="Default"/>
    <w:basedOn w:val="35"/>
    <w:next w:val="36"/>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 w:type="paragraph" w:customStyle="1" w:styleId="35">
    <w:name w:val="纯文本1"/>
    <w:basedOn w:val="1"/>
    <w:qFormat/>
    <w:uiPriority w:val="0"/>
    <w:rPr>
      <w:rFonts w:ascii="宋体" w:hAnsi="Courier New"/>
    </w:rPr>
  </w:style>
  <w:style w:type="paragraph" w:customStyle="1" w:styleId="36">
    <w:name w:val="样式35"/>
    <w:next w:val="37"/>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37">
    <w:name w:val="font6"/>
    <w:next w:val="23"/>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38">
    <w:name w:val="标题 3 Char"/>
    <w:link w:val="6"/>
    <w:qFormat/>
    <w:uiPriority w:val="0"/>
    <w:rPr>
      <w:rFonts w:ascii="Times New Roman" w:hAnsi="Times New Roman" w:eastAsia="宋体"/>
      <w:b/>
      <w:sz w:val="28"/>
      <w:szCs w:val="28"/>
    </w:rPr>
  </w:style>
  <w:style w:type="paragraph" w:customStyle="1" w:styleId="39">
    <w:name w:val="表格"/>
    <w:basedOn w:val="40"/>
    <w:next w:val="1"/>
    <w:link w:val="41"/>
    <w:qFormat/>
    <w:uiPriority w:val="0"/>
    <w:pPr>
      <w:tabs>
        <w:tab w:val="left" w:pos="940"/>
      </w:tabs>
      <w:spacing w:before="0" w:beforeLines="0" w:after="0" w:afterLines="0"/>
      <w:ind w:firstLine="0" w:firstLineChars="0"/>
    </w:pPr>
    <w:rPr>
      <w:rFonts w:ascii="Times New Roman" w:hAnsi="Times New Roman" w:eastAsia="宋体"/>
    </w:rPr>
  </w:style>
  <w:style w:type="paragraph" w:customStyle="1" w:styleId="40">
    <w:name w:val="表题"/>
    <w:basedOn w:val="1"/>
    <w:qFormat/>
    <w:uiPriority w:val="0"/>
    <w:pPr>
      <w:tabs>
        <w:tab w:val="left" w:pos="940"/>
      </w:tabs>
      <w:snapToGrid w:val="0"/>
      <w:spacing w:line="240" w:lineRule="auto"/>
      <w:jc w:val="center"/>
    </w:pPr>
    <w:rPr>
      <w:rFonts w:eastAsia="黑体"/>
      <w:sz w:val="21"/>
      <w:szCs w:val="20"/>
    </w:rPr>
  </w:style>
  <w:style w:type="character" w:customStyle="1" w:styleId="41">
    <w:name w:val="表格 Char"/>
    <w:link w:val="39"/>
    <w:qFormat/>
    <w:uiPriority w:val="0"/>
    <w:rPr>
      <w:rFonts w:ascii="Times New Roman" w:hAnsi="Times New Roman" w:eastAsia="宋体"/>
      <w:sz w:val="21"/>
    </w:rPr>
  </w:style>
  <w:style w:type="paragraph" w:customStyle="1" w:styleId="42">
    <w:name w:val="表头"/>
    <w:basedOn w:val="27"/>
    <w:next w:val="1"/>
    <w:link w:val="73"/>
    <w:qFormat/>
    <w:uiPriority w:val="0"/>
    <w:pPr>
      <w:adjustRightInd w:val="0"/>
      <w:snapToGrid w:val="0"/>
      <w:spacing w:before="160" w:after="160" w:line="240" w:lineRule="auto"/>
      <w:ind w:firstLine="0" w:firstLineChars="0"/>
      <w:jc w:val="center"/>
      <w:textAlignment w:val="baseline"/>
    </w:pPr>
    <w:rPr>
      <w:b/>
      <w:spacing w:val="-11"/>
      <w:sz w:val="21"/>
      <w:szCs w:val="21"/>
    </w:rPr>
  </w:style>
  <w:style w:type="paragraph" w:customStyle="1" w:styleId="43">
    <w:name w:val="表格表头"/>
    <w:basedOn w:val="1"/>
    <w:qFormat/>
    <w:uiPriority w:val="0"/>
    <w:pPr>
      <w:snapToGrid w:val="0"/>
      <w:spacing w:line="360" w:lineRule="auto"/>
      <w:ind w:firstLine="0" w:firstLineChars="0"/>
      <w:jc w:val="center"/>
    </w:pPr>
    <w:rPr>
      <w:rFonts w:ascii="Times New Roman" w:hAnsi="Times New Roman" w:eastAsia="宋体"/>
      <w:b/>
      <w:sz w:val="21"/>
      <w:szCs w:val="21"/>
    </w:rPr>
  </w:style>
  <w:style w:type="paragraph" w:customStyle="1" w:styleId="44">
    <w:name w:val="Normal Indent1"/>
    <w:basedOn w:val="1"/>
    <w:qFormat/>
    <w:uiPriority w:val="0"/>
    <w:pPr>
      <w:ind w:firstLine="420" w:firstLineChars="200"/>
    </w:pPr>
    <w:rPr>
      <w:rFonts w:eastAsia="宋体"/>
      <w:kern w:val="2"/>
      <w:sz w:val="21"/>
      <w:szCs w:val="24"/>
      <w:lang w:val="en-US" w:eastAsia="zh-CN" w:bidi="ar-SA"/>
    </w:rPr>
  </w:style>
  <w:style w:type="paragraph" w:customStyle="1" w:styleId="45">
    <w:name w:val="xl27"/>
    <w:basedOn w:val="1"/>
    <w:qFormat/>
    <w:uiPriority w:val="0"/>
    <w:pPr>
      <w:widowControl/>
      <w:pBdr>
        <w:bottom w:val="single" w:color="auto" w:sz="4" w:space="0"/>
        <w:right w:val="single" w:color="auto" w:sz="4" w:space="0"/>
      </w:pBdr>
      <w:spacing w:before="100" w:beforeAutospacing="1" w:after="100" w:afterAutospacing="1"/>
    </w:pPr>
    <w:rPr>
      <w:rFonts w:ascii="Arial Unicode MS" w:hAnsi="Arial Unicode MS" w:eastAsia="Arial Unicode MS" w:cs="Arial Unicode MS"/>
      <w:sz w:val="26"/>
      <w:szCs w:val="26"/>
    </w:rPr>
  </w:style>
  <w:style w:type="paragraph" w:customStyle="1" w:styleId="46">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table" w:customStyle="1" w:styleId="47">
    <w:name w:val="Table Normal"/>
    <w:semiHidden/>
    <w:unhideWhenUsed/>
    <w:qFormat/>
    <w:uiPriority w:val="2"/>
    <w:tblPr>
      <w:tblCellMar>
        <w:top w:w="0" w:type="dxa"/>
        <w:left w:w="0" w:type="dxa"/>
        <w:bottom w:w="0" w:type="dxa"/>
        <w:right w:w="0" w:type="dxa"/>
      </w:tblCellMar>
    </w:tblPr>
  </w:style>
  <w:style w:type="paragraph" w:styleId="48">
    <w:name w:val="List Paragraph"/>
    <w:basedOn w:val="1"/>
    <w:qFormat/>
    <w:uiPriority w:val="1"/>
  </w:style>
  <w:style w:type="paragraph" w:customStyle="1" w:styleId="49">
    <w:name w:val="Table Paragraph"/>
    <w:basedOn w:val="1"/>
    <w:qFormat/>
    <w:uiPriority w:val="1"/>
    <w:pPr>
      <w:spacing w:line="240" w:lineRule="auto"/>
      <w:ind w:firstLine="0" w:firstLineChars="0"/>
    </w:pPr>
  </w:style>
  <w:style w:type="character" w:customStyle="1" w:styleId="50">
    <w:name w:val="标题 4 Char"/>
    <w:link w:val="7"/>
    <w:qFormat/>
    <w:uiPriority w:val="0"/>
    <w:rPr>
      <w:rFonts w:ascii="Times New Roman" w:hAnsi="Times New Roman" w:eastAsia="宋体"/>
      <w:b/>
      <w:sz w:val="24"/>
    </w:rPr>
  </w:style>
  <w:style w:type="paragraph" w:customStyle="1" w:styleId="51">
    <w:name w:val="表格正文"/>
    <w:basedOn w:val="13"/>
    <w:next w:val="1"/>
    <w:qFormat/>
    <w:uiPriority w:val="0"/>
    <w:pPr>
      <w:widowControl/>
      <w:snapToGrid w:val="0"/>
      <w:spacing w:line="240" w:lineRule="auto"/>
      <w:ind w:firstLine="0" w:firstLineChars="0"/>
      <w:jc w:val="center"/>
    </w:pPr>
    <w:rPr>
      <w:sz w:val="21"/>
      <w:szCs w:val="21"/>
    </w:rPr>
  </w:style>
  <w:style w:type="table" w:customStyle="1" w:styleId="52">
    <w:name w:val="网格型1"/>
    <w:basedOn w:val="2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3">
    <w:name w:val="样式 表格 32 + 首行缩进:  2 字符"/>
    <w:basedOn w:val="1"/>
    <w:qFormat/>
    <w:uiPriority w:val="0"/>
    <w:pPr>
      <w:suppressAutoHyphens/>
      <w:autoSpaceDE w:val="0"/>
      <w:autoSpaceDN w:val="0"/>
      <w:spacing w:line="0" w:lineRule="atLeast"/>
      <w:ind w:firstLine="200"/>
      <w:jc w:val="center"/>
    </w:pPr>
    <w:rPr>
      <w:kern w:val="2"/>
      <w:szCs w:val="21"/>
    </w:rPr>
  </w:style>
  <w:style w:type="paragraph" w:customStyle="1" w:styleId="54">
    <w:name w:val="表格名称"/>
    <w:basedOn w:val="1"/>
    <w:link w:val="68"/>
    <w:qFormat/>
    <w:uiPriority w:val="0"/>
    <w:pPr>
      <w:spacing w:line="240" w:lineRule="auto"/>
      <w:ind w:firstLine="0" w:firstLineChars="0"/>
      <w:jc w:val="center"/>
    </w:pPr>
    <w:rPr>
      <w:b/>
      <w:bCs/>
      <w:kern w:val="2"/>
      <w:sz w:val="21"/>
      <w:szCs w:val="21"/>
    </w:rPr>
  </w:style>
  <w:style w:type="paragraph" w:customStyle="1" w:styleId="55">
    <w:name w:val="样式 首行缩进:  2 字符"/>
    <w:basedOn w:val="1"/>
    <w:qFormat/>
    <w:uiPriority w:val="0"/>
    <w:pPr>
      <w:widowControl/>
      <w:ind w:firstLine="420"/>
    </w:pPr>
    <w:rPr>
      <w:kern w:val="2"/>
      <w:sz w:val="21"/>
      <w:szCs w:val="20"/>
    </w:rPr>
  </w:style>
  <w:style w:type="paragraph" w:customStyle="1" w:styleId="56">
    <w:name w:val="sheet"/>
    <w:basedOn w:val="1"/>
    <w:next w:val="57"/>
    <w:qFormat/>
    <w:uiPriority w:val="0"/>
    <w:pPr>
      <w:suppressAutoHyphens/>
      <w:jc w:val="center"/>
    </w:pPr>
    <w:rPr>
      <w:rFonts w:eastAsiaTheme="minorEastAsia"/>
      <w:sz w:val="21"/>
    </w:rPr>
  </w:style>
  <w:style w:type="paragraph" w:customStyle="1" w:styleId="57">
    <w:name w:val="1表格"/>
    <w:basedOn w:val="1"/>
    <w:qFormat/>
    <w:uiPriority w:val="0"/>
    <w:pPr>
      <w:snapToGrid w:val="0"/>
      <w:spacing w:line="160" w:lineRule="atLeast"/>
      <w:jc w:val="center"/>
    </w:pPr>
    <w:rPr>
      <w:rFonts w:eastAsia="仿宋_GB2312"/>
      <w:sz w:val="21"/>
      <w:szCs w:val="20"/>
    </w:rPr>
  </w:style>
  <w:style w:type="paragraph" w:customStyle="1" w:styleId="58">
    <w:name w:val="Char1"/>
    <w:basedOn w:val="1"/>
    <w:qFormat/>
    <w:uiPriority w:val="0"/>
    <w:rPr>
      <w:rFonts w:ascii="宋体" w:hAnsi="宋体"/>
      <w:szCs w:val="20"/>
    </w:rPr>
  </w:style>
  <w:style w:type="paragraph" w:customStyle="1" w:styleId="59">
    <w:name w:val="报告表格"/>
    <w:basedOn w:val="22"/>
    <w:qFormat/>
    <w:uiPriority w:val="0"/>
    <w:pPr>
      <w:widowControl/>
      <w:overflowPunct w:val="0"/>
      <w:autoSpaceDE w:val="0"/>
      <w:autoSpaceDN w:val="0"/>
      <w:adjustRightInd w:val="0"/>
      <w:ind w:left="0" w:firstLine="0" w:firstLineChars="0"/>
      <w:contextualSpacing w:val="0"/>
      <w:jc w:val="center"/>
      <w:textAlignment w:val="baseline"/>
    </w:pPr>
    <w:rPr>
      <w:sz w:val="21"/>
      <w:szCs w:val="20"/>
      <w:lang w:val="en-GB"/>
    </w:rPr>
  </w:style>
  <w:style w:type="character" w:customStyle="1" w:styleId="60">
    <w:name w:val="标题 5 Char"/>
    <w:qFormat/>
    <w:uiPriority w:val="0"/>
    <w:rPr>
      <w:rFonts w:ascii="Times New Roman" w:hAnsi="Times New Roman"/>
      <w:b/>
      <w:sz w:val="21"/>
    </w:rPr>
  </w:style>
  <w:style w:type="character" w:customStyle="1" w:styleId="61">
    <w:name w:val="页眉 Char"/>
    <w:link w:val="18"/>
    <w:qFormat/>
    <w:uiPriority w:val="0"/>
    <w:rPr>
      <w:sz w:val="18"/>
    </w:rPr>
  </w:style>
  <w:style w:type="paragraph" w:customStyle="1" w:styleId="62">
    <w:name w:val="表正文"/>
    <w:basedOn w:val="1"/>
    <w:qFormat/>
    <w:uiPriority w:val="0"/>
    <w:pPr>
      <w:ind w:firstLine="0" w:firstLineChars="0"/>
      <w:jc w:val="center"/>
    </w:pPr>
    <w:rPr>
      <w:rFonts w:cstheme="minorBidi"/>
      <w:kern w:val="2"/>
      <w:sz w:val="21"/>
      <w:szCs w:val="22"/>
    </w:rPr>
  </w:style>
  <w:style w:type="character" w:customStyle="1" w:styleId="63">
    <w:name w:val="正文缩进 Char"/>
    <w:qFormat/>
    <w:uiPriority w:val="0"/>
    <w:rPr>
      <w:rFonts w:asciiTheme="minorHAnsi" w:hAnsiTheme="minorHAnsi" w:eastAsiaTheme="minorEastAsia"/>
      <w:sz w:val="21"/>
    </w:rPr>
  </w:style>
  <w:style w:type="paragraph" w:customStyle="1" w:styleId="64">
    <w:name w:val="段落正文"/>
    <w:basedOn w:val="1"/>
    <w:qFormat/>
    <w:uiPriority w:val="0"/>
    <w:pPr>
      <w:snapToGrid w:val="0"/>
    </w:pPr>
    <w:rPr>
      <w:rFonts w:eastAsiaTheme="minorEastAsia"/>
    </w:rPr>
  </w:style>
  <w:style w:type="character" w:customStyle="1" w:styleId="65">
    <w:name w:val="标题 5 Char1"/>
    <w:basedOn w:val="30"/>
    <w:link w:val="8"/>
    <w:qFormat/>
    <w:uiPriority w:val="9"/>
    <w:rPr>
      <w:rFonts w:ascii="Times New Roman" w:hAnsi="Times New Roman" w:eastAsia="宋体" w:cs="Times New Roman"/>
      <w:b/>
      <w:bCs/>
      <w:color w:val="000000"/>
      <w:sz w:val="24"/>
      <w:szCs w:val="28"/>
    </w:rPr>
  </w:style>
  <w:style w:type="character" w:customStyle="1" w:styleId="66">
    <w:name w:val="表格文字 Char"/>
    <w:qFormat/>
    <w:uiPriority w:val="0"/>
    <w:rPr>
      <w:rFonts w:eastAsia="宋体"/>
      <w:sz w:val="21"/>
      <w:szCs w:val="21"/>
      <w:lang w:val="en-US" w:eastAsia="zh-CN" w:bidi="ar-SA"/>
    </w:rPr>
  </w:style>
  <w:style w:type="paragraph" w:customStyle="1" w:styleId="67">
    <w:name w:val="WPSOffice手动目录 1"/>
    <w:qFormat/>
    <w:uiPriority w:val="0"/>
    <w:rPr>
      <w:rFonts w:ascii="Times New Roman" w:hAnsi="Times New Roman" w:eastAsia="宋体" w:cs="Times New Roman"/>
      <w:lang w:val="en-US" w:eastAsia="zh-CN" w:bidi="ar-SA"/>
    </w:rPr>
  </w:style>
  <w:style w:type="character" w:customStyle="1" w:styleId="68">
    <w:name w:val="表格名称 Char"/>
    <w:link w:val="54"/>
    <w:qFormat/>
    <w:uiPriority w:val="0"/>
    <w:rPr>
      <w:rFonts w:cs="宋体"/>
      <w:b/>
      <w:bCs/>
      <w:color w:val="auto"/>
      <w:kern w:val="2"/>
      <w:sz w:val="21"/>
      <w:szCs w:val="21"/>
    </w:rPr>
  </w:style>
  <w:style w:type="paragraph" w:customStyle="1" w:styleId="69">
    <w:name w:val="图表头"/>
    <w:basedOn w:val="1"/>
    <w:next w:val="59"/>
    <w:qFormat/>
    <w:uiPriority w:val="0"/>
    <w:pPr>
      <w:snapToGrid w:val="0"/>
      <w:spacing w:line="240" w:lineRule="auto"/>
      <w:jc w:val="center"/>
    </w:pPr>
    <w:rPr>
      <w:b/>
      <w:sz w:val="21"/>
    </w:rPr>
  </w:style>
  <w:style w:type="paragraph" w:customStyle="1" w:styleId="70">
    <w:name w:val="表中文字"/>
    <w:basedOn w:val="1"/>
    <w:qFormat/>
    <w:uiPriority w:val="0"/>
    <w:pPr>
      <w:adjustRightInd w:val="0"/>
      <w:spacing w:line="240" w:lineRule="auto"/>
      <w:ind w:firstLine="0" w:firstLineChars="0"/>
      <w:jc w:val="center"/>
      <w:textAlignment w:val="baseline"/>
    </w:pPr>
    <w:rPr>
      <w:sz w:val="21"/>
      <w:szCs w:val="20"/>
    </w:rPr>
  </w:style>
  <w:style w:type="paragraph" w:customStyle="1" w:styleId="71">
    <w:name w:val="图表标题"/>
    <w:basedOn w:val="72"/>
    <w:next w:val="11"/>
    <w:qFormat/>
    <w:uiPriority w:val="0"/>
    <w:pPr>
      <w:widowControl/>
      <w:spacing w:before="120" w:after="120" w:line="240" w:lineRule="auto"/>
      <w:ind w:firstLine="0" w:firstLineChars="0"/>
      <w:jc w:val="center"/>
    </w:pPr>
    <w:rPr>
      <w:b/>
      <w:bCs/>
      <w:sz w:val="21"/>
      <w:szCs w:val="21"/>
    </w:rPr>
  </w:style>
  <w:style w:type="paragraph" w:customStyle="1" w:styleId="72">
    <w:name w:val="表内文字"/>
    <w:qFormat/>
    <w:uiPriority w:val="99"/>
    <w:pPr>
      <w:wordWrap w:val="0"/>
      <w:adjustRightInd w:val="0"/>
      <w:snapToGrid w:val="0"/>
      <w:jc w:val="center"/>
    </w:pPr>
    <w:rPr>
      <w:rFonts w:ascii="Times New Roman" w:hAnsi="Times New Roman" w:eastAsia="宋体" w:cs="Times New Roman"/>
      <w:kern w:val="0"/>
      <w:sz w:val="21"/>
      <w:szCs w:val="21"/>
    </w:rPr>
  </w:style>
  <w:style w:type="character" w:customStyle="1" w:styleId="73">
    <w:name w:val="表头 Char"/>
    <w:link w:val="42"/>
    <w:qFormat/>
    <w:uiPriority w:val="0"/>
    <w:rPr>
      <w:b/>
      <w:spacing w:val="-11"/>
      <w:sz w:val="21"/>
      <w:szCs w:val="21"/>
    </w:rPr>
  </w:style>
  <w:style w:type="paragraph" w:customStyle="1" w:styleId="74">
    <w:name w:val="表标题"/>
    <w:basedOn w:val="1"/>
    <w:qFormat/>
    <w:uiPriority w:val="0"/>
    <w:pPr>
      <w:spacing w:before="80" w:after="80" w:line="240" w:lineRule="auto"/>
      <w:ind w:firstLine="0" w:firstLineChars="0"/>
      <w:jc w:val="center"/>
    </w:pPr>
    <w:rPr>
      <w:b/>
      <w:sz w:val="21"/>
      <w:szCs w:val="20"/>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76">
    <w:name w:val="fontstyle01"/>
    <w:basedOn w:val="30"/>
    <w:qFormat/>
    <w:uiPriority w:val="99"/>
    <w:rPr>
      <w:rFonts w:ascii="宋体" w:hAnsi="宋体" w:eastAsia="宋体" w:cs="宋体"/>
      <w:color w:val="000000"/>
      <w:sz w:val="24"/>
      <w:szCs w:val="24"/>
    </w:rPr>
  </w:style>
  <w:style w:type="character" w:customStyle="1" w:styleId="77">
    <w:name w:val="fontstyle21"/>
    <w:basedOn w:val="30"/>
    <w:qFormat/>
    <w:uiPriority w:val="99"/>
    <w:rPr>
      <w:rFonts w:ascii="TimesNewRomanPSMT" w:eastAsia="TimesNewRomanPSMT" w:cs="TimesNewRomanPSMT"/>
      <w:color w:val="000000"/>
      <w:sz w:val="24"/>
      <w:szCs w:val="24"/>
    </w:rPr>
  </w:style>
  <w:style w:type="paragraph" w:customStyle="1" w:styleId="78">
    <w:name w:val="表 文"/>
    <w:basedOn w:val="7"/>
    <w:next w:val="1"/>
    <w:qFormat/>
    <w:uiPriority w:val="0"/>
    <w:pPr>
      <w:keepNext w:val="0"/>
      <w:keepLines w:val="0"/>
      <w:widowControl/>
      <w:tabs>
        <w:tab w:val="left" w:pos="100"/>
      </w:tabs>
      <w:spacing w:after="0" w:line="240" w:lineRule="auto"/>
      <w:jc w:val="center"/>
    </w:pPr>
    <w:rPr>
      <w:rFonts w:cs="Times New Roman"/>
      <w:sz w:val="21"/>
      <w:lang w:bidi="ar-SA"/>
    </w:rPr>
  </w:style>
  <w:style w:type="character" w:customStyle="1" w:styleId="79">
    <w:name w:val="目录 1 Char"/>
    <w:link w:val="20"/>
    <w:qFormat/>
    <w:uiPriority w:val="0"/>
  </w:style>
  <w:style w:type="paragraph" w:customStyle="1" w:styleId="80">
    <w:name w:val="表格居中"/>
    <w:basedOn w:val="1"/>
    <w:qFormat/>
    <w:uiPriority w:val="0"/>
    <w:pPr>
      <w:spacing w:line="0" w:lineRule="atLeast"/>
      <w:jc w:val="center"/>
    </w:pPr>
    <w:rPr>
      <w:szCs w:val="21"/>
    </w:rPr>
  </w:style>
  <w:style w:type="character" w:customStyle="1" w:styleId="81">
    <w:name w:val="批注框文本 Char"/>
    <w:basedOn w:val="30"/>
    <w:link w:val="16"/>
    <w:qFormat/>
    <w:uiPriority w:val="0"/>
    <w:rPr>
      <w:rFonts w:cs="宋体"/>
      <w:sz w:val="18"/>
      <w:szCs w:val="18"/>
      <w:lang w:val="zh-CN" w:bidi="zh-CN"/>
    </w:rPr>
  </w:style>
  <w:style w:type="character" w:customStyle="1" w:styleId="82">
    <w:name w:val="批注文字 Char"/>
    <w:basedOn w:val="30"/>
    <w:link w:val="12"/>
    <w:qFormat/>
    <w:uiPriority w:val="0"/>
    <w:rPr>
      <w:rFonts w:cs="宋体"/>
      <w:sz w:val="24"/>
      <w:szCs w:val="24"/>
      <w:lang w:val="zh-CN" w:bidi="zh-CN"/>
    </w:rPr>
  </w:style>
  <w:style w:type="character" w:customStyle="1" w:styleId="83">
    <w:name w:val="批注主题 Char"/>
    <w:basedOn w:val="82"/>
    <w:link w:val="26"/>
    <w:qFormat/>
    <w:uiPriority w:val="0"/>
    <w:rPr>
      <w:rFonts w:cs="宋体"/>
      <w:b/>
      <w:bCs/>
      <w:sz w:val="24"/>
      <w:szCs w:val="24"/>
      <w:lang w:val="zh-CN" w:bidi="zh-CN"/>
    </w:rPr>
  </w:style>
  <w:style w:type="paragraph" w:customStyle="1" w:styleId="84">
    <w:name w:val="S报告正文"/>
    <w:basedOn w:val="1"/>
    <w:qFormat/>
    <w:uiPriority w:val="0"/>
    <w:pPr>
      <w:adjustRightInd w:val="0"/>
      <w:snapToGrid w:val="0"/>
      <w:spacing w:line="480" w:lineRule="exact"/>
      <w:ind w:firstLine="510"/>
      <w:jc w:val="left"/>
    </w:pPr>
    <w:rPr>
      <w:sz w:val="24"/>
    </w:rPr>
  </w:style>
  <w:style w:type="character" w:customStyle="1" w:styleId="85">
    <w:name w:val="副标题 Char1"/>
    <w:link w:val="21"/>
    <w:qFormat/>
    <w:uiPriority w:val="11"/>
    <w:rPr>
      <w:rFonts w:cstheme="majorBidi"/>
      <w:bCs/>
      <w:kern w:val="28"/>
      <w:sz w:val="21"/>
      <w:szCs w:val="32"/>
    </w:rPr>
  </w:style>
  <w:style w:type="paragraph" w:customStyle="1" w:styleId="86">
    <w:name w:val="5号表头"/>
    <w:next w:val="1"/>
    <w:qFormat/>
    <w:uiPriority w:val="0"/>
    <w:pPr>
      <w:spacing w:line="360" w:lineRule="auto"/>
      <w:jc w:val="center"/>
    </w:pPr>
    <w:rPr>
      <w:rFonts w:ascii="Times New Roman" w:hAnsi="Times New Roman" w:eastAsia="宋体" w:cs="Times New Roman"/>
      <w:b/>
      <w:kern w:val="0"/>
      <w:sz w:val="21"/>
      <w:szCs w:val="20"/>
      <w:lang w:val="en-US" w:eastAsia="zh-CN" w:bidi="ar-SA"/>
    </w:rPr>
  </w:style>
  <w:style w:type="character" w:customStyle="1" w:styleId="87">
    <w:name w:val="标题 2 Char"/>
    <w:link w:val="5"/>
    <w:qFormat/>
    <w:uiPriority w:val="1"/>
    <w:rPr>
      <w:sz w:val="36"/>
      <w:szCs w:val="36"/>
    </w:rPr>
  </w:style>
  <w:style w:type="paragraph" w:customStyle="1" w:styleId="88">
    <w:name w:val="表文"/>
    <w:basedOn w:val="1"/>
    <w:qFormat/>
    <w:uiPriority w:val="0"/>
    <w:pPr>
      <w:spacing w:line="240" w:lineRule="auto"/>
      <w:ind w:firstLine="0" w:firstLineChars="0"/>
      <w:jc w:val="center"/>
    </w:pPr>
    <w:rPr>
      <w:spacing w:val="-2"/>
      <w:kern w:val="0"/>
      <w:sz w:val="21"/>
      <w:szCs w:val="20"/>
    </w:rPr>
  </w:style>
  <w:style w:type="paragraph" w:customStyle="1" w:styleId="89">
    <w:name w:val="丽~表头"/>
    <w:basedOn w:val="1"/>
    <w:qFormat/>
    <w:uiPriority w:val="0"/>
    <w:pPr>
      <w:widowControl/>
      <w:spacing w:before="120" w:after="120" w:line="240" w:lineRule="auto"/>
      <w:ind w:firstLine="0" w:firstLineChars="0"/>
      <w:jc w:val="center"/>
    </w:pPr>
    <w:rPr>
      <w:b/>
      <w:bCs/>
      <w:sz w:val="21"/>
      <w:szCs w:val="21"/>
    </w:rPr>
  </w:style>
  <w:style w:type="paragraph" w:customStyle="1" w:styleId="90">
    <w:name w:val="表格文字   5号"/>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91">
    <w:name w:val="表文字"/>
    <w:basedOn w:val="1"/>
    <w:qFormat/>
    <w:uiPriority w:val="0"/>
    <w:pPr>
      <w:overflowPunct w:val="0"/>
      <w:autoSpaceDE w:val="0"/>
      <w:autoSpaceDN w:val="0"/>
      <w:spacing w:line="240" w:lineRule="auto"/>
      <w:ind w:firstLine="0" w:firstLineChars="0"/>
      <w:jc w:val="center"/>
      <w:textAlignment w:val="baseline"/>
    </w:pPr>
    <w:rPr>
      <w:rFonts w:ascii="Times New Roman" w:hAnsi="Times New Roman"/>
      <w:sz w:val="21"/>
      <w:szCs w:val="20"/>
    </w:rPr>
  </w:style>
  <w:style w:type="paragraph" w:styleId="92">
    <w:name w:val="No Spacing"/>
    <w:basedOn w:val="1"/>
    <w:next w:val="39"/>
    <w:qFormat/>
    <w:uiPriority w:val="1"/>
    <w:pPr>
      <w:spacing w:line="360" w:lineRule="exact"/>
      <w:ind w:firstLine="0" w:firstLineChars="0"/>
      <w:jc w:val="center"/>
    </w:pPr>
    <w:rPr>
      <w:sz w:val="21"/>
    </w:rPr>
  </w:style>
  <w:style w:type="paragraph" w:customStyle="1" w:styleId="93">
    <w:name w:val="图表格式"/>
    <w:basedOn w:val="1"/>
    <w:qFormat/>
    <w:uiPriority w:val="0"/>
    <w:pPr>
      <w:snapToGrid w:val="0"/>
      <w:spacing w:line="240" w:lineRule="auto"/>
      <w:ind w:firstLine="0" w:firstLineChars="0"/>
      <w:jc w:val="center"/>
    </w:pPr>
    <w:rPr>
      <w:bCs/>
      <w:sz w:val="21"/>
      <w:szCs w:val="22"/>
    </w:rPr>
  </w:style>
  <w:style w:type="paragraph" w:customStyle="1" w:styleId="94">
    <w:name w:val="Char11"/>
    <w:basedOn w:val="1"/>
    <w:qFormat/>
    <w:uiPriority w:val="0"/>
    <w:pPr>
      <w:spacing w:line="360" w:lineRule="auto"/>
      <w:ind w:firstLine="200" w:firstLineChars="200"/>
    </w:pPr>
    <w:rPr>
      <w:kern w:val="0"/>
      <w:sz w:val="24"/>
      <w:szCs w:val="20"/>
    </w:rPr>
  </w:style>
  <w:style w:type="paragraph" w:customStyle="1" w:styleId="95">
    <w:name w:val="表中字"/>
    <w:qFormat/>
    <w:uiPriority w:val="0"/>
    <w:pPr>
      <w:wordWrap w:val="0"/>
      <w:jc w:val="center"/>
    </w:pPr>
    <w:rPr>
      <w:rFonts w:ascii="Times New Roman" w:hAnsi="Times New Roman" w:eastAsia="宋体" w:cs="Times New Roman"/>
      <w:kern w:val="2"/>
      <w:sz w:val="21"/>
      <w:szCs w:val="24"/>
      <w:lang w:val="en-US" w:eastAsia="zh-CN" w:bidi="ar-SA"/>
    </w:rPr>
  </w:style>
  <w:style w:type="paragraph" w:customStyle="1" w:styleId="96">
    <w:name w:val="正文内容"/>
    <w:basedOn w:val="1"/>
    <w:qFormat/>
    <w:uiPriority w:val="0"/>
    <w:pPr>
      <w:spacing w:line="360" w:lineRule="auto"/>
      <w:ind w:firstLine="200" w:firstLineChars="200"/>
    </w:pPr>
    <w:rPr>
      <w:rFonts w:cs="宋体"/>
      <w:kern w:val="0"/>
      <w:sz w:val="24"/>
      <w:szCs w:val="20"/>
    </w:rPr>
  </w:style>
  <w:style w:type="paragraph" w:customStyle="1" w:styleId="97">
    <w:name w:val="图表名"/>
    <w:basedOn w:val="98"/>
    <w:qFormat/>
    <w:uiPriority w:val="0"/>
    <w:rPr>
      <w:rFonts w:ascii="Times New Roman" w:hAnsi="Times New Roman" w:eastAsia="宋体"/>
      <w:sz w:val="21"/>
    </w:rPr>
  </w:style>
  <w:style w:type="paragraph" w:customStyle="1" w:styleId="98">
    <w:name w:val="表图名称"/>
    <w:basedOn w:val="1"/>
    <w:qFormat/>
    <w:uiPriority w:val="0"/>
    <w:pPr>
      <w:spacing w:line="360" w:lineRule="auto"/>
      <w:jc w:val="center"/>
    </w:pPr>
    <w:rPr>
      <w:b/>
      <w:bCs/>
      <w:kern w:val="28"/>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105</Pages>
  <Words>60020</Words>
  <Characters>69101</Characters>
  <Lines>286</Lines>
  <Paragraphs>80</Paragraphs>
  <TotalTime>10</TotalTime>
  <ScaleCrop>false</ScaleCrop>
  <LinksUpToDate>false</LinksUpToDate>
  <CharactersWithSpaces>69691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2021-03-04T00:38:00Z</dcterms:created>
  <dc:creator>lhj</dc:creator>
  <cp:lastModifiedBy>Administrator</cp:lastModifiedBy>
  <dcterms:modified xsi:type="dcterms:W3CDTF">2023-11-06T02:34:16Z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2021-03-04T00:00:00Z</vt:filetime>
  </property>
  <property fmtid="{D5CDD505-2E9C-101B-9397-08002B2CF9AE}" pid="5" name="KSOProductBuildVer">
    <vt:lpwstr>2052-12.1.0.15712</vt:lpwstr>
  </property>
  <property fmtid="{D5CDD505-2E9C-101B-9397-08002B2CF9AE}" pid="6" name="ICV">
    <vt:lpwstr>20E4DFD72FCA4F24BEA7FB80B496D1DE_13</vt:lpwstr>
  </property>
</Properties>
</file>