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bCs/>
          <w:sz w:val="32"/>
          <w:szCs w:val="32"/>
        </w:rPr>
      </w:pPr>
    </w:p>
    <w:p>
      <w:pPr>
        <w:spacing w:line="560" w:lineRule="exact"/>
        <w:jc w:val="center"/>
        <w:rPr>
          <w:rFonts w:hint="eastAsia" w:ascii="仿宋_GB2312" w:eastAsia="仿宋_GB2312"/>
          <w:bCs/>
          <w:sz w:val="32"/>
          <w:szCs w:val="32"/>
        </w:rPr>
      </w:pPr>
      <w:r>
        <w:rPr>
          <w:rFonts w:hint="eastAsia" w:ascii="仿宋_GB2312" w:eastAsia="仿宋_GB2312"/>
          <w:bCs/>
          <w:sz w:val="32"/>
          <w:szCs w:val="32"/>
        </w:rPr>
        <w:t>泸</w:t>
      </w:r>
      <w:r>
        <w:rPr>
          <w:rFonts w:hint="eastAsia" w:ascii="仿宋_GB2312" w:eastAsia="仿宋_GB2312"/>
          <w:bCs/>
          <w:sz w:val="32"/>
          <w:szCs w:val="32"/>
          <w:lang w:eastAsia="zh-CN"/>
        </w:rPr>
        <w:t>自然资发</w:t>
      </w:r>
      <w:r>
        <w:rPr>
          <w:rFonts w:hint="eastAsia" w:ascii="仿宋_GB2312" w:eastAsia="仿宋_GB2312"/>
          <w:bCs/>
          <w:sz w:val="32"/>
          <w:szCs w:val="32"/>
        </w:rPr>
        <w:t>〔20</w:t>
      </w:r>
      <w:r>
        <w:rPr>
          <w:rFonts w:hint="eastAsia" w:ascii="仿宋_GB2312" w:eastAsia="仿宋_GB2312"/>
          <w:bCs/>
          <w:sz w:val="32"/>
          <w:szCs w:val="32"/>
          <w:lang w:val="en-US" w:eastAsia="zh-CN"/>
        </w:rPr>
        <w:t>23</w:t>
      </w:r>
      <w:r>
        <w:rPr>
          <w:rFonts w:hint="eastAsia" w:ascii="仿宋_GB2312" w:eastAsia="仿宋_GB2312"/>
          <w:bCs/>
          <w:sz w:val="32"/>
          <w:szCs w:val="32"/>
        </w:rPr>
        <w:t>〕</w:t>
      </w:r>
      <w:r>
        <w:rPr>
          <w:rFonts w:hint="eastAsia" w:ascii="仿宋_GB2312" w:eastAsia="仿宋_GB2312"/>
          <w:bCs/>
          <w:sz w:val="32"/>
          <w:szCs w:val="32"/>
          <w:lang w:val="en-US" w:eastAsia="zh-CN"/>
        </w:rPr>
        <w:t>167</w:t>
      </w:r>
      <w:r>
        <w:rPr>
          <w:rFonts w:hint="eastAsia" w:ascii="仿宋_GB2312" w:eastAsia="仿宋_GB2312"/>
          <w:bCs/>
          <w:sz w:val="32"/>
          <w:szCs w:val="32"/>
        </w:rPr>
        <w:t>号</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eastAsia="仿宋_GB2312"/>
          <w:bCs/>
          <w:sz w:val="32"/>
          <w:szCs w:val="32"/>
        </w:rPr>
      </w:pPr>
    </w:p>
    <w:p>
      <w:pPr>
        <w:pStyle w:val="2"/>
        <w:rPr>
          <w:rFonts w:hint="eastAsia"/>
        </w:rPr>
      </w:pPr>
    </w:p>
    <w:p>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pacing w:val="0"/>
          <w:sz w:val="44"/>
          <w:szCs w:val="44"/>
          <w:lang w:eastAsia="zh-CN"/>
        </w:rPr>
      </w:pPr>
      <w:r>
        <w:rPr>
          <w:rFonts w:hint="eastAsia" w:ascii="方正小标宋简体" w:hAnsi="方正小标宋简体" w:eastAsia="方正小标宋简体" w:cs="方正小标宋简体"/>
          <w:b w:val="0"/>
          <w:bCs/>
          <w:spacing w:val="0"/>
          <w:sz w:val="44"/>
          <w:szCs w:val="44"/>
          <w:lang w:eastAsia="zh-CN"/>
        </w:rPr>
        <w:t>泸溪县自然资源局</w:t>
      </w:r>
    </w:p>
    <w:p>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pacing w:val="-11"/>
          <w:sz w:val="44"/>
          <w:szCs w:val="44"/>
        </w:rPr>
      </w:pPr>
      <w:r>
        <w:rPr>
          <w:rFonts w:hint="eastAsia" w:ascii="方正小标宋简体" w:hAnsi="方正小标宋简体" w:eastAsia="方正小标宋简体" w:cs="方正小标宋简体"/>
          <w:b w:val="0"/>
          <w:bCs/>
          <w:spacing w:val="-11"/>
          <w:sz w:val="44"/>
          <w:szCs w:val="44"/>
        </w:rPr>
        <w:t>关于</w:t>
      </w:r>
      <w:r>
        <w:rPr>
          <w:rFonts w:hint="eastAsia" w:ascii="方正小标宋简体" w:hAnsi="方正小标宋简体" w:eastAsia="方正小标宋简体" w:cs="方正小标宋简体"/>
          <w:b w:val="0"/>
          <w:bCs/>
          <w:spacing w:val="-11"/>
          <w:sz w:val="44"/>
          <w:szCs w:val="44"/>
          <w:lang w:eastAsia="zh-CN"/>
        </w:rPr>
        <w:t>印发《</w:t>
      </w:r>
      <w:r>
        <w:rPr>
          <w:rFonts w:hint="eastAsia" w:ascii="方正小标宋简体" w:hAnsi="方正小标宋简体" w:eastAsia="方正小标宋简体" w:cs="方正小标宋简体"/>
          <w:b w:val="0"/>
          <w:bCs/>
          <w:spacing w:val="-11"/>
          <w:sz w:val="44"/>
          <w:szCs w:val="44"/>
        </w:rPr>
        <w:t>202</w:t>
      </w:r>
      <w:r>
        <w:rPr>
          <w:rFonts w:hint="eastAsia" w:ascii="方正小标宋简体" w:hAnsi="方正小标宋简体" w:eastAsia="方正小标宋简体" w:cs="方正小标宋简体"/>
          <w:b w:val="0"/>
          <w:bCs/>
          <w:spacing w:val="-11"/>
          <w:sz w:val="44"/>
          <w:szCs w:val="44"/>
          <w:lang w:val="en-US" w:eastAsia="zh-CN"/>
        </w:rPr>
        <w:t>3</w:t>
      </w:r>
      <w:r>
        <w:rPr>
          <w:rFonts w:hint="eastAsia" w:ascii="方正小标宋简体" w:hAnsi="方正小标宋简体" w:eastAsia="方正小标宋简体" w:cs="方正小标宋简体"/>
          <w:b w:val="0"/>
          <w:bCs/>
          <w:spacing w:val="-11"/>
          <w:sz w:val="44"/>
          <w:szCs w:val="44"/>
        </w:rPr>
        <w:t>年度自然资源</w:t>
      </w:r>
      <w:r>
        <w:rPr>
          <w:rFonts w:hint="eastAsia" w:ascii="方正小标宋简体" w:hAnsi="方正小标宋简体" w:eastAsia="方正小标宋简体" w:cs="方正小标宋简体"/>
          <w:b w:val="0"/>
          <w:bCs/>
          <w:color w:val="000000"/>
          <w:spacing w:val="-11"/>
          <w:sz w:val="44"/>
          <w:szCs w:val="44"/>
        </w:rPr>
        <w:t>行政执法“五个</w:t>
      </w:r>
    </w:p>
    <w:p>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pacing w:val="0"/>
          <w:sz w:val="44"/>
          <w:szCs w:val="44"/>
        </w:rPr>
      </w:pPr>
      <w:r>
        <w:rPr>
          <w:rFonts w:hint="eastAsia" w:ascii="方正小标宋简体" w:hAnsi="方正小标宋简体" w:eastAsia="方正小标宋简体" w:cs="方正小标宋简体"/>
          <w:b w:val="0"/>
          <w:bCs/>
          <w:color w:val="000000"/>
          <w:spacing w:val="0"/>
          <w:sz w:val="44"/>
          <w:szCs w:val="44"/>
        </w:rPr>
        <w:t>清单”</w:t>
      </w:r>
      <w:r>
        <w:rPr>
          <w:rFonts w:hint="eastAsia" w:ascii="方正小标宋简体" w:hAnsi="方正小标宋简体" w:eastAsia="方正小标宋简体" w:cs="方正小标宋简体"/>
          <w:b w:val="0"/>
          <w:bCs/>
          <w:color w:val="000000"/>
          <w:spacing w:val="0"/>
          <w:sz w:val="44"/>
          <w:szCs w:val="44"/>
          <w:lang w:eastAsia="zh-CN"/>
        </w:rPr>
        <w:t>》的通知</w:t>
      </w:r>
    </w:p>
    <w:p>
      <w:pPr>
        <w:keepNext w:val="0"/>
        <w:keepLines w:val="0"/>
        <w:pageBreakBefore w:val="0"/>
        <w:widowControl w:val="0"/>
        <w:kinsoku/>
        <w:overflowPunct/>
        <w:topLinePunct w:val="0"/>
        <w:autoSpaceDE/>
        <w:autoSpaceDN/>
        <w:bidi w:val="0"/>
        <w:adjustRightInd/>
        <w:snapToGrid/>
        <w:spacing w:line="640" w:lineRule="exact"/>
        <w:jc w:val="left"/>
        <w:textAlignment w:val="auto"/>
        <w:rPr>
          <w:rFonts w:hint="eastAsia" w:ascii="仿宋" w:hAnsi="仿宋" w:eastAsia="仿宋" w:cs="仿宋_GB2312"/>
          <w:sz w:val="32"/>
          <w:szCs w:val="32"/>
        </w:rPr>
      </w:pPr>
    </w:p>
    <w:p>
      <w:pPr>
        <w:keepNext w:val="0"/>
        <w:keepLines w:val="0"/>
        <w:pageBreakBefore w:val="0"/>
        <w:widowControl w:val="0"/>
        <w:kinsoku/>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各乡镇自然资源所、局各股室、二级机构</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64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为进一步推进依法行</w:t>
      </w:r>
      <w:r>
        <w:rPr>
          <w:rFonts w:hint="eastAsia" w:ascii="仿宋_GB2312" w:hAnsi="仿宋_GB2312" w:eastAsia="仿宋_GB2312" w:cs="仿宋_GB2312"/>
          <w:color w:val="000000"/>
          <w:sz w:val="32"/>
          <w:szCs w:val="32"/>
        </w:rPr>
        <w:t>政工作，现</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年度自然资源行政执法“五个清单”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印发给你们，请知悉</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40" w:lineRule="exact"/>
        <w:ind w:firstLine="645"/>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1、泸溪县自然资源局《执法人员清单》；</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2、泸溪县自然资源局《行政执法事项清单》；</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3、泸溪县自然资源局《随机抽查事项清单》；</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4、泸溪县自然资源局《音像记录事项清单》；</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5、泸溪县自然资源局重大执法决定法制审核目录清单。</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泸溪县自然资源局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sectPr>
          <w:footerReference r:id="rId3" w:type="default"/>
          <w:pgSz w:w="11906" w:h="16838"/>
          <w:pgMar w:top="1701" w:right="1587" w:bottom="1587" w:left="1701" w:header="851" w:footer="992" w:gutter="0"/>
          <w:cols w:space="425" w:num="1"/>
          <w:docGrid w:type="lines" w:linePitch="312" w:charSpace="0"/>
        </w:sectPr>
      </w:pPr>
    </w:p>
    <w:p>
      <w:pPr>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附件</w:t>
      </w:r>
      <w:r>
        <w:rPr>
          <w:rFonts w:hint="eastAsia" w:ascii="仿宋_GB2312" w:hAnsi="仿宋_GB2312" w:eastAsia="仿宋_GB2312" w:cs="仿宋_GB2312"/>
          <w:color w:val="000000"/>
          <w:sz w:val="28"/>
          <w:szCs w:val="28"/>
          <w:lang w:val="en-US" w:eastAsia="zh-CN"/>
        </w:rPr>
        <w:t>1：</w:t>
      </w:r>
    </w:p>
    <w:p>
      <w:pPr>
        <w:jc w:val="center"/>
        <w:rPr>
          <w:rFonts w:hint="eastAsia" w:ascii="黑体" w:hAnsi="黑体" w:eastAsia="黑体"/>
          <w:b/>
          <w:sz w:val="44"/>
          <w:szCs w:val="44"/>
        </w:rPr>
      </w:pPr>
      <w:r>
        <w:rPr>
          <w:rFonts w:hint="eastAsia" w:ascii="方正小标宋简体" w:hAnsi="方正小标宋简体" w:eastAsia="方正小标宋简体" w:cs="方正小标宋简体"/>
          <w:b w:val="0"/>
          <w:bCs/>
          <w:sz w:val="44"/>
          <w:szCs w:val="44"/>
        </w:rPr>
        <w:t>泸溪县自然资源局《执法人员清单》</w:t>
      </w:r>
    </w:p>
    <w:p>
      <w:pPr>
        <w:jc w:val="center"/>
        <w:rPr>
          <w:rFonts w:hint="eastAsia"/>
        </w:rPr>
      </w:pP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463"/>
        <w:gridCol w:w="998"/>
        <w:gridCol w:w="1877"/>
        <w:gridCol w:w="2127"/>
        <w:gridCol w:w="2551"/>
        <w:gridCol w:w="2977"/>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dxa"/>
            <w:vAlign w:val="center"/>
          </w:tcPr>
          <w:p>
            <w:pPr>
              <w:jc w:val="center"/>
              <w:rPr>
                <w:rFonts w:ascii="黑体" w:hAnsi="黑体" w:eastAsia="黑体"/>
                <w:bCs/>
                <w:color w:val="000000"/>
                <w:sz w:val="32"/>
                <w:szCs w:val="32"/>
              </w:rPr>
            </w:pPr>
            <w:r>
              <w:rPr>
                <w:rFonts w:hint="eastAsia" w:ascii="黑体" w:hAnsi="黑体" w:eastAsia="黑体"/>
                <w:bCs/>
                <w:color w:val="000000"/>
                <w:sz w:val="32"/>
                <w:szCs w:val="32"/>
              </w:rPr>
              <w:t>序号</w:t>
            </w:r>
          </w:p>
        </w:tc>
        <w:tc>
          <w:tcPr>
            <w:tcW w:w="1463" w:type="dxa"/>
            <w:vAlign w:val="center"/>
          </w:tcPr>
          <w:p>
            <w:pPr>
              <w:jc w:val="center"/>
              <w:rPr>
                <w:rFonts w:ascii="黑体" w:hAnsi="黑体" w:eastAsia="黑体"/>
                <w:bCs/>
                <w:color w:val="000000"/>
                <w:sz w:val="32"/>
                <w:szCs w:val="32"/>
              </w:rPr>
            </w:pPr>
            <w:r>
              <w:rPr>
                <w:rFonts w:hint="eastAsia" w:ascii="黑体" w:hAnsi="黑体" w:eastAsia="黑体"/>
                <w:bCs/>
                <w:color w:val="000000"/>
                <w:sz w:val="32"/>
                <w:szCs w:val="32"/>
              </w:rPr>
              <w:t>姓 名</w:t>
            </w:r>
          </w:p>
        </w:tc>
        <w:tc>
          <w:tcPr>
            <w:tcW w:w="998" w:type="dxa"/>
            <w:vAlign w:val="center"/>
          </w:tcPr>
          <w:p>
            <w:pPr>
              <w:jc w:val="center"/>
              <w:rPr>
                <w:rFonts w:ascii="黑体" w:hAnsi="黑体" w:eastAsia="黑体"/>
                <w:bCs/>
                <w:color w:val="000000"/>
                <w:sz w:val="32"/>
                <w:szCs w:val="32"/>
              </w:rPr>
            </w:pPr>
            <w:r>
              <w:rPr>
                <w:rFonts w:hint="eastAsia" w:ascii="黑体" w:hAnsi="黑体" w:eastAsia="黑体"/>
                <w:bCs/>
                <w:color w:val="000000"/>
                <w:sz w:val="32"/>
                <w:szCs w:val="32"/>
              </w:rPr>
              <w:t>性别</w:t>
            </w:r>
          </w:p>
        </w:tc>
        <w:tc>
          <w:tcPr>
            <w:tcW w:w="1877" w:type="dxa"/>
            <w:vAlign w:val="center"/>
          </w:tcPr>
          <w:p>
            <w:pPr>
              <w:jc w:val="center"/>
              <w:rPr>
                <w:rFonts w:ascii="黑体" w:hAnsi="黑体" w:eastAsia="黑体"/>
                <w:bCs/>
                <w:color w:val="000000"/>
                <w:sz w:val="32"/>
                <w:szCs w:val="32"/>
              </w:rPr>
            </w:pPr>
            <w:r>
              <w:rPr>
                <w:rFonts w:hint="eastAsia" w:ascii="黑体" w:hAnsi="黑体" w:eastAsia="黑体"/>
                <w:bCs/>
                <w:color w:val="000000"/>
                <w:sz w:val="32"/>
                <w:szCs w:val="32"/>
              </w:rPr>
              <w:t>职 务</w:t>
            </w:r>
          </w:p>
        </w:tc>
        <w:tc>
          <w:tcPr>
            <w:tcW w:w="2127" w:type="dxa"/>
            <w:vAlign w:val="center"/>
          </w:tcPr>
          <w:p>
            <w:pPr>
              <w:jc w:val="center"/>
              <w:rPr>
                <w:rFonts w:ascii="黑体" w:hAnsi="黑体" w:eastAsia="黑体"/>
                <w:bCs/>
                <w:color w:val="000000"/>
                <w:sz w:val="32"/>
                <w:szCs w:val="32"/>
              </w:rPr>
            </w:pPr>
            <w:r>
              <w:rPr>
                <w:rFonts w:hint="eastAsia" w:ascii="黑体" w:hAnsi="黑体" w:eastAsia="黑体"/>
                <w:bCs/>
                <w:color w:val="000000"/>
                <w:sz w:val="32"/>
                <w:szCs w:val="32"/>
              </w:rPr>
              <w:t>执法范围</w:t>
            </w:r>
          </w:p>
        </w:tc>
        <w:tc>
          <w:tcPr>
            <w:tcW w:w="2551" w:type="dxa"/>
            <w:vAlign w:val="center"/>
          </w:tcPr>
          <w:p>
            <w:pPr>
              <w:jc w:val="center"/>
              <w:rPr>
                <w:rFonts w:ascii="黑体" w:hAnsi="黑体" w:eastAsia="黑体"/>
                <w:bCs/>
                <w:color w:val="000000"/>
                <w:sz w:val="32"/>
                <w:szCs w:val="32"/>
              </w:rPr>
            </w:pPr>
            <w:r>
              <w:rPr>
                <w:rFonts w:hint="eastAsia" w:ascii="黑体" w:hAnsi="黑体" w:eastAsia="黑体"/>
                <w:bCs/>
                <w:color w:val="000000"/>
                <w:sz w:val="32"/>
                <w:szCs w:val="32"/>
              </w:rPr>
              <w:t>执法证编号</w:t>
            </w:r>
          </w:p>
        </w:tc>
        <w:tc>
          <w:tcPr>
            <w:tcW w:w="2977" w:type="dxa"/>
            <w:vAlign w:val="bottom"/>
          </w:tcPr>
          <w:p>
            <w:pPr>
              <w:jc w:val="center"/>
              <w:rPr>
                <w:rFonts w:ascii="黑体" w:hAnsi="黑体" w:eastAsia="黑体"/>
                <w:bCs/>
                <w:color w:val="000000"/>
                <w:sz w:val="32"/>
                <w:szCs w:val="32"/>
              </w:rPr>
            </w:pPr>
            <w:r>
              <w:rPr>
                <w:rFonts w:hint="eastAsia" w:ascii="黑体" w:hAnsi="黑体" w:eastAsia="黑体"/>
                <w:bCs/>
                <w:color w:val="000000"/>
                <w:sz w:val="32"/>
                <w:szCs w:val="32"/>
              </w:rPr>
              <w:t>有 效 期</w:t>
            </w:r>
          </w:p>
        </w:tc>
        <w:tc>
          <w:tcPr>
            <w:tcW w:w="1632" w:type="dxa"/>
          </w:tcPr>
          <w:p>
            <w:pPr>
              <w:jc w:val="center"/>
              <w:rPr>
                <w:rFonts w:ascii="黑体" w:hAnsi="黑体" w:eastAsia="黑体"/>
                <w:bCs/>
                <w:color w:val="000000"/>
                <w:sz w:val="32"/>
                <w:szCs w:val="32"/>
              </w:rPr>
            </w:pPr>
            <w:r>
              <w:rPr>
                <w:rFonts w:hint="eastAsia" w:ascii="黑体" w:hAnsi="黑体" w:eastAsia="黑体"/>
                <w:bCs/>
                <w:color w:val="00000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毛应刚</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副局长</w:t>
            </w:r>
          </w:p>
        </w:tc>
        <w:tc>
          <w:tcPr>
            <w:tcW w:w="212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18140714001</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  波</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18140714002</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唐杰来</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18140714004</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张绳孝</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18140714005</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杨天松</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18140714006</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杨荣伟</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18140714007</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龙  杰</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18140714008</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张文猛</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18140714010</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徐助团</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18140714012</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1463"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梅</w:t>
            </w:r>
          </w:p>
        </w:tc>
        <w:tc>
          <w:tcPr>
            <w:tcW w:w="998"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w:t>
            </w: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18140714013</w:t>
            </w:r>
          </w:p>
        </w:tc>
        <w:tc>
          <w:tcPr>
            <w:tcW w:w="2977" w:type="dxa"/>
            <w:vAlign w:val="bottom"/>
          </w:tcPr>
          <w:p>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11</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黄生武</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18140714015</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12</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牛维其</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18140714016</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13</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张有军</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18140714018</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14</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杨培权</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18140714019</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15</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田  芳</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18140714020</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16</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罗远鸿</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18140714023</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17</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杨秀清</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1814071402</w:t>
            </w:r>
            <w:r>
              <w:rPr>
                <w:rFonts w:hint="eastAsia" w:ascii="仿宋_GB2312" w:hAnsi="仿宋_GB2312" w:eastAsia="仿宋_GB2312" w:cs="仿宋_GB2312"/>
                <w:color w:val="000000"/>
                <w:sz w:val="32"/>
                <w:szCs w:val="32"/>
                <w:lang w:val="en-US" w:eastAsia="zh-CN"/>
              </w:rPr>
              <w:t>5</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冯 利</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18140714026</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9</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邓文付</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18140714028</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龙明华</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18140714029</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向民主</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18140714031</w:t>
            </w:r>
          </w:p>
        </w:tc>
        <w:tc>
          <w:tcPr>
            <w:tcW w:w="2977" w:type="dxa"/>
            <w:vAlign w:val="bottom"/>
          </w:tcPr>
          <w:p>
            <w:pPr>
              <w:jc w:val="righ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向远成</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18140714032</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邓红林</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18140714033</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4</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张元华</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18140714034</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5</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杨小舟</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18140714035</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6</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陈全浩</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18140714037</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7</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刘  杰</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18140714038</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8</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向建军</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18140714039</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9</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谭永军</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18140714040</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30</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马迪鑫</w:t>
            </w:r>
          </w:p>
        </w:tc>
        <w:tc>
          <w:tcPr>
            <w:tcW w:w="998"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18140714042</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1</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李</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莎</w:t>
            </w:r>
          </w:p>
        </w:tc>
        <w:tc>
          <w:tcPr>
            <w:tcW w:w="998"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43</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2</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印均朝</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18140714044</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33</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向</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皎</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1814071404</w:t>
            </w:r>
            <w:r>
              <w:rPr>
                <w:rFonts w:hint="eastAsia" w:ascii="仿宋_GB2312" w:hAnsi="仿宋_GB2312" w:eastAsia="仿宋_GB2312" w:cs="仿宋_GB2312"/>
                <w:color w:val="000000"/>
                <w:sz w:val="32"/>
                <w:szCs w:val="32"/>
                <w:lang w:val="en-US" w:eastAsia="zh-CN"/>
              </w:rPr>
              <w:t>5</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4</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杨卓群</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18140714046</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5</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黄沅琦</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47</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6</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汤永祥</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48</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7</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张伟建</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49</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8</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徐国强</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0</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9</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谭振军</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1</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40</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宋兴亮</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2</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1</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姚莉辉</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3</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2</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石金龙</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4</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3</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包太山</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5</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4</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李诗毅</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6</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5</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杨</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阳</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w:t>
            </w:r>
            <w:r>
              <w:rPr>
                <w:rFonts w:hint="eastAsia" w:ascii="仿宋_GB2312" w:hAnsi="仿宋_GB2312" w:eastAsia="仿宋_GB2312" w:cs="仿宋_GB2312"/>
                <w:color w:val="000000"/>
                <w:sz w:val="32"/>
                <w:szCs w:val="32"/>
                <w:lang w:val="en-US" w:eastAsia="zh-CN"/>
              </w:rPr>
              <w:t>7</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46</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刘  晓</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18140714058</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7</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向明芳</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59</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8</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江</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好</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60</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9</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谭建华</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61</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50</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吴松林</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62</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51</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佘佐鹏</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63</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2</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杨正跃</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65</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2</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黄始发</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副局长</w:t>
            </w: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66</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53</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向瑞麟</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67</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3</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李隽华</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副局长</w:t>
            </w:r>
          </w:p>
        </w:tc>
        <w:tc>
          <w:tcPr>
            <w:tcW w:w="212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68</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4</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李</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静</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女</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总规划师</w:t>
            </w: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69</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55</w:t>
            </w:r>
          </w:p>
        </w:tc>
        <w:tc>
          <w:tcPr>
            <w:tcW w:w="1463"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刘  勋</w:t>
            </w:r>
          </w:p>
        </w:tc>
        <w:tc>
          <w:tcPr>
            <w:tcW w:w="998"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男</w:t>
            </w:r>
          </w:p>
        </w:tc>
        <w:tc>
          <w:tcPr>
            <w:tcW w:w="1877" w:type="dxa"/>
            <w:vAlign w:val="center"/>
          </w:tcPr>
          <w:p>
            <w:pPr>
              <w:jc w:val="center"/>
              <w:rPr>
                <w:rFonts w:hint="eastAsia" w:ascii="仿宋_GB2312" w:hAnsi="仿宋_GB2312" w:eastAsia="仿宋_GB2312" w:cs="仿宋_GB2312"/>
                <w:color w:val="000000"/>
                <w:kern w:val="2"/>
                <w:sz w:val="32"/>
                <w:szCs w:val="32"/>
                <w:lang w:val="en-US" w:eastAsia="zh-CN" w:bidi="ar-SA"/>
              </w:rPr>
            </w:pPr>
          </w:p>
        </w:tc>
        <w:tc>
          <w:tcPr>
            <w:tcW w:w="2127" w:type="dxa"/>
            <w:vAlign w:val="top"/>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泸溪县</w:t>
            </w:r>
          </w:p>
        </w:tc>
        <w:tc>
          <w:tcPr>
            <w:tcW w:w="2551" w:type="dxa"/>
            <w:vAlign w:val="center"/>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181407140</w:t>
            </w:r>
            <w:r>
              <w:rPr>
                <w:rFonts w:hint="eastAsia" w:ascii="仿宋_GB2312" w:hAnsi="仿宋_GB2312" w:eastAsia="仿宋_GB2312" w:cs="仿宋_GB2312"/>
                <w:color w:val="000000"/>
                <w:sz w:val="32"/>
                <w:szCs w:val="32"/>
                <w:lang w:val="en-US" w:eastAsia="zh-CN"/>
              </w:rPr>
              <w:t>70</w:t>
            </w:r>
          </w:p>
        </w:tc>
        <w:tc>
          <w:tcPr>
            <w:tcW w:w="2977" w:type="dxa"/>
            <w:vAlign w:val="bottom"/>
          </w:tcPr>
          <w:p>
            <w:pPr>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2027年10月31日</w:t>
            </w: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p>
        </w:tc>
        <w:tc>
          <w:tcPr>
            <w:tcW w:w="1463" w:type="dxa"/>
            <w:vAlign w:val="center"/>
          </w:tcPr>
          <w:p>
            <w:pPr>
              <w:jc w:val="center"/>
              <w:rPr>
                <w:rFonts w:hint="eastAsia" w:ascii="仿宋_GB2312" w:hAnsi="仿宋_GB2312" w:eastAsia="仿宋_GB2312" w:cs="仿宋_GB2312"/>
                <w:color w:val="000000"/>
                <w:sz w:val="32"/>
                <w:szCs w:val="32"/>
              </w:rPr>
            </w:pPr>
          </w:p>
        </w:tc>
        <w:tc>
          <w:tcPr>
            <w:tcW w:w="998" w:type="dxa"/>
            <w:vAlign w:val="center"/>
          </w:tcPr>
          <w:p>
            <w:pPr>
              <w:jc w:val="center"/>
              <w:rPr>
                <w:rFonts w:hint="eastAsia" w:ascii="仿宋_GB2312" w:hAnsi="仿宋_GB2312" w:eastAsia="仿宋_GB2312" w:cs="仿宋_GB2312"/>
                <w:color w:val="000000"/>
                <w:sz w:val="32"/>
                <w:szCs w:val="32"/>
              </w:rPr>
            </w:pP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color w:val="000000"/>
                <w:sz w:val="32"/>
                <w:szCs w:val="32"/>
              </w:rPr>
            </w:pPr>
          </w:p>
        </w:tc>
        <w:tc>
          <w:tcPr>
            <w:tcW w:w="2551" w:type="dxa"/>
            <w:vAlign w:val="center"/>
          </w:tcPr>
          <w:p>
            <w:pPr>
              <w:jc w:val="center"/>
              <w:rPr>
                <w:rFonts w:hint="eastAsia" w:ascii="仿宋_GB2312" w:hAnsi="仿宋_GB2312" w:eastAsia="仿宋_GB2312" w:cs="仿宋_GB2312"/>
                <w:color w:val="000000"/>
                <w:sz w:val="32"/>
                <w:szCs w:val="32"/>
              </w:rPr>
            </w:pPr>
          </w:p>
        </w:tc>
        <w:tc>
          <w:tcPr>
            <w:tcW w:w="2977" w:type="dxa"/>
            <w:vAlign w:val="bottom"/>
          </w:tcPr>
          <w:p>
            <w:pPr>
              <w:jc w:val="right"/>
              <w:rPr>
                <w:rFonts w:hint="eastAsia" w:ascii="仿宋_GB2312" w:hAnsi="仿宋_GB2312" w:eastAsia="仿宋_GB2312" w:cs="仿宋_GB2312"/>
                <w:color w:val="000000"/>
                <w:sz w:val="32"/>
                <w:szCs w:val="32"/>
              </w:rPr>
            </w:pP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p>
        </w:tc>
        <w:tc>
          <w:tcPr>
            <w:tcW w:w="1463" w:type="dxa"/>
            <w:vAlign w:val="center"/>
          </w:tcPr>
          <w:p>
            <w:pPr>
              <w:jc w:val="center"/>
              <w:rPr>
                <w:rFonts w:hint="eastAsia" w:ascii="仿宋_GB2312" w:hAnsi="仿宋_GB2312" w:eastAsia="仿宋_GB2312" w:cs="仿宋_GB2312"/>
                <w:color w:val="000000"/>
                <w:sz w:val="32"/>
                <w:szCs w:val="32"/>
              </w:rPr>
            </w:pPr>
          </w:p>
        </w:tc>
        <w:tc>
          <w:tcPr>
            <w:tcW w:w="998" w:type="dxa"/>
            <w:vAlign w:val="center"/>
          </w:tcPr>
          <w:p>
            <w:pPr>
              <w:jc w:val="center"/>
              <w:rPr>
                <w:rFonts w:hint="eastAsia" w:ascii="仿宋_GB2312" w:hAnsi="仿宋_GB2312" w:eastAsia="仿宋_GB2312" w:cs="仿宋_GB2312"/>
                <w:color w:val="000000"/>
                <w:sz w:val="32"/>
                <w:szCs w:val="32"/>
              </w:rPr>
            </w:pP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color w:val="000000"/>
                <w:sz w:val="32"/>
                <w:szCs w:val="32"/>
              </w:rPr>
            </w:pPr>
          </w:p>
        </w:tc>
        <w:tc>
          <w:tcPr>
            <w:tcW w:w="2551" w:type="dxa"/>
            <w:vAlign w:val="center"/>
          </w:tcPr>
          <w:p>
            <w:pPr>
              <w:jc w:val="center"/>
              <w:rPr>
                <w:rFonts w:hint="eastAsia" w:ascii="仿宋_GB2312" w:hAnsi="仿宋_GB2312" w:eastAsia="仿宋_GB2312" w:cs="仿宋_GB2312"/>
                <w:color w:val="000000"/>
                <w:sz w:val="32"/>
                <w:szCs w:val="32"/>
              </w:rPr>
            </w:pPr>
          </w:p>
        </w:tc>
        <w:tc>
          <w:tcPr>
            <w:tcW w:w="2977" w:type="dxa"/>
            <w:vAlign w:val="bottom"/>
          </w:tcPr>
          <w:p>
            <w:pPr>
              <w:jc w:val="right"/>
              <w:rPr>
                <w:rFonts w:hint="eastAsia" w:ascii="仿宋_GB2312" w:hAnsi="仿宋_GB2312" w:eastAsia="仿宋_GB2312" w:cs="仿宋_GB2312"/>
                <w:color w:val="000000"/>
                <w:sz w:val="32"/>
                <w:szCs w:val="32"/>
              </w:rPr>
            </w:pPr>
          </w:p>
        </w:tc>
        <w:tc>
          <w:tcPr>
            <w:tcW w:w="1632" w:type="dxa"/>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pPr>
              <w:jc w:val="center"/>
              <w:rPr>
                <w:rFonts w:hint="eastAsia" w:ascii="仿宋_GB2312" w:hAnsi="仿宋_GB2312" w:eastAsia="仿宋_GB2312" w:cs="仿宋_GB2312"/>
                <w:color w:val="000000"/>
                <w:sz w:val="32"/>
                <w:szCs w:val="32"/>
              </w:rPr>
            </w:pPr>
          </w:p>
        </w:tc>
        <w:tc>
          <w:tcPr>
            <w:tcW w:w="1463" w:type="dxa"/>
            <w:vAlign w:val="center"/>
          </w:tcPr>
          <w:p>
            <w:pPr>
              <w:jc w:val="center"/>
              <w:rPr>
                <w:rFonts w:hint="eastAsia" w:ascii="仿宋_GB2312" w:hAnsi="仿宋_GB2312" w:eastAsia="仿宋_GB2312" w:cs="仿宋_GB2312"/>
                <w:color w:val="000000"/>
                <w:sz w:val="32"/>
                <w:szCs w:val="32"/>
              </w:rPr>
            </w:pPr>
          </w:p>
        </w:tc>
        <w:tc>
          <w:tcPr>
            <w:tcW w:w="998" w:type="dxa"/>
            <w:vAlign w:val="center"/>
          </w:tcPr>
          <w:p>
            <w:pPr>
              <w:jc w:val="center"/>
              <w:rPr>
                <w:rFonts w:hint="eastAsia" w:ascii="仿宋_GB2312" w:hAnsi="仿宋_GB2312" w:eastAsia="仿宋_GB2312" w:cs="仿宋_GB2312"/>
                <w:color w:val="000000"/>
                <w:sz w:val="32"/>
                <w:szCs w:val="32"/>
              </w:rPr>
            </w:pPr>
          </w:p>
        </w:tc>
        <w:tc>
          <w:tcPr>
            <w:tcW w:w="1877" w:type="dxa"/>
            <w:vAlign w:val="center"/>
          </w:tcPr>
          <w:p>
            <w:pPr>
              <w:jc w:val="center"/>
              <w:rPr>
                <w:rFonts w:hint="eastAsia" w:ascii="仿宋_GB2312" w:hAnsi="仿宋_GB2312" w:eastAsia="仿宋_GB2312" w:cs="仿宋_GB2312"/>
                <w:color w:val="000000"/>
                <w:sz w:val="32"/>
                <w:szCs w:val="32"/>
              </w:rPr>
            </w:pPr>
          </w:p>
        </w:tc>
        <w:tc>
          <w:tcPr>
            <w:tcW w:w="2127" w:type="dxa"/>
          </w:tcPr>
          <w:p>
            <w:pPr>
              <w:jc w:val="center"/>
              <w:rPr>
                <w:rFonts w:hint="eastAsia" w:ascii="仿宋_GB2312" w:hAnsi="仿宋_GB2312" w:eastAsia="仿宋_GB2312" w:cs="仿宋_GB2312"/>
                <w:color w:val="000000"/>
                <w:sz w:val="32"/>
                <w:szCs w:val="32"/>
              </w:rPr>
            </w:pPr>
          </w:p>
        </w:tc>
        <w:tc>
          <w:tcPr>
            <w:tcW w:w="2551" w:type="dxa"/>
            <w:vAlign w:val="center"/>
          </w:tcPr>
          <w:p>
            <w:pPr>
              <w:jc w:val="center"/>
              <w:rPr>
                <w:rFonts w:hint="eastAsia" w:ascii="仿宋_GB2312" w:hAnsi="仿宋_GB2312" w:eastAsia="仿宋_GB2312" w:cs="仿宋_GB2312"/>
                <w:color w:val="000000"/>
                <w:sz w:val="32"/>
                <w:szCs w:val="32"/>
              </w:rPr>
            </w:pPr>
          </w:p>
        </w:tc>
        <w:tc>
          <w:tcPr>
            <w:tcW w:w="2977" w:type="dxa"/>
            <w:vAlign w:val="bottom"/>
          </w:tcPr>
          <w:p>
            <w:pPr>
              <w:jc w:val="right"/>
              <w:rPr>
                <w:rFonts w:hint="eastAsia" w:ascii="仿宋_GB2312" w:hAnsi="仿宋_GB2312" w:eastAsia="仿宋_GB2312" w:cs="仿宋_GB2312"/>
                <w:color w:val="000000"/>
                <w:sz w:val="32"/>
                <w:szCs w:val="32"/>
              </w:rPr>
            </w:pPr>
          </w:p>
        </w:tc>
        <w:tc>
          <w:tcPr>
            <w:tcW w:w="1632" w:type="dxa"/>
          </w:tcPr>
          <w:p>
            <w:pPr>
              <w:jc w:val="center"/>
              <w:rPr>
                <w:rFonts w:hint="eastAsia" w:ascii="仿宋_GB2312" w:hAnsi="仿宋_GB2312" w:eastAsia="仿宋_GB2312" w:cs="仿宋_GB2312"/>
                <w:sz w:val="32"/>
                <w:szCs w:val="32"/>
              </w:rPr>
            </w:pPr>
          </w:p>
        </w:tc>
      </w:tr>
    </w:tbl>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泸溪县自然资源局《行政执法事项清单》</w:t>
      </w:r>
    </w:p>
    <w:tbl>
      <w:tblPr>
        <w:tblW w:w="145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6"/>
        <w:gridCol w:w="8888"/>
        <w:gridCol w:w="1237"/>
        <w:gridCol w:w="2225"/>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blHeader/>
        </w:trPr>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事项名称</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事项类型</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实施主体</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国有建设用地使用权出让后土地使用权分割转让批准</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划拨土地使用权和地上建筑物及附着物所有权转让、出租、抵押审批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临时用地审批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农村村民宅基地审批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乡（镇）村公共设施、公益事业使用集体建设用地审批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乡（镇）村企业使用集体建设用地审批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建设项目用地预审</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建设用地改变用途审核</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乡村建设规划许可证核发</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建设项目选址意见书核发</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建设用地（含临时用地）规划许可证核发</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土地开垦区内开发未确定使用权的国有土地从事生产审查</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开采矿产资源审批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新设采矿权登记</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采矿权延续登记</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采矿权变更登记</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采矿权注销登记</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开采矿产资源划定矿区范围批准</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法人或者其他组织需要利用属于国家秘密的基础测绘成果审批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政府投资的地质灾害治理工程竣工验收</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农村村民宅基地审批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国有建设用地使用权划拨批准</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国有荒山、荒地、荒滩开发审查</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改变土地用途审查</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建设用地供地审查</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建设工程（含临时建设）规划许可证核发</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历史建筑实施原址保护审批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历史文化街区、名镇、名村核心保护范围内拆除历史建筑以外的建筑物、构筑物或者其他设施审批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历史建筑外部修缮装饰、添加设施以及改变历史建筑的结构或者使用性质审批</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建设工程规划条件核实合格证核发</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土地使用权转让、改变用途及续期许可</w:t>
            </w:r>
          </w:p>
        </w:tc>
        <w:tc>
          <w:tcPr>
            <w:tcW w:w="1237"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属《地质灾害防治条例》第四十四条规定的处罚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对测绘成果质量不合格的处罚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对地质灾害治理工程勘查、设计、施工、监理资质单位或者地质灾害危险性评估资质单位不按规定履行职责的处罚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未按照批准的矿山地质环境保护与治理恢复方案治理的，或者在矿山被批准关闭、闭坑前未完成治理恢复的处罚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从事生产建设活动造成土地损毁的土地复垦义务人未按照规定补充编制土地复垦方案的处罚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对非法占用土地的处罚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对未经批准在测绘活动中擅自采用国际坐标系统、擅自发布中华人民共和国领域和管辖的其他海域的重要地理信息数据的处罚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对未经批准擅自转让、出租、抵押划拨土地使用权的处罚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对无证开采、越界开采及采取破坏性方法开采等违法采矿行为的处罚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对不按规定汇交测绘成果资料行为的处罚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对买卖或者以其他形式非法转让土地的处罚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对在土地利用总体规划确定的禁止开垦区内从事土地开发活动的处罚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在土地利用总体规划确定的禁止开垦区内进行开垦，经责令限期改正，逾期不改正的处罚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对土地使用者不依法办理有关批准手续，缴纳土地使用权出让金或者土地收益的处罚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擅自印制或者伪造、冒用勘查许可证或采矿许可的处罚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不按照《矿产资源勘查区块登记管理办法》的规定备案、报告有关情况、拒绝接受监督检查或者弄虚作假的；未完成最低勘查投入的；已经领取勘查许可证的勘查项目，满6个月未开始施工，或者施工后无故停止勘查工作满6个月的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对农村村民非法占用土地建住宅的处罚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未按照出让合同约定支付全部土地使用权出让金，并取得土地使用权证书等不符合规定的出让土转让条件，即转让土地使用权的处罚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对违反《地质遗迹保护管理规定》的处罚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未经批准转让划拨土地使用权或者未办理划拨土地使用权出让手续、缴纳土地使用权出让金的处罚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开采矿产资源造成地质环境破坏，引发的地质灾害不予治理的处罚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对拒不履行土地复垦义务的处罚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不执行地质环境保护工程设施与矿山主体工程未执行三同时制度的处罚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对收回国有土地当事人拒不交出，临时用地期满拒不归还，不按批准用途使用土地的处罚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土地复垦义务人未按照规定将土地复垦费用列入生产成本或者建设项目总投资，或应当缴纳土地复垦费而不缴纳的处罚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对不办理勘查许可证变更登记或者注销登记手续的处罚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对损毁测量标志、危害测量标志安全或者影响使用效能、侵占永久性测量标志用地、拒不支付永久性测量标志迁建费等行为的处罚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土地复垦义务人拒绝、阻碍国土资源主管部门监督检查，或者在接受监督检查时弄虚作假的处罚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未取得勘查许可证或超越批准的勘查区块范围进行勘查工作，或未经批准擅自进行滚动勘探开发、边探边采或者试采的处罚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对经国务院批准的重点建设项目占用基本农田，连续二年未使用的处罚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伪造、变造不动产权属证书、不动产登记证明，或者买卖、使用伪造、变造的不动产权属证书、不动产登记证明的处罚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对未经批准，擅自建立相对独立的平面坐标系统和采用不符合国家标准的基础地理信息数据建立地理信息系统的处罚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未按照出让合同规定期限和条件开发利用土地的处罚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对未取得测绘资质证书或以欺骗手段取得测绘资质证书从事测绘活动的处罚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对测绘单位违法转包测绘项目的处罚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擅自转让探矿权、采矿权及买卖、出租或其他方式转让矿产资源的处罚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探矿权人未采取治理恢复措施的处罚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对破坏或者擅自改变基本农田保护区标志的处罚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建设项目施工和地质勘查需要临时占用耕地，土地使用者在临时用地期满之日起1年后未恢复种植条件的处罚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未按照规定对地质灾害易发区内的建设工程进行地质灾害危险性评估，或配套的地质灾害治理工程未经验收或者经验收不合格，主体工程即投入生产或者使用的处罚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未按期缴存矿山地质环境治理恢复保证金的处罚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土地复垦义务人未按照规定报告土地损毁情况、土地复垦费用使用情况或者土地复垦工程实施情况的处罚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拒不按照除治方案要求履行除治责任的处罚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对违法进行开垦、采石、采砂、采土、采种、采脂和其他活动，致使森林、林木受到毁坏的处罚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对违反矿产资源补偿费征收行为的处罚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对擅自将农民集体所有的土地的使用权用于非农业建设的处罚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在地质灾害危险区内爆破、削坡、进行工程建设以及从事其他可能引发地质灾害活动的处罚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对不按期缴纳探矿权使用费、价款，责令限期缴纳，逾期仍不缴纳的处罚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应当编制矿山地质环境保护与治理恢复方案而未编制的，或者扩大开采规模、变更矿区范围或者开采方式，未重新编制矿山地质环境保护与治理恢复方案并经原审批机关批准的处罚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因工程建设活动对地质环境造成影响的，相关责任单位未依照本办法的规定履行地质环境监测义务的处罚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扰乱、阻碍矿山地质环境保护与治理恢复工作，侵占、损坏、损毁矿山地质环境监测设施或者矿山地质环境保护与治理恢复设施的处罚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地质灾害治理工程监理资质单位不按照规定及时办理资质证书变更、注销手续，不按时进行备案的处罚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土地复垦义务人未按照规定对拟损毁的耕地、林地、牧草地进行表土剥离的处罚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外国的组织或者个人未经批准，或者未与中华人民共和国有关部门、单位合作，擅自从事测绘活动的处罚</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探矿权人不按期缴纳探矿权使用费、价款，采矿权人不按期缴纳采矿权使用费、价款的，责令限期缴纳，加收滞纳金</w:t>
            </w:r>
          </w:p>
        </w:tc>
        <w:tc>
          <w:tcPr>
            <w:tcW w:w="123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行政强制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人为活动引发的地质灾害逾期不治理或者治理不符合要求的，由责令限期治理的自然资源主管部门组织治理，所需费用由责任单位承担</w:t>
            </w:r>
          </w:p>
        </w:tc>
        <w:tc>
          <w:tcPr>
            <w:tcW w:w="123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行政强制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采矿权人在规定期限内未足额缴纳矿产资源补偿费的，责令限期缴纳，加收滞纳金</w:t>
            </w:r>
          </w:p>
        </w:tc>
        <w:tc>
          <w:tcPr>
            <w:tcW w:w="123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行政强制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对国有建设用地使用权出让、转让、出租、抵押、终止的监督检查</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地质灾害危险性评估活动、地质灾害治理工程勘查、设计和施工活动的监督检查</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地质环境监测监督检查</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可能造成地质环境破坏、诱发地质灾害的行为的监督检查</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土地复垦情况检查</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矿产资源勘查、开采的监督检查</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888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安全生产监督检查</w:t>
            </w:r>
          </w:p>
        </w:tc>
        <w:tc>
          <w:tcPr>
            <w:tcW w:w="123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w:t>
            </w:r>
          </w:p>
        </w:tc>
        <w:tc>
          <w:tcPr>
            <w:tcW w:w="222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探、采矿权使用费的征收</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不动产登记费</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非住房转让手续费征收</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888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土地闲置费</w:t>
            </w:r>
          </w:p>
        </w:tc>
        <w:tc>
          <w:tcPr>
            <w:tcW w:w="123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w:t>
            </w:r>
          </w:p>
        </w:tc>
        <w:tc>
          <w:tcPr>
            <w:tcW w:w="222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8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使用基础测绘成果费</w:t>
            </w:r>
          </w:p>
        </w:tc>
        <w:tc>
          <w:tcPr>
            <w:tcW w:w="12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w:t>
            </w:r>
          </w:p>
        </w:tc>
        <w:tc>
          <w:tcPr>
            <w:tcW w:w="2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泸溪县自然资源局《随机抽查事项清单》</w:t>
      </w:r>
    </w:p>
    <w:tbl>
      <w:tblPr>
        <w:tblW w:w="145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5"/>
        <w:gridCol w:w="3155"/>
        <w:gridCol w:w="1320"/>
        <w:gridCol w:w="6387"/>
        <w:gridCol w:w="165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抽查事项名称</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实施主体</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抽查内容</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抽查方式</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对地理信息安全的行政检查</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地理信息、生产、保管、利用单位和个人及其行为符合要求。从事测绘活动涉及持有、获取、提供、利用属于国家秘密等情况</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对地质勘查活动的行政检查 </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从事地质勘查活动的单位及其行为符合要求。核查地址单位的执业档案管理情况，是否存在虚假地质活动等情况</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对涉密基础测绘成果使用法人或者其他组织的行政检查</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涉密基础测绘成果使用法人或者其他组织及其行为。核查从事测绘活动涉及持有、获取、提供、利用属于国家秘密等情况</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对探矿权人、采矿权人的行政检查</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探矿权人、采矿权人及其行为符合要求。核查探矿权人、采矿权人是否按照要求填报矿产资源勘查开采年度计划等管理情况</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对开展全国地图工作企事业单位、法人和个人的行政检查 </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开展全国地图工作企事业单位、法人和个人及其行为符合要求。日常地图审核；市场监督检查；开展全覆盖排查整治等</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对矿山地质环境保护与土地复垦情况的行政检查 </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采矿权人行为符合要求。核查采矿权人是否履行土地复垦义务；检查土地复垦义务人复垦质量、地质灾害防治等情况</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71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1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对地质灾害防治资质单位的行政检查 </w:t>
            </w:r>
          </w:p>
        </w:tc>
        <w:tc>
          <w:tcPr>
            <w:tcW w:w="132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泸溪县自然资源局</w:t>
            </w:r>
          </w:p>
        </w:tc>
        <w:tc>
          <w:tcPr>
            <w:tcW w:w="638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从事地质灾害危险性评估的单位及其行为符合要求。是否取得相应的资质证书；是否在资质证书许可的范围内开展义务活动等情况</w:t>
            </w:r>
          </w:p>
        </w:tc>
        <w:tc>
          <w:tcPr>
            <w:tcW w:w="165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定期和不定期的监督检查</w:t>
            </w:r>
          </w:p>
        </w:tc>
        <w:tc>
          <w:tcPr>
            <w:tcW w:w="130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泸溪县自然资源局《音像记录事项清单》</w:t>
      </w:r>
    </w:p>
    <w:tbl>
      <w:tblPr>
        <w:tblW w:w="146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1"/>
        <w:gridCol w:w="1127"/>
        <w:gridCol w:w="1470"/>
        <w:gridCol w:w="1642"/>
        <w:gridCol w:w="1463"/>
        <w:gridCol w:w="5143"/>
        <w:gridCol w:w="1655"/>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9" w:hRule="atLeast"/>
          <w:tblHeader/>
        </w:trPr>
        <w:tc>
          <w:tcPr>
            <w:tcW w:w="551"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12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执法类别</w:t>
            </w: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执法事项</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记录载体</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记录场所</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记录内容</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记录部门</w:t>
            </w:r>
          </w:p>
        </w:tc>
        <w:tc>
          <w:tcPr>
            <w:tcW w:w="1599" w:type="dxa"/>
            <w:tcBorders>
              <w:top w:val="single" w:color="000000" w:sz="4" w:space="0"/>
              <w:left w:val="single" w:color="000000" w:sz="4" w:space="0"/>
              <w:bottom w:val="single" w:color="000000" w:sz="4" w:space="0"/>
              <w:right w:val="single" w:color="000000" w:sz="4" w:space="0"/>
            </w:tcBorders>
            <w:shd w:val="clear" w:color="auto" w:fill="FFFFFF"/>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记录人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51"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27"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行政许可环节</w:t>
            </w: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受理材料</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音视频监控设备</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服务窗口</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记录申请人申请，工作服务人员接收、当场更正、告知补正、审查受理等环节</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行政许可业务执法机构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1" w:type="dxa"/>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审批结果送达</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音视频监控设备</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服务窗口</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记录审批决定送达过程</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行政许可业务执法机构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1" w:type="dxa"/>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27"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行政处罚环节</w:t>
            </w: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现场检查</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检查场所现场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对进入检查场所、表明身份、出示执法证件、实地核查过程、调查询问过程、调取证据资料、证人证言采集和当事人拒绝检查的各个环节进行全过程记录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县自然资源执法监察大队</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51" w:type="dxa"/>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调查取证</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检查场所现场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对进入调查取证场所、表明身份、出示执法证件、调查询问过程、调取证据资料、证人证言采集的各个环节进行全过程记录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县自然资源执法监察大队</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询问笔录</w:t>
            </w:r>
          </w:p>
        </w:tc>
        <w:tc>
          <w:tcPr>
            <w:tcW w:w="1642"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照相机、执法记录仪</w:t>
            </w:r>
          </w:p>
        </w:tc>
        <w:tc>
          <w:tcPr>
            <w:tcW w:w="146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办公场所现场</w:t>
            </w:r>
          </w:p>
        </w:tc>
        <w:tc>
          <w:tcPr>
            <w:tcW w:w="514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对进入调查取证场所、表明身份、出示执法证件、说明询问事项及当事人的权利、询问过程进行全过程记录</w:t>
            </w:r>
          </w:p>
        </w:tc>
        <w:tc>
          <w:tcPr>
            <w:tcW w:w="1655"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县自然资源执法监察大队</w:t>
            </w:r>
          </w:p>
        </w:tc>
        <w:tc>
          <w:tcPr>
            <w:tcW w:w="1599"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514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both"/>
              <w:rPr>
                <w:rFonts w:hint="eastAsia" w:ascii="宋体" w:hAnsi="宋体" w:eastAsia="宋体" w:cs="宋体"/>
                <w:i w:val="0"/>
                <w:iCs w:val="0"/>
                <w:color w:val="000000"/>
                <w:sz w:val="24"/>
                <w:szCs w:val="2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514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both"/>
              <w:rPr>
                <w:rFonts w:hint="eastAsia" w:ascii="宋体" w:hAnsi="宋体" w:eastAsia="宋体" w:cs="宋体"/>
                <w:i w:val="0"/>
                <w:iCs w:val="0"/>
                <w:color w:val="000000"/>
                <w:sz w:val="24"/>
                <w:szCs w:val="2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514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both"/>
              <w:rPr>
                <w:rFonts w:hint="eastAsia" w:ascii="宋体" w:hAnsi="宋体" w:eastAsia="宋体" w:cs="宋体"/>
                <w:i w:val="0"/>
                <w:iCs w:val="0"/>
                <w:color w:val="000000"/>
                <w:sz w:val="24"/>
                <w:szCs w:val="2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先行登记保存</w:t>
            </w:r>
          </w:p>
        </w:tc>
        <w:tc>
          <w:tcPr>
            <w:tcW w:w="1642"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照相机、执法记录仪</w:t>
            </w:r>
          </w:p>
        </w:tc>
        <w:tc>
          <w:tcPr>
            <w:tcW w:w="146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取证现场 </w:t>
            </w:r>
          </w:p>
        </w:tc>
        <w:tc>
          <w:tcPr>
            <w:tcW w:w="514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对现行登记保存的证据物品编号、名称、规格（型号）或者地址、单位、数量或者面积和执行情况进行全过程记录</w:t>
            </w:r>
          </w:p>
        </w:tc>
        <w:tc>
          <w:tcPr>
            <w:tcW w:w="1655"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县自然资源执法监察大队</w:t>
            </w:r>
          </w:p>
        </w:tc>
        <w:tc>
          <w:tcPr>
            <w:tcW w:w="1599"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514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both"/>
              <w:rPr>
                <w:rFonts w:hint="eastAsia" w:ascii="宋体" w:hAnsi="宋体" w:eastAsia="宋体" w:cs="宋体"/>
                <w:i w:val="0"/>
                <w:iCs w:val="0"/>
                <w:color w:val="000000"/>
                <w:sz w:val="24"/>
                <w:szCs w:val="2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陈述、申辩</w:t>
            </w:r>
          </w:p>
        </w:tc>
        <w:tc>
          <w:tcPr>
            <w:tcW w:w="1642"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w:t>
            </w:r>
          </w:p>
        </w:tc>
        <w:tc>
          <w:tcPr>
            <w:tcW w:w="146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陈述申辩场所</w:t>
            </w:r>
          </w:p>
        </w:tc>
        <w:tc>
          <w:tcPr>
            <w:tcW w:w="514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记录当事人陈述申辩全过程</w:t>
            </w: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514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both"/>
              <w:rPr>
                <w:rFonts w:hint="eastAsia" w:ascii="宋体" w:hAnsi="宋体" w:eastAsia="宋体" w:cs="宋体"/>
                <w:i w:val="0"/>
                <w:iCs w:val="0"/>
                <w:color w:val="000000"/>
                <w:sz w:val="24"/>
                <w:szCs w:val="2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51" w:type="dxa"/>
            <w:tcBorders>
              <w:top w:val="single" w:color="000000" w:sz="4" w:space="0"/>
              <w:left w:val="single" w:color="000000" w:sz="4" w:space="0"/>
              <w:bottom w:val="nil"/>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简易处罚程序</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记录现场调查、收集证据、告知、陈述申辩、处罚和文书送达的全过程</w:t>
            </w:r>
          </w:p>
        </w:tc>
        <w:tc>
          <w:tcPr>
            <w:tcW w:w="1655"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县自然资源执法监察大队</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对责令改正情况的现场核查</w:t>
            </w:r>
          </w:p>
        </w:tc>
        <w:tc>
          <w:tcPr>
            <w:tcW w:w="1642"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照相机、执法记录仪</w:t>
            </w:r>
          </w:p>
        </w:tc>
        <w:tc>
          <w:tcPr>
            <w:tcW w:w="146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核查现场</w:t>
            </w:r>
          </w:p>
        </w:tc>
        <w:tc>
          <w:tcPr>
            <w:tcW w:w="5143"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对改正的情况进行全过程记录</w:t>
            </w: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restart"/>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5143"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both"/>
              <w:rPr>
                <w:rFonts w:hint="eastAsia" w:ascii="宋体" w:hAnsi="宋体" w:eastAsia="宋体" w:cs="宋体"/>
                <w:i w:val="0"/>
                <w:iCs w:val="0"/>
                <w:color w:val="000000"/>
                <w:sz w:val="24"/>
                <w:szCs w:val="2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51" w:type="dxa"/>
            <w:tcBorders>
              <w:top w:val="nil"/>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当事人不配合调查的</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对进入调查取证场所、表明身份、出示执法证件、当事人拒绝接受检查的全过程记录。</w:t>
            </w:r>
          </w:p>
        </w:tc>
        <w:tc>
          <w:tcPr>
            <w:tcW w:w="1655"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51" w:type="dxa"/>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127"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行政检查环节</w:t>
            </w: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双随机抽取过程</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执法记录仪、照相机、摄像机、视频监控设备</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随机抽取现场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对抽取检查对象和随机抽取执法检查人员的全过程进行记录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监督检查业务执法机构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实施监督检查执法机构负责人及执法人员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1" w:type="dxa"/>
            <w:tcBorders>
              <w:top w:val="nil"/>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127" w:type="dxa"/>
            <w:tcBorders>
              <w:top w:val="single" w:color="000000" w:sz="4" w:space="0"/>
              <w:left w:val="single" w:color="000000" w:sz="4" w:space="0"/>
              <w:bottom w:val="nil"/>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行政强制环节</w:t>
            </w: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强制执行过程</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执法记录仪、照相机、摄像机、视频监控设备</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强制执行现场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对行政强制执行的全过程进行记录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县自然资源执法监察大队</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1" w:type="dxa"/>
            <w:tcBorders>
              <w:top w:val="single" w:color="000000" w:sz="4" w:space="0"/>
              <w:left w:val="single" w:color="000000" w:sz="4" w:space="0"/>
              <w:bottom w:val="single" w:color="auto"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127" w:type="dxa"/>
            <w:tcBorders>
              <w:top w:val="single" w:color="000000" w:sz="4" w:space="0"/>
              <w:left w:val="single" w:color="000000" w:sz="4" w:space="0"/>
              <w:bottom w:val="single" w:color="auto"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行政征收环节</w:t>
            </w:r>
          </w:p>
        </w:tc>
        <w:tc>
          <w:tcPr>
            <w:tcW w:w="1470" w:type="dxa"/>
            <w:tcBorders>
              <w:top w:val="single" w:color="000000" w:sz="4" w:space="0"/>
              <w:left w:val="single" w:color="000000" w:sz="4" w:space="0"/>
              <w:bottom w:val="single" w:color="auto"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行政征收公告发布、实施、结果等全过程</w:t>
            </w:r>
          </w:p>
        </w:tc>
        <w:tc>
          <w:tcPr>
            <w:tcW w:w="1642" w:type="dxa"/>
            <w:tcBorders>
              <w:top w:val="single" w:color="000000" w:sz="4" w:space="0"/>
              <w:left w:val="single" w:color="000000" w:sz="4" w:space="0"/>
              <w:bottom w:val="single" w:color="auto"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执法记录仪、照相机、摄像机、视频监控设备</w:t>
            </w:r>
          </w:p>
        </w:tc>
        <w:tc>
          <w:tcPr>
            <w:tcW w:w="1463" w:type="dxa"/>
            <w:tcBorders>
              <w:top w:val="single" w:color="000000" w:sz="4" w:space="0"/>
              <w:left w:val="single" w:color="000000" w:sz="4" w:space="0"/>
              <w:bottom w:val="single" w:color="auto"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行政征收有关场所（现场）</w:t>
            </w:r>
          </w:p>
        </w:tc>
        <w:tc>
          <w:tcPr>
            <w:tcW w:w="5143" w:type="dxa"/>
            <w:tcBorders>
              <w:top w:val="single" w:color="000000" w:sz="4" w:space="0"/>
              <w:left w:val="single" w:color="000000" w:sz="4" w:space="0"/>
              <w:bottom w:val="single" w:color="auto"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对行政征收的全过程进行记录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行政征收业务执法机构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实施行政征收执法机构负责人及执法人员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1" w:type="dxa"/>
            <w:tcBorders>
              <w:top w:val="single" w:color="auto"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127" w:type="dxa"/>
            <w:vMerge w:val="restart"/>
            <w:tcBorders>
              <w:top w:val="single" w:color="auto"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送达环节</w:t>
            </w:r>
          </w:p>
        </w:tc>
        <w:tc>
          <w:tcPr>
            <w:tcW w:w="1470" w:type="dxa"/>
            <w:tcBorders>
              <w:top w:val="single" w:color="auto"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直接送达</w:t>
            </w:r>
          </w:p>
        </w:tc>
        <w:tc>
          <w:tcPr>
            <w:tcW w:w="1642" w:type="dxa"/>
            <w:tcBorders>
              <w:top w:val="single" w:color="auto"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音视频监控设备、照相机</w:t>
            </w:r>
          </w:p>
        </w:tc>
        <w:tc>
          <w:tcPr>
            <w:tcW w:w="1463" w:type="dxa"/>
            <w:tcBorders>
              <w:top w:val="single" w:color="auto"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办公场所</w:t>
            </w:r>
          </w:p>
        </w:tc>
        <w:tc>
          <w:tcPr>
            <w:tcW w:w="5143" w:type="dxa"/>
            <w:tcBorders>
              <w:top w:val="single" w:color="auto"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记录处罚决定、告知单、票据送达等送达过程</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执行执法机构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1" w:type="dxa"/>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留置送达</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执法记录仪、摄像机</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送达现场</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对邀请基层自治组织或者受送达人所在单位的代表，说明送达情况，在送达回执上记明拒收事由和日期，由送达人、见证人签字或者盖章，将文书留在受送达人的住所全过程进行记录。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执行执法机构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51" w:type="dxa"/>
            <w:tcBorders>
              <w:top w:val="nil"/>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邮寄送达</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照相机、摄像机、执法记录仪</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邮寄场所</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对交寄物品、交寄时间和送达结果等进行音像纪录。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执行执法机构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51" w:type="dxa"/>
            <w:tcBorders>
              <w:top w:val="single" w:color="000000" w:sz="4" w:space="0"/>
              <w:left w:val="single" w:color="000000" w:sz="4" w:space="0"/>
              <w:bottom w:val="single" w:color="000000" w:sz="4" w:space="0"/>
              <w:right w:val="single" w:color="000000" w:sz="4" w:space="0"/>
            </w:tcBorders>
            <w:shd w:val="clear"/>
            <w:noWrap/>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127" w:type="dxa"/>
            <w:vMerge w:val="continue"/>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公告送达</w:t>
            </w:r>
          </w:p>
        </w:tc>
        <w:tc>
          <w:tcPr>
            <w:tcW w:w="1642"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照相机</w:t>
            </w:r>
          </w:p>
        </w:tc>
        <w:tc>
          <w:tcPr>
            <w:tcW w:w="146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办公场所</w:t>
            </w:r>
          </w:p>
        </w:tc>
        <w:tc>
          <w:tcPr>
            <w:tcW w:w="5143"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对发布公告的报纸、发布公告的网站等送达凭证进行记录</w:t>
            </w:r>
          </w:p>
        </w:tc>
        <w:tc>
          <w:tcPr>
            <w:tcW w:w="165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执行执法机构</w:t>
            </w:r>
          </w:p>
        </w:tc>
        <w:tc>
          <w:tcPr>
            <w:tcW w:w="1599"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执法人员</w:t>
            </w:r>
          </w:p>
        </w:tc>
      </w:tr>
    </w:tbl>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5：</w:t>
      </w:r>
    </w:p>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泸溪县自然资源局重大执法决定法制审核目录清单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612"/>
        <w:gridCol w:w="1733"/>
        <w:gridCol w:w="1417"/>
        <w:gridCol w:w="680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9" w:type="dxa"/>
          </w:tcPr>
          <w:p>
            <w:pPr>
              <w:spacing w:line="43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12" w:type="dxa"/>
          </w:tcPr>
          <w:p>
            <w:pPr>
              <w:spacing w:line="430" w:lineRule="exact"/>
              <w:jc w:val="center"/>
              <w:rPr>
                <w:rFonts w:hint="eastAsia" w:ascii="宋体" w:hAnsi="宋体" w:eastAsia="宋体" w:cs="宋体"/>
                <w:b/>
                <w:bCs/>
                <w:sz w:val="24"/>
                <w:szCs w:val="24"/>
              </w:rPr>
            </w:pPr>
            <w:r>
              <w:rPr>
                <w:rFonts w:hint="eastAsia" w:ascii="宋体" w:hAnsi="宋体" w:eastAsia="宋体" w:cs="宋体"/>
                <w:b/>
                <w:bCs/>
                <w:sz w:val="24"/>
                <w:szCs w:val="24"/>
              </w:rPr>
              <w:t>审核事项</w:t>
            </w:r>
          </w:p>
        </w:tc>
        <w:tc>
          <w:tcPr>
            <w:tcW w:w="1733" w:type="dxa"/>
          </w:tcPr>
          <w:p>
            <w:pPr>
              <w:spacing w:line="430" w:lineRule="exact"/>
              <w:jc w:val="center"/>
              <w:rPr>
                <w:rFonts w:hint="eastAsia" w:ascii="宋体" w:hAnsi="宋体" w:eastAsia="宋体" w:cs="宋体"/>
                <w:b/>
                <w:bCs/>
                <w:sz w:val="24"/>
                <w:szCs w:val="24"/>
              </w:rPr>
            </w:pPr>
            <w:r>
              <w:rPr>
                <w:rFonts w:hint="eastAsia" w:ascii="宋体" w:hAnsi="宋体" w:eastAsia="宋体" w:cs="宋体"/>
                <w:b/>
                <w:bCs/>
                <w:sz w:val="24"/>
                <w:szCs w:val="24"/>
              </w:rPr>
              <w:t>行政行为性质</w:t>
            </w:r>
          </w:p>
        </w:tc>
        <w:tc>
          <w:tcPr>
            <w:tcW w:w="1417" w:type="dxa"/>
          </w:tcPr>
          <w:p>
            <w:pPr>
              <w:spacing w:line="430" w:lineRule="exact"/>
              <w:jc w:val="center"/>
              <w:rPr>
                <w:rFonts w:hint="eastAsia" w:ascii="宋体" w:hAnsi="宋体" w:eastAsia="宋体" w:cs="宋体"/>
                <w:b/>
                <w:bCs/>
                <w:sz w:val="24"/>
                <w:szCs w:val="24"/>
              </w:rPr>
            </w:pPr>
            <w:r>
              <w:rPr>
                <w:rFonts w:hint="eastAsia" w:ascii="宋体" w:hAnsi="宋体" w:eastAsia="宋体" w:cs="宋体"/>
                <w:b/>
                <w:bCs/>
                <w:sz w:val="24"/>
                <w:szCs w:val="24"/>
              </w:rPr>
              <w:t>承办机构</w:t>
            </w:r>
          </w:p>
        </w:tc>
        <w:tc>
          <w:tcPr>
            <w:tcW w:w="6804" w:type="dxa"/>
          </w:tcPr>
          <w:p>
            <w:pPr>
              <w:spacing w:line="430" w:lineRule="exact"/>
              <w:jc w:val="center"/>
              <w:rPr>
                <w:rFonts w:hint="eastAsia" w:ascii="宋体" w:hAnsi="宋体" w:eastAsia="宋体" w:cs="宋体"/>
                <w:b/>
                <w:bCs/>
                <w:sz w:val="24"/>
                <w:szCs w:val="24"/>
              </w:rPr>
            </w:pPr>
            <w:r>
              <w:rPr>
                <w:rFonts w:hint="eastAsia" w:ascii="宋体" w:hAnsi="宋体" w:eastAsia="宋体" w:cs="宋体"/>
                <w:b/>
                <w:bCs/>
                <w:sz w:val="24"/>
                <w:szCs w:val="24"/>
              </w:rPr>
              <w:t>审核依据</w:t>
            </w:r>
          </w:p>
        </w:tc>
        <w:tc>
          <w:tcPr>
            <w:tcW w:w="1985" w:type="dxa"/>
          </w:tcPr>
          <w:p>
            <w:pPr>
              <w:spacing w:line="43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89"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12"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自然资源违法行为查处</w:t>
            </w:r>
          </w:p>
        </w:tc>
        <w:tc>
          <w:tcPr>
            <w:tcW w:w="1733"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行政处罚</w:t>
            </w:r>
          </w:p>
        </w:tc>
        <w:tc>
          <w:tcPr>
            <w:tcW w:w="1417"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自然资源行政执法监察大队</w:t>
            </w:r>
          </w:p>
        </w:tc>
        <w:tc>
          <w:tcPr>
            <w:tcW w:w="6804" w:type="dxa"/>
          </w:tcPr>
          <w:p>
            <w:pPr>
              <w:spacing w:line="430" w:lineRule="exact"/>
              <w:rPr>
                <w:rFonts w:hint="eastAsia" w:ascii="宋体" w:hAnsi="宋体" w:eastAsia="宋体" w:cs="宋体"/>
                <w:sz w:val="24"/>
                <w:szCs w:val="24"/>
              </w:rPr>
            </w:pPr>
            <w:r>
              <w:rPr>
                <w:rFonts w:hint="eastAsia" w:ascii="宋体" w:hAnsi="宋体" w:eastAsia="宋体" w:cs="宋体"/>
                <w:sz w:val="24"/>
                <w:szCs w:val="24"/>
              </w:rPr>
              <w:t>《行政处罚法》《土地管理法》《土地管理法实施条例》《湖南省实施&lt;土地管理法&gt;办法》《城市房地产管理法》《矿产资源法》《矿产资源法实施条例》、《矿产资源开采登记管理办法》《测绘法》《湖南省实施&lt;测绘法&gt;实施办法》等</w:t>
            </w:r>
          </w:p>
        </w:tc>
        <w:tc>
          <w:tcPr>
            <w:tcW w:w="1985" w:type="dxa"/>
            <w:vMerge w:val="restart"/>
          </w:tcPr>
          <w:p>
            <w:pPr>
              <w:spacing w:line="43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89"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12"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撤销原行政许可</w:t>
            </w:r>
          </w:p>
        </w:tc>
        <w:tc>
          <w:tcPr>
            <w:tcW w:w="1733"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行政许可</w:t>
            </w:r>
          </w:p>
        </w:tc>
        <w:tc>
          <w:tcPr>
            <w:tcW w:w="1417"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国土空间用途管制</w:t>
            </w:r>
          </w:p>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股、矿管股、地理信息和测绘管理股</w:t>
            </w:r>
          </w:p>
        </w:tc>
        <w:tc>
          <w:tcPr>
            <w:tcW w:w="6804" w:type="dxa"/>
          </w:tcPr>
          <w:p>
            <w:pPr>
              <w:spacing w:line="430" w:lineRule="exact"/>
              <w:rPr>
                <w:rFonts w:hint="eastAsia" w:ascii="宋体" w:hAnsi="宋体" w:eastAsia="宋体" w:cs="宋体"/>
                <w:sz w:val="24"/>
                <w:szCs w:val="24"/>
              </w:rPr>
            </w:pPr>
            <w:r>
              <w:rPr>
                <w:rFonts w:hint="eastAsia" w:ascii="宋体" w:hAnsi="宋体" w:eastAsia="宋体" w:cs="宋体"/>
                <w:sz w:val="24"/>
                <w:szCs w:val="24"/>
              </w:rPr>
              <w:t>《行政许可法》《城乡规划法》《湖南省实施&lt;城乡规划法&gt;办法》《矿产资源法》《矿产资源法实施条例》《矿产资源开采登记管理办法》《矿产资源勘查区块登记办法》《探矿权采矿权转让管理办法》《地质灾害防治条例》《测绘法》《湖南省实施&lt;测绘法&gt;实施办法》《地图管理条例》《测量标志保护条例》《基础测绘条例》等</w:t>
            </w:r>
          </w:p>
        </w:tc>
        <w:tc>
          <w:tcPr>
            <w:tcW w:w="1985" w:type="dxa"/>
            <w:vMerge w:val="continue"/>
          </w:tcPr>
          <w:p>
            <w:pPr>
              <w:spacing w:line="43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89"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12"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矿业权价款退付、权益金缴纳</w:t>
            </w:r>
          </w:p>
        </w:tc>
        <w:tc>
          <w:tcPr>
            <w:tcW w:w="1733"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行政征收</w:t>
            </w:r>
          </w:p>
        </w:tc>
        <w:tc>
          <w:tcPr>
            <w:tcW w:w="1417" w:type="dxa"/>
            <w:vAlign w:val="center"/>
          </w:tcPr>
          <w:p>
            <w:pPr>
              <w:spacing w:line="430" w:lineRule="exact"/>
              <w:jc w:val="center"/>
              <w:rPr>
                <w:rFonts w:hint="eastAsia" w:ascii="宋体" w:hAnsi="宋体" w:eastAsia="宋体" w:cs="宋体"/>
                <w:sz w:val="24"/>
                <w:szCs w:val="24"/>
              </w:rPr>
            </w:pPr>
            <w:r>
              <w:rPr>
                <w:rFonts w:hint="eastAsia" w:ascii="宋体" w:hAnsi="宋体" w:eastAsia="宋体" w:cs="宋体"/>
                <w:sz w:val="24"/>
                <w:szCs w:val="24"/>
              </w:rPr>
              <w:t>计划财务股</w:t>
            </w:r>
          </w:p>
        </w:tc>
        <w:tc>
          <w:tcPr>
            <w:tcW w:w="6804" w:type="dxa"/>
          </w:tcPr>
          <w:p>
            <w:pPr>
              <w:spacing w:line="430" w:lineRule="exact"/>
              <w:rPr>
                <w:rFonts w:hint="eastAsia" w:ascii="宋体" w:hAnsi="宋体" w:eastAsia="宋体" w:cs="宋体"/>
                <w:sz w:val="24"/>
                <w:szCs w:val="24"/>
              </w:rPr>
            </w:pPr>
            <w:r>
              <w:rPr>
                <w:rFonts w:hint="eastAsia" w:ascii="宋体" w:hAnsi="宋体" w:eastAsia="宋体" w:cs="宋体"/>
                <w:sz w:val="24"/>
                <w:szCs w:val="24"/>
              </w:rPr>
              <w:t>《矿产资源法》《矿产资源法实施条例》《矿产资源开采登记管理办法》《矿产资源勘查区块登记办法》《探矿权采矿权转让管理办法》等</w:t>
            </w:r>
          </w:p>
        </w:tc>
        <w:tc>
          <w:tcPr>
            <w:tcW w:w="1985" w:type="dxa"/>
            <w:vMerge w:val="continue"/>
          </w:tcPr>
          <w:p>
            <w:pPr>
              <w:spacing w:line="430" w:lineRule="exact"/>
              <w:jc w:val="center"/>
              <w:rPr>
                <w:rFonts w:hint="eastAsia" w:ascii="宋体" w:hAnsi="宋体" w:eastAsia="宋体" w:cs="宋体"/>
                <w:sz w:val="24"/>
                <w:szCs w:val="24"/>
              </w:rPr>
            </w:pPr>
          </w:p>
        </w:tc>
      </w:tr>
    </w:tbl>
    <w:p>
      <w:pPr>
        <w:keepNext w:val="0"/>
        <w:keepLines w:val="0"/>
        <w:pageBreakBefore w:val="0"/>
        <w:widowControl w:val="0"/>
        <w:kinsoku/>
        <w:wordWrap w:val="0"/>
        <w:overflowPunct/>
        <w:topLinePunct w:val="0"/>
        <w:autoSpaceDE/>
        <w:autoSpaceDN/>
        <w:bidi w:val="0"/>
        <w:adjustRightInd/>
        <w:snapToGrid/>
        <w:spacing w:line="640" w:lineRule="exact"/>
        <w:ind w:left="0" w:leftChars="0" w:firstLine="0" w:firstLineChars="0"/>
        <w:textAlignment w:val="auto"/>
        <w:rPr>
          <w:rFonts w:hint="eastAsia" w:ascii="方正小标宋简体" w:hAnsi="方正小标宋简体" w:eastAsia="方正小标宋简体" w:cs="方正小标宋简体"/>
          <w:sz w:val="44"/>
          <w:szCs w:val="44"/>
        </w:rPr>
      </w:pPr>
    </w:p>
    <w:sectPr>
      <w:pgSz w:w="16838" w:h="11906" w:orient="landscape"/>
      <w:pgMar w:top="1417" w:right="1134" w:bottom="1134" w:left="1134" w:header="851" w:footer="992" w:gutter="0"/>
      <w:paperSrc/>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M2YzZTllZGUwYzRmZjEzYTU0Nzc3NjZkZDJkNWUifQ=="/>
  </w:docVars>
  <w:rsids>
    <w:rsidRoot w:val="00804585"/>
    <w:rsid w:val="00037F4D"/>
    <w:rsid w:val="00250971"/>
    <w:rsid w:val="0041010A"/>
    <w:rsid w:val="006424A0"/>
    <w:rsid w:val="00804585"/>
    <w:rsid w:val="009B3B2B"/>
    <w:rsid w:val="00BF74FC"/>
    <w:rsid w:val="00D21DB5"/>
    <w:rsid w:val="00D56313"/>
    <w:rsid w:val="22804328"/>
    <w:rsid w:val="2EF91B69"/>
    <w:rsid w:val="4B490E6C"/>
    <w:rsid w:val="58526F43"/>
    <w:rsid w:val="6497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宋体" w:cs="Calibri"/>
      <w:sz w:val="18"/>
      <w:szCs w:val="18"/>
    </w:rPr>
  </w:style>
  <w:style w:type="character" w:customStyle="1" w:styleId="9">
    <w:name w:val="页脚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230</Words>
  <Characters>243</Characters>
  <Lines>2</Lines>
  <Paragraphs>1</Paragraphs>
  <TotalTime>7</TotalTime>
  <ScaleCrop>false</ScaleCrop>
  <LinksUpToDate>false</LinksUpToDate>
  <CharactersWithSpaces>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2022-06-25T09:21:00Z</dcterms:created>
  <dc:creator>china</dc:creator>
  <cp:lastModifiedBy>张智勇</cp:lastModifiedBy>
  <cp:lastPrinted>2023-10-25T05:46:43Z</cp:lastPrinted>
  <dcterms:modified xsi:type="dcterms:W3CDTF">2023-10-25T05:47:07Z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893245FD52C34313A3A9FC0D47FDCFFC_13</vt:lpwstr>
  </property>
</Properties>
</file>