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color w:val="auto"/>
          <w:sz w:val="48"/>
          <w:szCs w:val="48"/>
        </w:rPr>
        <w:t>泸溪县经作（柑橘）产业社会化服务</w:t>
      </w: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8"/>
          <w:szCs w:val="48"/>
        </w:rPr>
        <w:t>整县试点项目</w:t>
      </w:r>
      <w:r>
        <w:rPr>
          <w:rFonts w:hint="eastAsia" w:ascii="仿宋" w:hAnsi="仿宋" w:eastAsia="仿宋" w:cs="仿宋"/>
          <w:b/>
          <w:bCs w:val="0"/>
          <w:color w:val="auto"/>
          <w:sz w:val="48"/>
          <w:szCs w:val="48"/>
          <w:lang w:val="en-US" w:eastAsia="zh-CN"/>
        </w:rPr>
        <w:t>XX环节财务报账</w:t>
      </w: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</w:pPr>
      <w:r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  <w:t>资</w:t>
      </w:r>
    </w:p>
    <w:p>
      <w:pPr>
        <w:jc w:val="center"/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</w:pPr>
      <w:r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  <w:t>料</w:t>
      </w:r>
    </w:p>
    <w:p>
      <w:pPr>
        <w:jc w:val="center"/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</w:pPr>
      <w:r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  <w:t>汇</w:t>
      </w:r>
    </w:p>
    <w:p>
      <w:pPr>
        <w:jc w:val="center"/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</w:pPr>
      <w:r>
        <w:rPr>
          <w:rFonts w:hint="eastAsia" w:ascii="黑体" w:hAnsi="黑体" w:eastAsia="黑体" w:cs="黑体"/>
          <w:color w:val="auto"/>
          <w:sz w:val="70"/>
          <w:szCs w:val="70"/>
          <w:lang w:eastAsia="zh-CN"/>
        </w:rPr>
        <w:t>编</w:t>
      </w: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8"/>
          <w:szCs w:val="48"/>
          <w:lang w:val="en-US" w:eastAsia="zh-CN"/>
        </w:rPr>
        <w:t>（样式）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XXX（服务主体）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年  月　日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w w:val="90"/>
          <w:sz w:val="32"/>
          <w:szCs w:val="32"/>
        </w:rPr>
        <w:t>泸溪县柑橘产业社会化服务整县试点项目</w:t>
      </w:r>
      <w:r>
        <w:rPr>
          <w:rFonts w:hint="eastAsia" w:ascii="仿宋" w:hAnsi="仿宋" w:eastAsia="仿宋" w:cs="仿宋"/>
          <w:b w:val="0"/>
          <w:bCs w:val="0"/>
          <w:color w:val="auto"/>
          <w:w w:val="9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无人机病虫害防控、测土配方施肥、修剪环节</w:t>
      </w:r>
      <w:r>
        <w:rPr>
          <w:rFonts w:hint="eastAsia" w:ascii="仿宋" w:hAnsi="仿宋" w:eastAsia="仿宋" w:cs="仿宋"/>
          <w:b w:val="0"/>
          <w:bCs w:val="0"/>
          <w:color w:val="auto"/>
          <w:w w:val="9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w w:val="90"/>
          <w:sz w:val="32"/>
          <w:szCs w:val="32"/>
          <w:lang w:val="en-US" w:eastAsia="zh-CN"/>
        </w:rPr>
        <w:t>合同书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2.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泸溪县柑橘产业社会化服务整县试点项目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作业质承诺书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泸溪县柑橘产业社会化服务整县试点项目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到户作业单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泸溪县柑橘产业社会化服务整县试点项目核验表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泸溪县柑橘产业社会化服务整县试点项目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作业面积图斑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泸溪县柑橘产业社会化服务整县试点项目资金补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到服务组织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核算表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泸溪县柑橘产业社会化服务整县试点项目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资金补助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8.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泸溪县柑橘产业社会化服务整县试点项目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资金补助正式发票复印件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9.服务组织（合作社、公司）相关证照复印件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10.服务组织（合作社、公司）法人身份证正反两面复印件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11.服务组织（合作社、公司）银行账号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泸溪县柑橘产业社会化服务整县试点项目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作业前、中、后图片（彩色）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泸溪县柑橘产业社会化服务整县试点项目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ＸＸ环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节公示照片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（彩色）　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14.XX服务组织（合作社、公司）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XX环节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向橘农收取服务费用原始凭证复印件</w:t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15.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溪县柑橘产业社会化服务整县试点项目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无人机病虫害防控环节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书（样式）</w:t>
      </w:r>
    </w:p>
    <w:p>
      <w:pPr>
        <w:spacing w:line="560" w:lineRule="exact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溪县柑橘产业社会化服务整县试点项目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测土配方施肥环节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书（样式）</w:t>
      </w:r>
    </w:p>
    <w:p>
      <w:pPr>
        <w:spacing w:line="560" w:lineRule="exact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　　17.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溪县柑橘产业社会化服务整县试点项目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修剪环节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书（样式）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</w:rPr>
        <w:t>泸溪县柑橘产业社会化服务整县试点项目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（无人机病虫害防控、测土配方施肥、修剪环节）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  <w:lang w:val="en-US" w:eastAsia="zh-CN"/>
        </w:rPr>
        <w:t>合同书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泸溪县柑橘产业社会化服务整县试点项目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  <w:t>作业质量承诺书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XXX（服务主体）向服务对象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郑重承诺：</w:t>
      </w:r>
    </w:p>
    <w:p>
      <w:pPr>
        <w:ind w:firstLine="642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XXX（服务主体）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将严格履行合同约定，按期完成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、　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环节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作业服务任务，自愿接受服务对象、相关部门的监督，按照作业质量标准，为服务对象提供优质服务，确保服务对象满意。作业服务完成后，将严格按照《</w:t>
      </w:r>
      <w:r>
        <w:rPr>
          <w:rFonts w:hint="eastAsia" w:ascii="仿宋" w:hAnsi="仿宋" w:eastAsia="仿宋" w:cs="仿宋"/>
          <w:sz w:val="32"/>
          <w:szCs w:val="32"/>
        </w:rPr>
        <w:t>泸溪县经作（柑橘）产业社会化服务整县试点项目实施方案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》要求做好相关资料收集整理工作。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承诺方（盖章）：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泸溪县柑橘产业社会化服务整县试点项目到户作业单（样式）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服务组织名称（盖章）：　　             法人代表：　　　　       联系电话：</w:t>
      </w:r>
    </w:p>
    <w:tbl>
      <w:tblPr>
        <w:tblStyle w:val="4"/>
        <w:tblpPr w:leftFromText="180" w:rightFromText="180" w:vertAnchor="text" w:horzAnchor="margin" w:tblpXSpec="center" w:tblpY="95"/>
        <w:tblOverlap w:val="never"/>
        <w:tblW w:w="14712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25"/>
        <w:gridCol w:w="1458"/>
        <w:gridCol w:w="1213"/>
        <w:gridCol w:w="1407"/>
        <w:gridCol w:w="1138"/>
        <w:gridCol w:w="825"/>
        <w:gridCol w:w="1000"/>
        <w:gridCol w:w="1389"/>
        <w:gridCol w:w="1875"/>
        <w:gridCol w:w="948"/>
        <w:gridCol w:w="112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59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序号</w:t>
            </w:r>
          </w:p>
        </w:tc>
        <w:tc>
          <w:tcPr>
            <w:tcW w:w="825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  <w:t>组织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  <w:t>法人</w:t>
            </w:r>
          </w:p>
        </w:tc>
        <w:tc>
          <w:tcPr>
            <w:tcW w:w="145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联系电话</w:t>
            </w:r>
          </w:p>
        </w:tc>
        <w:tc>
          <w:tcPr>
            <w:tcW w:w="1213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  <w:t>服务橘农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  <w:t>姓名</w:t>
            </w:r>
          </w:p>
        </w:tc>
        <w:tc>
          <w:tcPr>
            <w:tcW w:w="1407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作业地点（村、组）</w:t>
            </w:r>
          </w:p>
        </w:tc>
        <w:tc>
          <w:tcPr>
            <w:tcW w:w="113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作业环节</w:t>
            </w:r>
          </w:p>
        </w:tc>
        <w:tc>
          <w:tcPr>
            <w:tcW w:w="825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作业面积（亩）</w:t>
            </w:r>
          </w:p>
        </w:tc>
        <w:tc>
          <w:tcPr>
            <w:tcW w:w="521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服务收费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价格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（元/亩）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及收取服务费用（元）</w:t>
            </w:r>
          </w:p>
        </w:tc>
        <w:tc>
          <w:tcPr>
            <w:tcW w:w="1125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橘农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（代表）签字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659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市场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公允指导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价格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项目资金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补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助服务组织金额</w:t>
            </w:r>
          </w:p>
        </w:tc>
        <w:tc>
          <w:tcPr>
            <w:tcW w:w="187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市场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公允指导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价格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减去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1"/>
                <w:szCs w:val="21"/>
                <w:shd w:val="clear" w:color="auto" w:fill="FFFFFF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1"/>
                <w:szCs w:val="21"/>
                <w:shd w:val="clear" w:color="auto" w:fill="FFFFFF"/>
                <w:lang w:eastAsia="zh-CN"/>
              </w:rPr>
              <w:t>标准让利给橘农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的50%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1"/>
                <w:szCs w:val="21"/>
                <w:shd w:val="clear" w:color="auto" w:fill="FFFFFF"/>
                <w:lang w:eastAsia="zh-CN"/>
              </w:rPr>
              <w:t>部分后向橘农收取服务费的价格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  <w:lang w:eastAsia="zh-CN"/>
              </w:rPr>
              <w:t>向橘农收取服务费用</w:t>
            </w:r>
          </w:p>
        </w:tc>
        <w:tc>
          <w:tcPr>
            <w:tcW w:w="1125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5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1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5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  <w:lang w:val="en-US" w:eastAsia="zh-CN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5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2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5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5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3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5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5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4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5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5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  <w:t>5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5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3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94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1"/>
              </w:rPr>
            </w:pPr>
          </w:p>
        </w:tc>
      </w:tr>
    </w:tbl>
    <w:p>
      <w:pPr>
        <w:spacing w:beforeLines="50" w:line="56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4"/>
        </w:rPr>
        <w:t>村委会盖章：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color w:val="auto"/>
          <w:sz w:val="24"/>
        </w:rPr>
        <w:t>时间：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日</w:t>
      </w:r>
    </w:p>
    <w:p>
      <w:pPr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注：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组织在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各个环节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</w:rPr>
        <w:t>向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橘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</w:rPr>
        <w:t>农收取服务费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用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按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每亩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补助标准的50%让利给橘农，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每亩收费价格为当地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</w:rPr>
        <w:t>市场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</w:rPr>
        <w:t>价格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减去项目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</w:rPr>
        <w:t>补助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标准让利给橘农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的50%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部分后的价格，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无人机病虫害防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控环节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向橘农收取服务费价格为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陆拾伍（65.00）元/亩、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测土配方施肥环节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eastAsia="zh-CN"/>
        </w:rPr>
        <w:t>向橘农收取服务费价格为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叁佰壹拾贰点伍（312.50）元/亩、修剪环节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u w:val="none"/>
          <w:shd w:val="clear" w:color="auto" w:fill="FFFFFF"/>
          <w:lang w:eastAsia="zh-CN"/>
        </w:rPr>
        <w:t>向橘农收取服务费价格为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贰佰陆拾伍（265.00）元/亩</w:t>
      </w:r>
      <w:r>
        <w:rPr>
          <w:rFonts w:hint="eastAsia" w:ascii="仿宋" w:hAnsi="仿宋" w:eastAsia="仿宋" w:cs="仿宋"/>
          <w:color w:val="auto"/>
          <w:kern w:val="1"/>
          <w:sz w:val="21"/>
          <w:szCs w:val="21"/>
          <w:shd w:val="clear" w:color="auto" w:fill="FFFFFF"/>
          <w:lang w:val="en-US" w:eastAsia="zh-CN"/>
        </w:rPr>
        <w:t>；</w:t>
      </w:r>
    </w:p>
    <w:p>
      <w:pPr>
        <w:spacing w:line="240" w:lineRule="atLeas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2．一式三份，一份由农经部门存档备案，一份由作业方保存，一份用于村委会汇总公示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；</w:t>
      </w:r>
    </w:p>
    <w:p>
      <w:pPr>
        <w:spacing w:line="240" w:lineRule="atLeast"/>
        <w:ind w:firstLine="420" w:firstLineChars="200"/>
        <w:rPr>
          <w:rFonts w:ascii="Times New Roman" w:hAnsi="Times New Roman" w:eastAsia="仿宋_GB2312"/>
          <w:color w:val="auto"/>
          <w:sz w:val="24"/>
        </w:rPr>
        <w:sectPr>
          <w:pgSz w:w="16838" w:h="11906" w:orient="landscape"/>
          <w:pgMar w:top="1134" w:right="1531" w:bottom="113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3．一张作业单一般只登记同一环节、同一时间段、同一或相邻作业区域的农业社会化服务内容。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泸溪县柑橘产业社会化服务整县试点项目核验表（样式）</w:t>
      </w:r>
    </w:p>
    <w:tbl>
      <w:tblPr>
        <w:tblStyle w:val="4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4"/>
        <w:gridCol w:w="1574"/>
        <w:gridCol w:w="1156"/>
        <w:gridCol w:w="1125"/>
        <w:gridCol w:w="360"/>
        <w:gridCol w:w="1291"/>
        <w:gridCol w:w="525"/>
        <w:gridCol w:w="70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23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服务组织名称（盖章）</w:t>
            </w: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服务区域（村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、组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3797" w:type="dxa"/>
            <w:gridSpan w:val="4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服务环节</w:t>
            </w: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服务农户数</w:t>
            </w: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1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服务面积（亩）</w:t>
            </w:r>
          </w:p>
        </w:tc>
        <w:tc>
          <w:tcPr>
            <w:tcW w:w="198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97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服务农户</w:t>
            </w:r>
          </w:p>
        </w:tc>
        <w:tc>
          <w:tcPr>
            <w:tcW w:w="115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服务申报面积（亩）</w:t>
            </w:r>
          </w:p>
        </w:tc>
        <w:tc>
          <w:tcPr>
            <w:tcW w:w="1125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核验面积（亩）</w:t>
            </w:r>
          </w:p>
        </w:tc>
        <w:tc>
          <w:tcPr>
            <w:tcW w:w="1651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作业质量（优秀、合格、不合格）</w:t>
            </w:r>
          </w:p>
        </w:tc>
        <w:tc>
          <w:tcPr>
            <w:tcW w:w="1230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农户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满意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度（满意/不满意）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电话</w:t>
            </w:r>
          </w:p>
        </w:tc>
        <w:tc>
          <w:tcPr>
            <w:tcW w:w="1156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9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78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1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35" w:type="dxa"/>
            <w:gridSpan w:val="10"/>
            <w:noWrap/>
            <w:vAlign w:val="center"/>
          </w:tcPr>
          <w:p>
            <w:pPr>
              <w:spacing w:beforeLines="50" w:afterLines="50" w:line="28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核验结果：核验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户，申报面积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亩，核验后作业面积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亩，作业面积吻合率为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 （调查农户实际作业面积/调查总户申报面积×100%）。按吻合率测算该村作业面积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亩（申报总面积×吻合率）。吻合率低于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90%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的，对该村服务组织作业量不予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4"/>
        </w:rPr>
        <w:t>服务组织负责人签字：                     现场核验人签字（两人以上）：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>乡镇（便民服务中心）林业站长（签字）：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乡镇人民政府（中心）盖章：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　 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日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</w:rPr>
      </w:pPr>
    </w:p>
    <w:p>
      <w:pPr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注：1．每个村服务环节结束后，都应即时启动服务核验程序；</w:t>
      </w:r>
    </w:p>
    <w:p>
      <w:pPr>
        <w:spacing w:line="28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2．核验一般按环节、按区域抽取相应面积，核验比例不低于30%;</w:t>
      </w:r>
    </w:p>
    <w:p>
      <w:pPr>
        <w:spacing w:line="280" w:lineRule="exact"/>
        <w:ind w:firstLine="420" w:firstLineChars="200"/>
        <w:rPr>
          <w:rFonts w:ascii="Times New Roman" w:hAnsi="Times New Roman" w:eastAsia="仿宋_GB2312"/>
          <w:color w:val="auto"/>
          <w:sz w:val="28"/>
          <w:szCs w:val="28"/>
        </w:rPr>
        <w:sectPr>
          <w:pgSz w:w="11906" w:h="16838"/>
          <w:pgMar w:top="1134" w:right="1134" w:bottom="1134" w:left="1134" w:header="0" w:footer="851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3．农户满意度低于90%的，服务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补助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在原定标准基础上下调10%，低于70%的，不支付服务补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泸溪县柑橘产业社会化服务整县试点项目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  <w:t>作业面积图斑</w:t>
      </w:r>
    </w:p>
    <w:p>
      <w:pPr>
        <w:spacing w:line="5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（社会化服务面积核定由辖区乡镇林业站工程人员负责现场调绘面积，并加盖林业站公章。）</w:t>
      </w:r>
    </w:p>
    <w:p>
      <w:pPr>
        <w:numPr>
          <w:ilvl w:val="0"/>
          <w:numId w:val="0"/>
        </w:numPr>
        <w:spacing w:line="560" w:lineRule="exact"/>
        <w:rPr>
          <w:rFonts w:eastAsia="仿宋_GB2312"/>
          <w:color w:val="auto"/>
          <w:sz w:val="18"/>
          <w:szCs w:val="1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  <w:r>
        <w:rPr>
          <w:rFonts w:hint="eastAsia" w:eastAsia="仿宋_GB2312"/>
          <w:color w:val="auto"/>
          <w:sz w:val="24"/>
        </w:rPr>
        <w:br w:type="page"/>
      </w:r>
    </w:p>
    <w:p>
      <w:pPr>
        <w:spacing w:line="500" w:lineRule="exact"/>
        <w:jc w:val="center"/>
        <w:rPr>
          <w:rFonts w:hint="eastAsia" w:ascii="仿宋" w:hAnsi="仿宋" w:eastAsia="仿宋" w:cs="仿宋"/>
          <w:bCs/>
          <w:color w:val="auto"/>
          <w:w w:val="9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auto"/>
          <w:w w:val="85"/>
          <w:sz w:val="44"/>
          <w:szCs w:val="44"/>
        </w:rPr>
        <w:t>泸溪县柑橘产业社会化服务整县试点项目资金补</w:t>
      </w:r>
      <w:r>
        <w:rPr>
          <w:rFonts w:hint="eastAsia" w:ascii="仿宋" w:hAnsi="仿宋" w:eastAsia="仿宋" w:cs="仿宋"/>
          <w:b/>
          <w:bCs w:val="0"/>
          <w:color w:val="auto"/>
          <w:w w:val="85"/>
          <w:sz w:val="44"/>
          <w:szCs w:val="44"/>
          <w:lang w:eastAsia="zh-CN"/>
        </w:rPr>
        <w:t>助</w:t>
      </w:r>
      <w:r>
        <w:rPr>
          <w:rFonts w:hint="eastAsia" w:ascii="仿宋" w:hAnsi="仿宋" w:eastAsia="仿宋" w:cs="仿宋"/>
          <w:b/>
          <w:bCs w:val="0"/>
          <w:color w:val="auto"/>
          <w:w w:val="85"/>
          <w:sz w:val="44"/>
          <w:szCs w:val="44"/>
          <w:highlight w:val="none"/>
          <w:lang w:eastAsia="zh-CN"/>
        </w:rPr>
        <w:t>到服务组织</w:t>
      </w:r>
      <w:r>
        <w:rPr>
          <w:rFonts w:hint="eastAsia" w:ascii="仿宋" w:hAnsi="仿宋" w:eastAsia="仿宋" w:cs="仿宋"/>
          <w:b/>
          <w:bCs w:val="0"/>
          <w:color w:val="auto"/>
          <w:w w:val="85"/>
          <w:sz w:val="44"/>
          <w:szCs w:val="44"/>
        </w:rPr>
        <w:t>核算表（样式）</w:t>
      </w:r>
    </w:p>
    <w:tbl>
      <w:tblPr>
        <w:tblStyle w:val="4"/>
        <w:tblpPr w:leftFromText="180" w:rightFromText="180" w:vertAnchor="text" w:horzAnchor="margin" w:tblpXSpec="center" w:tblpY="173"/>
        <w:tblOverlap w:val="never"/>
        <w:tblW w:w="15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595"/>
        <w:gridCol w:w="1494"/>
        <w:gridCol w:w="1031"/>
        <w:gridCol w:w="1184"/>
        <w:gridCol w:w="1691"/>
        <w:gridCol w:w="1055"/>
        <w:gridCol w:w="1407"/>
        <w:gridCol w:w="1168"/>
        <w:gridCol w:w="148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633" w:type="dxa"/>
            <w:vMerge w:val="restart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2595" w:type="dxa"/>
            <w:vMerge w:val="restart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助服务组织名称</w:t>
            </w:r>
          </w:p>
        </w:tc>
        <w:tc>
          <w:tcPr>
            <w:tcW w:w="1494" w:type="dxa"/>
            <w:vMerge w:val="restart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联系方式</w:t>
            </w:r>
          </w:p>
        </w:tc>
        <w:tc>
          <w:tcPr>
            <w:tcW w:w="1031" w:type="dxa"/>
            <w:vMerge w:val="restart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服务农户</w:t>
            </w:r>
          </w:p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1184" w:type="dxa"/>
            <w:vMerge w:val="restart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作业环节</w:t>
            </w:r>
          </w:p>
        </w:tc>
        <w:tc>
          <w:tcPr>
            <w:tcW w:w="2746" w:type="dxa"/>
            <w:gridSpan w:val="2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区域协议面积</w:t>
            </w:r>
          </w:p>
        </w:tc>
        <w:tc>
          <w:tcPr>
            <w:tcW w:w="2575" w:type="dxa"/>
            <w:gridSpan w:val="2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区域面积核验</w:t>
            </w:r>
          </w:p>
        </w:tc>
        <w:tc>
          <w:tcPr>
            <w:tcW w:w="1485" w:type="dxa"/>
            <w:vMerge w:val="restart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资金</w:t>
            </w:r>
          </w:p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（元）</w:t>
            </w:r>
          </w:p>
        </w:tc>
        <w:tc>
          <w:tcPr>
            <w:tcW w:w="1455" w:type="dxa"/>
            <w:vMerge w:val="restart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633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vMerge w:val="continue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地点</w:t>
            </w: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亩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核验面积（亩）</w:t>
            </w: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补助标准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（元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/亩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vMerge w:val="continue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633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</w:t>
            </w:r>
          </w:p>
        </w:tc>
        <w:tc>
          <w:tcPr>
            <w:tcW w:w="259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1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07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乡镇（便民服务中心）林业站长（签字）：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　　　　　　　　　　　</w:t>
      </w:r>
      <w:r>
        <w:rPr>
          <w:rFonts w:hint="eastAsia" w:ascii="仿宋" w:hAnsi="仿宋" w:eastAsia="仿宋" w:cs="仿宋"/>
          <w:color w:val="auto"/>
          <w:sz w:val="24"/>
        </w:rPr>
        <w:t>县农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业农村局</w:t>
      </w:r>
      <w:r>
        <w:rPr>
          <w:rFonts w:hint="eastAsia" w:ascii="仿宋" w:hAnsi="仿宋" w:eastAsia="仿宋" w:cs="仿宋"/>
          <w:color w:val="auto"/>
          <w:sz w:val="24"/>
        </w:rPr>
        <w:t>分管领导（签字）：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乡镇农经专干（签字）：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验收组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字：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　　              　    县农业农村局（公章）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24"/>
        </w:rPr>
        <w:sectPr>
          <w:pgSz w:w="16838" w:h="11906" w:orient="landscape"/>
          <w:pgMar w:top="1531" w:right="1871" w:bottom="1361" w:left="1984" w:header="851" w:footer="992" w:gutter="0"/>
          <w:pgNumType w:fmt="numberInDash"/>
          <w:cols w:space="0" w:num="1"/>
          <w:rtlGutter w:val="0"/>
          <w:docGrid w:linePitch="312" w:charSpace="0"/>
        </w:sectPr>
      </w:pP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  <w:t>注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  <w:t>此表一式三份，一份由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  <w:lang w:eastAsia="zh-CN"/>
        </w:rPr>
        <w:t>县农业农村局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  <w:t>存档备案，一份由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  <w:lang w:eastAsia="zh-CN"/>
        </w:rPr>
        <w:t>服务组织</w:t>
      </w:r>
      <w:r>
        <w:rPr>
          <w:rFonts w:hint="eastAsia" w:ascii="仿宋" w:hAnsi="仿宋" w:eastAsia="仿宋" w:cs="仿宋"/>
          <w:color w:val="auto"/>
          <w:sz w:val="21"/>
          <w:szCs w:val="21"/>
          <w:u w:val="none" w:color="auto"/>
        </w:rPr>
        <w:t>保存，一份申请拨付资金。</w:t>
      </w:r>
    </w:p>
    <w:p>
      <w:pPr>
        <w:spacing w:before="156" w:beforeLines="50" w:after="156" w:afterLines="50" w:line="400" w:lineRule="exact"/>
        <w:jc w:val="center"/>
        <w:rPr>
          <w:rFonts w:hint="eastAsia" w:ascii="仿宋" w:hAnsi="仿宋" w:eastAsia="仿宋" w:cs="仿宋"/>
          <w:b/>
          <w:bCs w:val="0"/>
          <w:color w:val="auto"/>
          <w:w w:val="75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auto"/>
          <w:w w:val="66"/>
          <w:sz w:val="44"/>
          <w:szCs w:val="44"/>
        </w:rPr>
        <w:t>泸溪县柑橘产业社会化服务整县试点项目</w:t>
      </w:r>
      <w:r>
        <w:rPr>
          <w:rFonts w:hint="eastAsia" w:ascii="仿宋" w:hAnsi="仿宋" w:eastAsia="仿宋" w:cs="仿宋"/>
          <w:b/>
          <w:bCs w:val="0"/>
          <w:color w:val="auto"/>
          <w:w w:val="66"/>
          <w:sz w:val="44"/>
          <w:szCs w:val="44"/>
          <w:lang w:eastAsia="zh-CN"/>
        </w:rPr>
        <w:t>资金</w:t>
      </w:r>
      <w:r>
        <w:rPr>
          <w:rFonts w:hint="eastAsia" w:ascii="仿宋" w:hAnsi="仿宋" w:eastAsia="仿宋" w:cs="仿宋"/>
          <w:b/>
          <w:bCs w:val="0"/>
          <w:color w:val="auto"/>
          <w:w w:val="66"/>
          <w:sz w:val="44"/>
          <w:szCs w:val="44"/>
        </w:rPr>
        <w:t>补</w:t>
      </w:r>
      <w:r>
        <w:rPr>
          <w:rFonts w:hint="eastAsia" w:ascii="仿宋" w:hAnsi="仿宋" w:eastAsia="仿宋" w:cs="仿宋"/>
          <w:b/>
          <w:bCs w:val="0"/>
          <w:color w:val="auto"/>
          <w:w w:val="66"/>
          <w:sz w:val="44"/>
          <w:szCs w:val="44"/>
          <w:lang w:eastAsia="zh-CN"/>
        </w:rPr>
        <w:t>助</w:t>
      </w:r>
      <w:r>
        <w:rPr>
          <w:rFonts w:hint="eastAsia" w:ascii="仿宋" w:hAnsi="仿宋" w:eastAsia="仿宋" w:cs="仿宋"/>
          <w:b/>
          <w:bCs w:val="0"/>
          <w:color w:val="auto"/>
          <w:w w:val="66"/>
          <w:sz w:val="44"/>
          <w:szCs w:val="44"/>
        </w:rPr>
        <w:t>申请表</w:t>
      </w:r>
      <w:r>
        <w:rPr>
          <w:rFonts w:hint="eastAsia" w:ascii="仿宋" w:hAnsi="仿宋" w:eastAsia="仿宋" w:cs="仿宋"/>
          <w:b/>
          <w:bCs w:val="0"/>
          <w:color w:val="auto"/>
          <w:w w:val="66"/>
          <w:sz w:val="44"/>
          <w:szCs w:val="44"/>
          <w:lang w:eastAsia="zh-CN"/>
        </w:rPr>
        <w:t>（样式）</w:t>
      </w:r>
    </w:p>
    <w:tbl>
      <w:tblPr>
        <w:tblStyle w:val="4"/>
        <w:tblW w:w="90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657"/>
        <w:gridCol w:w="1121"/>
        <w:gridCol w:w="26"/>
        <w:gridCol w:w="585"/>
        <w:gridCol w:w="1214"/>
        <w:gridCol w:w="578"/>
        <w:gridCol w:w="2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主体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名称</w:t>
            </w:r>
          </w:p>
        </w:tc>
        <w:tc>
          <w:tcPr>
            <w:tcW w:w="28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社会信用代码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法定代表人</w:t>
            </w:r>
          </w:p>
        </w:tc>
        <w:tc>
          <w:tcPr>
            <w:tcW w:w="28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28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开户行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注册地址</w:t>
            </w:r>
          </w:p>
        </w:tc>
        <w:tc>
          <w:tcPr>
            <w:tcW w:w="7313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05" w:type="dxa"/>
            <w:tcBorders>
              <w:top w:val="double" w:color="auto" w:sz="6" w:space="0"/>
              <w:right w:val="double" w:color="000000" w:sz="6" w:space="0"/>
            </w:tcBorders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环节</w:t>
            </w:r>
          </w:p>
        </w:tc>
        <w:tc>
          <w:tcPr>
            <w:tcW w:w="1657" w:type="dxa"/>
            <w:tcBorders>
              <w:top w:val="double" w:color="auto" w:sz="6" w:space="0"/>
              <w:left w:val="doub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面积</w:t>
            </w:r>
          </w:p>
        </w:tc>
        <w:tc>
          <w:tcPr>
            <w:tcW w:w="1732" w:type="dxa"/>
            <w:gridSpan w:val="3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标准</w:t>
            </w:r>
          </w:p>
        </w:tc>
        <w:tc>
          <w:tcPr>
            <w:tcW w:w="1792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金额</w:t>
            </w:r>
          </w:p>
        </w:tc>
        <w:tc>
          <w:tcPr>
            <w:tcW w:w="213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5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5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5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018" w:type="dxa"/>
            <w:gridSpan w:val="8"/>
            <w:tcBorders>
              <w:top w:val="doub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申请承诺书</w:t>
            </w:r>
          </w:p>
          <w:p>
            <w:pPr>
              <w:spacing w:before="156" w:beforeLines="50" w:after="156" w:afterLines="50" w:line="28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我知晓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w w:val="80"/>
                <w:sz w:val="24"/>
                <w:szCs w:val="24"/>
              </w:rPr>
              <w:t>泸溪县柑橘产业社会化服务整县试点项目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补助有关规定，已按要求开展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了相关环节的社会化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服务，所提供资料、传输信息、填写的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补助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面积等数据真实准确，现申请拨付服务补助资金。若违反相关规定，自行承担相应责任。</w:t>
            </w:r>
          </w:p>
          <w:p>
            <w:pPr>
              <w:spacing w:before="156" w:beforeLines="50" w:after="156" w:afterLines="50" w:line="280" w:lineRule="exact"/>
              <w:ind w:firstLine="2880" w:firstLineChars="12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承诺人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主体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9018" w:type="dxa"/>
            <w:gridSpan w:val="8"/>
            <w:tcBorders>
              <w:top w:val="doub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乡镇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农业综合服务中心工程技术人员和农经专干意见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>
            <w:pPr>
              <w:spacing w:before="156" w:beforeLines="50" w:after="156" w:afterLines="50" w:line="2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before="156" w:beforeLines="50" w:after="156" w:afterLines="50"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</w:t>
            </w:r>
          </w:p>
          <w:p>
            <w:pPr>
              <w:spacing w:before="156" w:beforeLines="50" w:after="156" w:afterLines="50" w:line="280" w:lineRule="exact"/>
              <w:ind w:firstLine="1680" w:firstLineChars="70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  <w:p>
            <w:pPr>
              <w:spacing w:before="156" w:beforeLines="50" w:after="156" w:afterLines="50" w:line="280" w:lineRule="exact"/>
              <w:ind w:firstLine="2880" w:firstLineChars="1200"/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乡镇负责人签字（盖章）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   </w:t>
            </w:r>
          </w:p>
          <w:p>
            <w:pPr>
              <w:spacing w:before="156" w:beforeLines="50" w:after="156" w:afterLines="50" w:line="280" w:lineRule="exact"/>
              <w:ind w:firstLine="4080" w:firstLineChars="1700"/>
              <w:rPr>
                <w:rFonts w:hint="default" w:ascii="仿宋" w:hAnsi="仿宋" w:eastAsia="仿宋" w:cs="仿宋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val="en-US" w:eastAsia="zh-CN"/>
              </w:rPr>
              <w:t>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4483" w:type="dxa"/>
            <w:gridSpan w:val="3"/>
            <w:tcBorders>
              <w:top w:val="double" w:color="auto" w:sz="6" w:space="0"/>
              <w:right w:val="double" w:color="000000" w:sz="6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县农业农村局财务负责人意见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>
            <w:pPr>
              <w:spacing w:before="156" w:beforeLines="50" w:after="156" w:afterLines="50"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before="156" w:beforeLines="50" w:after="156" w:afterLines="50" w:line="280" w:lineRule="exact"/>
              <w:ind w:firstLine="1440" w:firstLineChars="600"/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  </w:t>
            </w:r>
          </w:p>
          <w:p>
            <w:pPr>
              <w:spacing w:before="156" w:beforeLines="50" w:after="156" w:afterLines="50" w:line="280" w:lineRule="exact"/>
              <w:rPr>
                <w:rFonts w:hint="default" w:ascii="仿宋" w:hAnsi="仿宋" w:eastAsia="仿宋" w:cs="仿宋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val="en-US" w:eastAsia="zh-CN"/>
              </w:rPr>
              <w:t xml:space="preserve">   </w:t>
            </w:r>
          </w:p>
          <w:p>
            <w:pPr>
              <w:spacing w:before="156" w:beforeLines="50" w:after="156" w:afterLines="50" w:line="280" w:lineRule="exact"/>
              <w:ind w:firstLine="2160" w:firstLineChars="900"/>
              <w:rPr>
                <w:rFonts w:hint="eastAsia" w:ascii="仿宋" w:hAnsi="仿宋" w:eastAsia="仿宋" w:cs="仿宋"/>
                <w:color w:val="auto"/>
                <w:sz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  <w:t>日</w:t>
            </w:r>
          </w:p>
        </w:tc>
        <w:tc>
          <w:tcPr>
            <w:tcW w:w="4535" w:type="dxa"/>
            <w:gridSpan w:val="5"/>
            <w:tcBorders>
              <w:top w:val="double" w:color="auto" w:sz="6" w:space="0"/>
              <w:left w:val="double" w:color="000000" w:sz="6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县农业农村局主要领导意见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>
            <w:pPr>
              <w:spacing w:before="156" w:beforeLines="50" w:after="156" w:afterLines="50" w:line="28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before="156" w:beforeLines="50" w:after="156" w:afterLines="50" w:line="280" w:lineRule="exact"/>
              <w:ind w:firstLine="1680" w:firstLineChars="700"/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  </w:t>
            </w:r>
          </w:p>
          <w:p>
            <w:pPr>
              <w:spacing w:before="156" w:beforeLines="50" w:after="156" w:afterLines="50" w:line="280" w:lineRule="exact"/>
              <w:rPr>
                <w:rFonts w:hint="default" w:ascii="仿宋" w:hAnsi="仿宋" w:eastAsia="仿宋" w:cs="仿宋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val="en-US" w:eastAsia="zh-CN"/>
              </w:rPr>
              <w:t xml:space="preserve">   </w:t>
            </w:r>
          </w:p>
          <w:p>
            <w:pPr>
              <w:spacing w:before="156" w:beforeLines="50" w:after="156" w:afterLines="50" w:line="280" w:lineRule="exact"/>
              <w:ind w:firstLine="1680" w:firstLineChars="7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 xml:space="preserve">   </w:t>
            </w:r>
          </w:p>
        </w:tc>
      </w:tr>
    </w:tbl>
    <w:p>
      <w:pPr>
        <w:spacing w:line="280" w:lineRule="exact"/>
        <w:ind w:firstLine="480" w:firstLineChars="200"/>
        <w:rPr>
          <w:rFonts w:hint="eastAsia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补助</w:t>
      </w:r>
      <w:r>
        <w:rPr>
          <w:rFonts w:hint="eastAsia" w:ascii="仿宋" w:hAnsi="仿宋" w:eastAsia="仿宋" w:cs="仿宋"/>
          <w:color w:val="auto"/>
          <w:sz w:val="24"/>
        </w:rPr>
        <w:t>申请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表面积须与</w:t>
      </w:r>
      <w:r>
        <w:rPr>
          <w:rFonts w:hint="eastAsia" w:ascii="仿宋" w:hAnsi="仿宋" w:eastAsia="仿宋" w:cs="仿宋"/>
          <w:color w:val="auto"/>
          <w:sz w:val="24"/>
        </w:rPr>
        <w:t>经核验过的服务面积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一致。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泸溪县柑橘产业社会化服务整县试点项目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资金补助正式发票复印件</w:t>
      </w: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  <w:sectPr>
          <w:pgSz w:w="11906" w:h="16838"/>
          <w:pgMar w:top="1871" w:right="1361" w:bottom="1984" w:left="1531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XX服务组织（合作社、公司）相关证照复印件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XXX服务组织（合作社、公司）法人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身份证正反两面复印件</w:t>
      </w: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XXX服务组织（合作社、公司）银行账号</w:t>
      </w: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both"/>
        <w:rPr>
          <w:rFonts w:hint="eastAsia" w:eastAsia="方正小标宋简体"/>
          <w:color w:val="auto"/>
          <w:sz w:val="36"/>
          <w:szCs w:val="36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2"/>
          <w:szCs w:val="32"/>
          <w:lang w:val="en-US" w:eastAsia="zh-CN"/>
        </w:rPr>
      </w:pPr>
    </w:p>
    <w:p>
      <w:pPr>
        <w:spacing w:before="156" w:beforeLines="50" w:after="156" w:afterLines="50" w:line="400" w:lineRule="exact"/>
        <w:jc w:val="center"/>
        <w:rPr>
          <w:rFonts w:hint="eastAsia" w:eastAsia="方正小标宋简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泸溪县柑橘产业社会化服务整县试点项目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作业前、中、后图片（彩色）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sectPr>
          <w:pgSz w:w="11906" w:h="16838"/>
          <w:pgMar w:top="1871" w:right="1361" w:bottom="1984" w:left="1531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泸溪县柑橘产业社会化服务整县试点项目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ＸＸ环节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  <w:t>公示照片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XX服务组织（合作社、公司）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val="en-US" w:eastAsia="zh-CN"/>
        </w:rPr>
        <w:t>XX环节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  <w:t>向橘农收取服务费用原始凭证复印件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泸溪县柑橘产业社会化服务整县试点项目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无人机病虫害防控环节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服务主体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法定代表人：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住址：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服务对象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　　住址：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乡（镇）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为了带领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农发展现代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，促进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橘农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适度规模经营，通过引导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农广泛接受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托管、技术服务等低成本、便利化、全方位社会化服务，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规模化、集约化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、标准化、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绿色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化柑橘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，着力提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升柑橘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综合效益和市场竞争力，促进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绿色发展和资源可持续利用，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泸溪县经作（柑橘）产业社会化服务整县试点项目实施方案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协商，签订以下服务合同：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服务时间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日开始至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日结束。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" w:hAnsi="仿宋" w:eastAsia="仿宋" w:cs="仿宋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对柑橘（花期与果实采收期除外）进行无人机病虫害综合防治，主要防治的病害有：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 　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 　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 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等；主要防治的虫害有：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 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 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 　</w:t>
      </w:r>
      <w:r>
        <w:rPr>
          <w:rFonts w:hint="eastAsia" w:ascii="仿宋" w:hAnsi="仿宋" w:eastAsia="仿宋" w:cs="仿宋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（一）无人机施药。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飞防要综合考虑气象（风速、风向、光照、温湿度）、等高线因素，当风速≥3m/s，降低作业高度、增加飞防助剂；风速≥5m/s时，停止作业。在山地飞行高度≤10m，设置飞行行线沿等高线或单株定点进行喷施，防止重、漏喷。分冬、春季节进行，按NY/T3213——2018要求进行喷雾作业。飞防期间禁止人畜进入作业区域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（二）药物防治。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药剂使用严格按NY/T 393的规定执行，确保低毒高效。农药施用原则：开花至果实成熟采收期，严禁施药。病虫发生量在防治指标以下不施药。施药应严格控制安全间隔期、施药量和施药次数。病虫害药物药剂使用按照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柑橘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病虫害发生情况配制，并在技术指导组指导下配药飞防。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无人机病虫害综合防治效果达到80%以上。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四、收费</w:t>
      </w:r>
      <w:r>
        <w:rPr>
          <w:rFonts w:hint="eastAsia" w:ascii="黑体" w:hAnsi="黑体" w:eastAsia="黑体" w:cs="黑体"/>
          <w:b w:val="0"/>
          <w:bCs w:val="0"/>
          <w:color w:val="auto"/>
          <w:kern w:val="1"/>
          <w:sz w:val="32"/>
          <w:szCs w:val="32"/>
          <w:shd w:val="clear" w:color="auto" w:fill="FFFFFF"/>
          <w:lang w:eastAsia="zh-CN"/>
        </w:rPr>
        <w:t>价格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及收费金额</w:t>
      </w:r>
    </w:p>
    <w:p>
      <w:pPr>
        <w:ind w:firstLine="65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1、项目补助金额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无人机病虫害防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控环节，当地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价格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80.00元/亩（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</w:rPr>
        <w:t>包括药剂、溶解药剂、无人机使用费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、人工费等费用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），项目补助标准为30.00元/亩，补助资金直接补助给服务组织。</w:t>
      </w:r>
    </w:p>
    <w:p>
      <w:pPr>
        <w:ind w:firstLine="651"/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shd w:val="clear" w:color="auto" w:fill="FFFFFF"/>
          <w:lang w:eastAsia="zh-CN"/>
        </w:rPr>
        <w:t>组织向橘农收取服务费价格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　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组织在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无人机病虫害防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控环节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橘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农收取服务费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用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每亩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补助标准的50%让利给橘农，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每亩收费价格为当地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市场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价格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减去项目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补助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标准让利给橘农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的50%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部分后的价格，即向橘农收取服务费价格为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陆拾伍（65.00）元/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亩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ind w:firstLine="651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3、橘农向服务组织缴纳服务费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服务组织与橘农协议作业面积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　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亩，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收费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价格为陆拾伍（65.00）元/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亩，橘农向服务组织缴纳服务费用金额为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FF"/>
          <w:lang w:eastAsia="zh-CN"/>
        </w:rPr>
        <w:t>　　　　　　　　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（大小写）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FF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。服务组织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实际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作业面积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以质量验收合格的作业面积为准。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五、质检验收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无人机病虫害综合防治服务</w:t>
      </w:r>
      <w:r>
        <w:rPr>
          <w:rFonts w:hint="eastAsia" w:ascii="仿宋" w:hAnsi="仿宋" w:eastAsia="仿宋" w:cs="仿宋"/>
          <w:sz w:val="32"/>
          <w:szCs w:val="32"/>
        </w:rPr>
        <w:t>作业完成后，服务组织、服务对象与质检员检验确认服务数量和质量，填写《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泸溪县柑橘产业</w:t>
      </w:r>
      <w:r>
        <w:rPr>
          <w:rFonts w:hint="eastAsia" w:ascii="仿宋" w:hAnsi="仿宋" w:eastAsia="仿宋" w:cs="仿宋"/>
          <w:sz w:val="32"/>
          <w:szCs w:val="32"/>
        </w:rPr>
        <w:t>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到户</w:t>
      </w:r>
      <w:r>
        <w:rPr>
          <w:rFonts w:hint="eastAsia" w:ascii="仿宋" w:hAnsi="仿宋" w:eastAsia="仿宋" w:cs="仿宋"/>
          <w:sz w:val="32"/>
          <w:szCs w:val="32"/>
        </w:rPr>
        <w:t>作业单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助到服务组织</w:t>
      </w:r>
      <w:r>
        <w:rPr>
          <w:rFonts w:hint="eastAsia" w:ascii="仿宋" w:hAnsi="仿宋" w:eastAsia="仿宋" w:cs="仿宋"/>
          <w:sz w:val="32"/>
          <w:szCs w:val="32"/>
        </w:rPr>
        <w:t>核算表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助到橘农</w:t>
      </w:r>
      <w:r>
        <w:rPr>
          <w:rFonts w:hint="eastAsia" w:ascii="仿宋" w:hAnsi="仿宋" w:eastAsia="仿宋" w:cs="仿宋"/>
          <w:sz w:val="32"/>
          <w:szCs w:val="32"/>
        </w:rPr>
        <w:t>核算表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农自愿将</w:t>
      </w:r>
      <w:r>
        <w:rPr>
          <w:rFonts w:hint="eastAsia" w:ascii="仿宋" w:hAnsi="仿宋" w:eastAsia="仿宋" w:cs="仿宋"/>
          <w:sz w:val="32"/>
          <w:szCs w:val="32"/>
        </w:rPr>
        <w:t>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抵交给服务组织结算表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并加盖相关公章，经乡镇政府审核后报县</w:t>
      </w:r>
      <w:r>
        <w:rPr>
          <w:rFonts w:hint="eastAsia" w:ascii="仿宋" w:hAnsi="仿宋" w:eastAsia="仿宋" w:cs="仿宋"/>
          <w:sz w:val="32"/>
          <w:szCs w:val="32"/>
        </w:rPr>
        <w:t>柑橘产业社会化服务项目实施工作领导小组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办公室（设县农业农村局）。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六、双方权利与义务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甲方按合同约定，及时为乙方提供相关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无人机病虫害综合防治作业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服务，作业服务由乙方确定时间后提前5天通知甲方。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甲方应按照双方协商的服务质量标准提供服务，乙方有权监督甲方完成约定的服务数量和质量。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为保障甲方顺利开展服务，乙方应为甲方提供便利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条件，并在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服务结束后，及时向甲方缴纳服务费用并在《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柑橘产业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社会化服务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作业单》上签名认定。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（四）甲方应在双方约定的时间内完成无人机病虫害综合防治作业服务。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（五）甲方负责作业期间的安全生产工作，发生安全生产事故由甲方全部负责，与乙方无关。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七、违约责任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（一）签订服务合同后，其中一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方违约给对方造成经济损失的，由违约方全额赔偿；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违约方拒不赔偿的，守约方可以诉诸法律。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因不可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抗拒因素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造成本合同无法履行的，双方不承担违约责任。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其他事项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本合同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两份，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甲乙双方各执一份，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自签字之日起生效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（二）本合同未尽事宜，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双方协商解决。协商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未果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的由辖区村支两委、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乡镇人民政府调解处理。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以上合同条款，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签订双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方共同遵守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甲方（盖章）：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（盖手印）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泸溪县柑橘产业社会化服务整县试点项目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测土配方施肥环节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甲方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法定代表人：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住址：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乙方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服务对象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　　住址：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组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为了带领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橘</w:t>
      </w:r>
      <w:r>
        <w:rPr>
          <w:rFonts w:hint="eastAsia" w:ascii="仿宋" w:hAnsi="仿宋" w:eastAsia="仿宋" w:cs="仿宋"/>
          <w:sz w:val="32"/>
          <w:szCs w:val="32"/>
        </w:rPr>
        <w:t>农发展现代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柑橘产业</w:t>
      </w:r>
      <w:r>
        <w:rPr>
          <w:rFonts w:hint="eastAsia" w:ascii="仿宋" w:hAnsi="仿宋" w:eastAsia="仿宋" w:cs="仿宋"/>
          <w:sz w:val="32"/>
          <w:szCs w:val="32"/>
        </w:rPr>
        <w:t>，促进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橘农</w:t>
      </w:r>
      <w:r>
        <w:rPr>
          <w:rFonts w:hint="eastAsia" w:ascii="仿宋" w:hAnsi="仿宋" w:eastAsia="仿宋" w:cs="仿宋"/>
          <w:sz w:val="32"/>
          <w:szCs w:val="32"/>
        </w:rPr>
        <w:t>适度规模经营，通过引导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橘</w:t>
      </w:r>
      <w:r>
        <w:rPr>
          <w:rFonts w:hint="eastAsia" w:ascii="仿宋" w:hAnsi="仿宋" w:eastAsia="仿宋" w:cs="仿宋"/>
          <w:sz w:val="32"/>
          <w:szCs w:val="32"/>
        </w:rPr>
        <w:t>农广泛接受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柑橘产业</w:t>
      </w:r>
      <w:r>
        <w:rPr>
          <w:rFonts w:hint="eastAsia" w:ascii="仿宋" w:hAnsi="仿宋" w:eastAsia="仿宋" w:cs="仿宋"/>
          <w:sz w:val="32"/>
          <w:szCs w:val="32"/>
        </w:rPr>
        <w:t>托管、技术服务等低成本、便利化、全方位社会化服务，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</w:rPr>
        <w:t>规模化、集约化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、标准化</w:t>
      </w:r>
      <w:r>
        <w:rPr>
          <w:rFonts w:hint="eastAsia" w:ascii="仿宋" w:hAnsi="仿宋" w:eastAsia="仿宋" w:cs="仿宋"/>
          <w:sz w:val="32"/>
          <w:szCs w:val="32"/>
        </w:rPr>
        <w:t>绿色高效现代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柑橘产业发展</w:t>
      </w:r>
      <w:r>
        <w:rPr>
          <w:rFonts w:hint="eastAsia" w:ascii="仿宋" w:hAnsi="仿宋" w:eastAsia="仿宋" w:cs="仿宋"/>
          <w:sz w:val="32"/>
          <w:szCs w:val="32"/>
        </w:rPr>
        <w:t>，着力提高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柑橘</w:t>
      </w:r>
      <w:r>
        <w:rPr>
          <w:rFonts w:hint="eastAsia" w:ascii="仿宋" w:hAnsi="仿宋" w:eastAsia="仿宋" w:cs="仿宋"/>
          <w:sz w:val="32"/>
          <w:szCs w:val="32"/>
        </w:rPr>
        <w:t>综合效益和市场竞争力，促进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柑橘产业</w:t>
      </w:r>
      <w:r>
        <w:rPr>
          <w:rFonts w:hint="eastAsia" w:ascii="仿宋" w:hAnsi="仿宋" w:eastAsia="仿宋" w:cs="仿宋"/>
          <w:sz w:val="32"/>
          <w:szCs w:val="32"/>
        </w:rPr>
        <w:t>绿色发展和资源可持续利用，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</w:rPr>
        <w:t>泸溪县经作（柑橘）产业社会化服务整县试点项目实施方案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》要求，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双方</w:t>
      </w:r>
      <w:r>
        <w:rPr>
          <w:rFonts w:hint="eastAsia" w:ascii="仿宋" w:hAnsi="仿宋" w:eastAsia="仿宋" w:cs="仿宋"/>
          <w:sz w:val="32"/>
          <w:szCs w:val="32"/>
        </w:rPr>
        <w:t>协商，签订以下服务合同：</w:t>
      </w:r>
    </w:p>
    <w:p>
      <w:pPr>
        <w:pStyle w:val="8"/>
        <w:keepNext w:val="0"/>
        <w:keepLines w:val="0"/>
        <w:pageBreakBefore w:val="0"/>
        <w:widowControl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一、服务时间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日开始至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日结束。</w:t>
      </w:r>
    </w:p>
    <w:p>
      <w:pPr>
        <w:pStyle w:val="8"/>
        <w:keepNext w:val="0"/>
        <w:keepLines w:val="0"/>
        <w:pageBreakBefore w:val="0"/>
        <w:widowControl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二、服务内容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（一）施肥指导意见　由甲方按照《中共泸溪县委农村工作领导小组办公室关于印发〈泸溪县2023－2025年主要农作物科学施肥指导意见〉的通知》（泸农组办发〔2023〕12号）免费为乙方柑橘林地提供施肥指导意见，科学配方施肥。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（二）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人工施基肥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推荐14-16-15 (N-P205-K20) 或相近配方。在上年11月份采果后，按推荐施用量将100%的有机肥、80%的磷肥和35%的氮、钾肥作基肥一次性深施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20cm以上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施用后覆土。</w:t>
      </w:r>
    </w:p>
    <w:p>
      <w:pPr>
        <w:pStyle w:val="8"/>
        <w:keepNext w:val="0"/>
        <w:keepLines w:val="0"/>
        <w:pageBreakBefore w:val="0"/>
        <w:widowControl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作业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质量标准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（一）配方施基肥　按照《中共泸溪县委农村工作领导小组办公室关于印发〈泸溪县2023－2025年主要农作物科学施肥指导意见〉的通知》（泸农组办发〔2023〕12号）提供的配方意见，</w:t>
      </w: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配方</w:t>
      </w:r>
      <w:r>
        <w:rPr>
          <w:rFonts w:hint="eastAsia" w:ascii="仿宋" w:hAnsi="仿宋" w:eastAsia="仿宋" w:cs="仿宋"/>
          <w:sz w:val="32"/>
          <w:szCs w:val="32"/>
        </w:rPr>
        <w:t>14-16-15 (N-P205-K20) 或相近配方。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人工施基肥　</w:t>
      </w: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配方</w:t>
      </w:r>
      <w:r>
        <w:rPr>
          <w:rFonts w:hint="eastAsia" w:ascii="仿宋" w:hAnsi="仿宋" w:eastAsia="仿宋" w:cs="仿宋"/>
          <w:sz w:val="32"/>
          <w:szCs w:val="32"/>
        </w:rPr>
        <w:t>14-16-15 (N-P205-K20) 或相近配方。在上年11月份采果后，按推荐施用量将100%的有机肥、80%的磷肥和35%的氮、钾肥作基肥一次性深施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20cm以上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施用后覆土。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收费</w:t>
      </w:r>
      <w:r>
        <w:rPr>
          <w:rFonts w:hint="eastAsia" w:ascii="黑体" w:hAnsi="黑体" w:eastAsia="黑体" w:cs="黑体"/>
          <w:b w:val="0"/>
          <w:bCs w:val="0"/>
          <w:color w:val="0000FF"/>
          <w:kern w:val="1"/>
          <w:sz w:val="32"/>
          <w:szCs w:val="32"/>
          <w:shd w:val="clear" w:color="auto" w:fill="FFFFFF"/>
          <w:lang w:eastAsia="zh-CN"/>
        </w:rPr>
        <w:t>价格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及收费金额</w:t>
      </w:r>
    </w:p>
    <w:p>
      <w:pPr>
        <w:ind w:firstLine="65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1、项目补助金额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测土配方施肥环节，当地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价格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380.00元/亩（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</w:rPr>
        <w:t>包括专用有机配方肥料、人工费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eastAsia="zh-CN"/>
        </w:rPr>
        <w:t>、机械费等费用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），项目补助标准为135.00元/亩，补助资金直接补助给服务组织。</w:t>
      </w:r>
    </w:p>
    <w:p>
      <w:pPr>
        <w:ind w:firstLine="651"/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shd w:val="clear" w:color="auto" w:fill="FFFFFF"/>
          <w:lang w:eastAsia="zh-CN"/>
        </w:rPr>
        <w:t>组织向橘农收取服务费价格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　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组织在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测土配方施肥环节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橘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农收取服务费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用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每亩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补助标准的50%让利给橘农，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每亩收费价格为当地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市场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价格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减去项目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补助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标准让利给橘农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的50%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部分后的价格，即向橘农收取服务费价格为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叁佰壹拾贰点伍（312.50）元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ind w:firstLine="651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3、橘农向服务组织缴纳服务费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服务组织与橘农协议作业面积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　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亩，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收费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价格为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叁佰壹拾贰点伍（312.50）元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亩，橘农向服务组织缴纳服务费用金额为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FF"/>
          <w:lang w:eastAsia="zh-CN"/>
        </w:rPr>
        <w:t>　　　　　　　　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（大小写）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FF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。服务组织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实际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作业面积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以质量验收合格的作业面积为准。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五、质检验收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测土配方施肥服务</w:t>
      </w:r>
      <w:r>
        <w:rPr>
          <w:rFonts w:hint="eastAsia" w:ascii="仿宋" w:hAnsi="仿宋" w:eastAsia="仿宋" w:cs="仿宋"/>
          <w:sz w:val="32"/>
          <w:szCs w:val="32"/>
        </w:rPr>
        <w:t>作业完成后，服务组织、服务对象与质检员检验确认服务数量和质量，填写《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泸溪县柑橘产业</w:t>
      </w:r>
      <w:r>
        <w:rPr>
          <w:rFonts w:hint="eastAsia" w:ascii="仿宋" w:hAnsi="仿宋" w:eastAsia="仿宋" w:cs="仿宋"/>
          <w:sz w:val="32"/>
          <w:szCs w:val="32"/>
        </w:rPr>
        <w:t>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到户</w:t>
      </w:r>
      <w:r>
        <w:rPr>
          <w:rFonts w:hint="eastAsia" w:ascii="仿宋" w:hAnsi="仿宋" w:eastAsia="仿宋" w:cs="仿宋"/>
          <w:sz w:val="32"/>
          <w:szCs w:val="32"/>
        </w:rPr>
        <w:t>作业单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助到服务组织</w:t>
      </w:r>
      <w:r>
        <w:rPr>
          <w:rFonts w:hint="eastAsia" w:ascii="仿宋" w:hAnsi="仿宋" w:eastAsia="仿宋" w:cs="仿宋"/>
          <w:sz w:val="32"/>
          <w:szCs w:val="32"/>
        </w:rPr>
        <w:t>核算表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助到橘农</w:t>
      </w:r>
      <w:r>
        <w:rPr>
          <w:rFonts w:hint="eastAsia" w:ascii="仿宋" w:hAnsi="仿宋" w:eastAsia="仿宋" w:cs="仿宋"/>
          <w:sz w:val="32"/>
          <w:szCs w:val="32"/>
        </w:rPr>
        <w:t>核算表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农自愿将</w:t>
      </w:r>
      <w:r>
        <w:rPr>
          <w:rFonts w:hint="eastAsia" w:ascii="仿宋" w:hAnsi="仿宋" w:eastAsia="仿宋" w:cs="仿宋"/>
          <w:sz w:val="32"/>
          <w:szCs w:val="32"/>
        </w:rPr>
        <w:t>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抵交给服务组织结算表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并加盖相关公章，经乡镇政府审核后报县</w:t>
      </w:r>
      <w:r>
        <w:rPr>
          <w:rFonts w:hint="eastAsia" w:ascii="仿宋" w:hAnsi="仿宋" w:eastAsia="仿宋" w:cs="仿宋"/>
          <w:sz w:val="32"/>
          <w:szCs w:val="32"/>
        </w:rPr>
        <w:t>柑橘产业社会化服务项目实施工作领导小组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办公室（设县农业农村局）。</w:t>
      </w:r>
    </w:p>
    <w:p>
      <w:pPr>
        <w:pStyle w:val="8"/>
        <w:keepNext w:val="0"/>
        <w:keepLines w:val="0"/>
        <w:pageBreakBefore w:val="0"/>
        <w:widowControl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六、双方权利与义务</w:t>
      </w:r>
    </w:p>
    <w:p>
      <w:pPr>
        <w:pStyle w:val="8"/>
        <w:keepNext w:val="0"/>
        <w:keepLines w:val="0"/>
        <w:pageBreakBefore w:val="0"/>
        <w:widowControl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甲方按合同约定，及时为乙方提供相关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配方施肥作业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服务，作业服务由乙方确定时间后提前5天通知甲方。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甲方应按照双方协商的服务质量标准提供服务，乙方有权监督甲方完成约定的服务数量和质量。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为保障甲方顺利开展服务，乙方应为甲方提供便利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条件，并在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服务结束后，及时向甲方缴纳服务费用并在《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社会化服务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到户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作业单》上签名认定。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（四）甲方应在双方约定的时间内完成配方施肥作业服务。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（五）甲方负责作业期间的安全生产工作，发生安全生产事故由甲方全部负责，与乙方无关。</w:t>
      </w:r>
    </w:p>
    <w:p>
      <w:pPr>
        <w:pStyle w:val="8"/>
        <w:keepNext w:val="0"/>
        <w:keepLines w:val="0"/>
        <w:pageBreakBefore w:val="0"/>
        <w:widowControl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七、违约责任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（一）签订服务合同后，其中一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方违约给对方造成经济损失的，由违约方全额赔偿；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违约方拒不赔偿的，履约方可以诉诸法律。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因不可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抗力因素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造成本合同无法履行的，双方不承担违约责任。</w:t>
      </w:r>
    </w:p>
    <w:p>
      <w:pPr>
        <w:pStyle w:val="8"/>
        <w:keepNext w:val="0"/>
        <w:keepLines w:val="0"/>
        <w:pageBreakBefore w:val="0"/>
        <w:widowControl/>
        <w:tabs>
          <w:tab w:val="left" w:pos="40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八、其它事项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本合同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两份，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甲乙双方各执一份，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自签字之日起生效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（二）本合同未尽事宜，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双方协商解决。协商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未果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的由辖区村支两委、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乡镇人民政府调解处理。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以上合同条款，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签订双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方共同遵守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甲方（盖章）：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乙方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（盖手印）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代表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联系电话：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联系电话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  月 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泸溪县柑橘产业社会化服务整县试点项目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修剪环节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甲方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代表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住址：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乙方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服务对象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　　住址：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 xml:space="preserve"> 村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 xml:space="preserve"> 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为了带领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农发展现代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，促进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橘农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适度规模经营，通过引导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农广泛接受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托管、技术服务等低成本、便利化、全方位社会化服务，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规模化、集约化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、标准化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绿色高效现代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柑橘产业发展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，着力提高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柑橘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综合效益和市场竞争力，促进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绿色发展和资源可持续利用，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泸溪县经作（柑橘）产业社会化服务整县试点项目实施方案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协商，签订以下服务合同：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服务时间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日开始至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日结束。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服务内容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6"/>
          <w:kern w:val="2"/>
          <w:sz w:val="32"/>
          <w:szCs w:val="32"/>
          <w:lang w:val="en-US" w:eastAsia="zh-CN" w:bidi="ar-SA"/>
        </w:rPr>
        <w:t>对农户粗放经营管理的柑橘树进行修剪，增强分蘖，提升品质和种植效益。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作业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原则：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一、低干矮冠；二、因树制宜，灵活修剪；三、通风透光、立体挂果；四、轻剪保叶。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方法：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一、短截；二、疏剪；三、回缩；四、抹芽、疏梢和放梢；五、摘心。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时期：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一、休眠期修剪（冬季修剪）；二、生长期修剪  1、春季修剪（花前复剪），对冬季修剪的补充，调节花量；2、夏季修剪，5--7月进行，幼树主在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整形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，成年树主要控制枝梢徒长，促进果实生长发育；3、秋季修剪，8--10月进行，主要疏除密弱枝、位置不当枝，疏除小、病、畸形等果实。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技术措施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一、幼树。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1、短截延长枝，剪去主枝、副主枝等延长枝顶端部分密集芽，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膛、下部枝梢尽量不剪。2、摘除花蕾，未达投产期幼树，摘除花蕾、幼果促进枝梢生长，扩大树冠，对投产的幼树，抹除下梢保果。3、疏剪无用枝，剪除病虫枝、扰乱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树形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的徒长枝、交叉枝、重叠枝。4、抹芽放梢摘心，春梢打顶使其生长充实，夏梢摘心，（主枝30cm、其它20cm）、放整齐秋梢（20cm），可多次放促树冠平衡。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二、成年树。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3--4月主枝“开天窗”，修除中央密蔽大枝、交叉枝，保留主枝3--4个，将树冠控制在2.5米左右。2、侧枝回缩1--3根密侧生大枝“开侧窗”，使树冠达到小空大不空，呈凹凸形。3、回缩行间交叉枝。4、剪除枯枝、病虫枝、交叉枝、退化枝、过密纤细枝，徒长枝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三、衰老树。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1、轮换更新，对部分枝条衰老的树进行轮流短截重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剪，确保一定产量。2、露骨更新，对很少结果或不结果的衰老树，在树冠外围将枝条粗度为2--3cm处短截，或1--2年生侧枝全部剪除，保留骨干枝基部。3、主枝更新，对衰老较严重的树、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树形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过高、冻害或病虫害严重的树，在离主枝基部70--100cm处锯断，更新主干。树冠更新后管理需做好：1、防晒；2、适当疏芽；3、加强肥、水供应和病虫防治。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四、收费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1"/>
          <w:sz w:val="32"/>
          <w:szCs w:val="32"/>
          <w:shd w:val="clear" w:color="auto" w:fill="FFFFFF"/>
          <w:lang w:eastAsia="zh-CN"/>
        </w:rPr>
        <w:t>价格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及收费金额</w:t>
      </w:r>
    </w:p>
    <w:p>
      <w:pPr>
        <w:ind w:firstLine="65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1、项目补助金额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修剪环节，当地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价格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320元/亩，项目补助金额为110.00元/亩，补助资金直接补助给服务组织。</w:t>
      </w:r>
    </w:p>
    <w:p>
      <w:pPr>
        <w:ind w:firstLine="651"/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shd w:val="clear" w:color="auto" w:fill="FFFFFF"/>
          <w:lang w:eastAsia="zh-CN"/>
        </w:rPr>
        <w:t>组织向橘农收取服务费价格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　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组织在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修剪环节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橘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农收取服务费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用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每亩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补助标准的50%让利给橘农，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每亩收费价格为当地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市场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公允指导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价格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减去项目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</w:rPr>
        <w:t>补助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标准让利给橘农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的50%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部分后的价格，即向橘农收取服务费价格为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贰佰陆拾伍（265.00）元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ind w:firstLine="651"/>
        <w:rPr>
          <w:rFonts w:hint="eastAsia" w:ascii="仿宋" w:hAnsi="仿宋" w:eastAsia="仿宋" w:cs="仿宋"/>
          <w:color w:val="auto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3、橘农向服务组织缴纳服务费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服务组织与橘农协议作业面积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　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亩，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eastAsia="zh-CN"/>
        </w:rPr>
        <w:t>收费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价格为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贰佰陆拾伍（265.00）元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亩，橘农向服务组织缴纳服务费用金额为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FF"/>
          <w:lang w:eastAsia="zh-CN"/>
        </w:rPr>
        <w:t>　　　　　　　　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（大小写）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FF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。服务组织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实际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作业面积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以质量验收合格的作业面积为准。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五、质检验收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修剪服务</w:t>
      </w:r>
      <w:r>
        <w:rPr>
          <w:rFonts w:hint="eastAsia" w:ascii="仿宋" w:hAnsi="仿宋" w:eastAsia="仿宋" w:cs="仿宋"/>
          <w:sz w:val="32"/>
          <w:szCs w:val="32"/>
        </w:rPr>
        <w:t>作业完成后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服务组织、服务对象与质检员检验确认服务数量和质量，填写《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泸溪县柑橘产业</w:t>
      </w:r>
      <w:r>
        <w:rPr>
          <w:rFonts w:hint="eastAsia" w:ascii="仿宋" w:hAnsi="仿宋" w:eastAsia="仿宋" w:cs="仿宋"/>
          <w:sz w:val="32"/>
          <w:szCs w:val="32"/>
        </w:rPr>
        <w:t>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到户</w:t>
      </w:r>
      <w:r>
        <w:rPr>
          <w:rFonts w:hint="eastAsia" w:ascii="仿宋" w:hAnsi="仿宋" w:eastAsia="仿宋" w:cs="仿宋"/>
          <w:sz w:val="32"/>
          <w:szCs w:val="32"/>
        </w:rPr>
        <w:t>作业单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助到服务组织</w:t>
      </w:r>
      <w:r>
        <w:rPr>
          <w:rFonts w:hint="eastAsia" w:ascii="仿宋" w:hAnsi="仿宋" w:eastAsia="仿宋" w:cs="仿宋"/>
          <w:sz w:val="32"/>
          <w:szCs w:val="32"/>
        </w:rPr>
        <w:t>核算表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泸溪县柑橘产业社会化服务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助到橘农</w:t>
      </w:r>
      <w:r>
        <w:rPr>
          <w:rFonts w:hint="eastAsia" w:ascii="仿宋" w:hAnsi="仿宋" w:eastAsia="仿宋" w:cs="仿宋"/>
          <w:sz w:val="32"/>
          <w:szCs w:val="32"/>
        </w:rPr>
        <w:t>核算表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农自愿将</w:t>
      </w:r>
      <w:r>
        <w:rPr>
          <w:rFonts w:hint="eastAsia" w:ascii="仿宋" w:hAnsi="仿宋" w:eastAsia="仿宋" w:cs="仿宋"/>
          <w:sz w:val="32"/>
          <w:szCs w:val="32"/>
        </w:rPr>
        <w:t>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抵交给服务组织结算表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并加盖相关公章，经乡镇政府审核后报县</w:t>
      </w:r>
      <w:r>
        <w:rPr>
          <w:rFonts w:hint="eastAsia" w:ascii="仿宋" w:hAnsi="仿宋" w:eastAsia="仿宋" w:cs="仿宋"/>
          <w:sz w:val="32"/>
          <w:szCs w:val="32"/>
        </w:rPr>
        <w:t>柑橘产业社会化服务项目实施工作领导小组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办公室（设县农业农村局）。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六、双方权利与义务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甲方按合同约定，及时为乙方提供相关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服务，作业服务由乙方确定时间后提前5天通知甲方。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甲方应按照双方协商的服务质量标准提供服务，乙方有权监督甲方完成约定的服务数量和质量。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为保障甲方顺利开展服务，乙方应为甲方提供便利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条件，并在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服务结束后，及时向甲方缴纳服务费并在《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社会化服务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到户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作业单》上签名认定。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（四）甲方应在双方约定的时间内完成产业作业服务。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（五）甲方负责作业期间的安全生产工作，发生安全生产事故由甲方全部负责，与乙方无关。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七、违约责任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（一）签订服务合同后，其中一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方违约给对方造成经济损失的，由违约方全额赔偿；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违约方拒不赔偿的，守约方可以诉诸法律。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因不可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抗拒因素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造成本合同无法履行的，双方不承担违约责任。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其他事项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本合同</w:t>
      </w:r>
      <w:r>
        <w:rPr>
          <w:rFonts w:hint="eastAsia" w:ascii="仿宋" w:hAnsi="仿宋" w:eastAsia="仿宋" w:cs="仿宋"/>
          <w:i w:val="0"/>
          <w:iCs w:val="0"/>
          <w:color w:val="auto"/>
          <w:spacing w:val="-6"/>
          <w:sz w:val="32"/>
          <w:szCs w:val="32"/>
          <w:u w:val="none"/>
          <w:lang w:eastAsia="zh-CN"/>
        </w:rPr>
        <w:t>一式</w:t>
      </w:r>
      <w:r>
        <w:rPr>
          <w:rFonts w:hint="eastAsia" w:ascii="仿宋" w:hAnsi="仿宋" w:eastAsia="仿宋" w:cs="仿宋"/>
          <w:i w:val="0"/>
          <w:iCs w:val="0"/>
          <w:color w:val="auto"/>
          <w:spacing w:val="-6"/>
          <w:sz w:val="32"/>
          <w:szCs w:val="32"/>
          <w:u w:val="none"/>
          <w:lang w:val="en-US" w:eastAsia="zh-CN"/>
        </w:rPr>
        <w:t>两份，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甲乙双方各执一份，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自签字之日起生效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.本合同未尽事宜，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双方协商解决。协商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未果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的由辖区村支两委、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乡镇人民政府调解处理。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以上合同条款，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签订双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方共同遵守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甲方（盖章）：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乙方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（盖手印）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代表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联系电话：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联系电话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>
      <w:pPr>
        <w:rPr>
          <w:color w:val="auto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6C112"/>
    <w:multiLevelType w:val="singleLevel"/>
    <w:tmpl w:val="2196C112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zJkNGFmOTkxZThhMWVmODIxMTc1YjNhYTNhNWMifQ=="/>
  </w:docVars>
  <w:rsids>
    <w:rsidRoot w:val="76E6281B"/>
    <w:rsid w:val="00C72106"/>
    <w:rsid w:val="049974DA"/>
    <w:rsid w:val="04C1379E"/>
    <w:rsid w:val="0ABC02E8"/>
    <w:rsid w:val="0C2947BC"/>
    <w:rsid w:val="0F8959CB"/>
    <w:rsid w:val="14C50C9C"/>
    <w:rsid w:val="1B4A0675"/>
    <w:rsid w:val="1F0844D7"/>
    <w:rsid w:val="20427645"/>
    <w:rsid w:val="237D6BE6"/>
    <w:rsid w:val="32456B21"/>
    <w:rsid w:val="34033A51"/>
    <w:rsid w:val="34C91C8B"/>
    <w:rsid w:val="35D5465E"/>
    <w:rsid w:val="37757EA8"/>
    <w:rsid w:val="389B393F"/>
    <w:rsid w:val="38B136BE"/>
    <w:rsid w:val="42E277B7"/>
    <w:rsid w:val="443F1622"/>
    <w:rsid w:val="4BF61160"/>
    <w:rsid w:val="4D6E11CA"/>
    <w:rsid w:val="50275404"/>
    <w:rsid w:val="51497E16"/>
    <w:rsid w:val="59C91EDB"/>
    <w:rsid w:val="5E231B5D"/>
    <w:rsid w:val="653B778C"/>
    <w:rsid w:val="681D62C7"/>
    <w:rsid w:val="68E343C2"/>
    <w:rsid w:val="6CD75754"/>
    <w:rsid w:val="74E959AA"/>
    <w:rsid w:val="76E6281B"/>
    <w:rsid w:val="77381D7D"/>
    <w:rsid w:val="7BE236FD"/>
    <w:rsid w:val="7DC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apple-converted-space"/>
    <w:basedOn w:val="5"/>
    <w:qFormat/>
    <w:uiPriority w:val="0"/>
    <w:rPr>
      <w:rFonts w:hint="default" w:ascii="Times New Roman" w:hAnsi="Times New Roman" w:cs="Times New Roman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7472</Words>
  <Characters>7790</Characters>
  <Lines>0</Lines>
  <Paragraphs>0</Paragraphs>
  <TotalTime>2</TotalTime>
  <ScaleCrop>false</ScaleCrop>
  <LinksUpToDate>false</LinksUpToDate>
  <CharactersWithSpaces>8862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2023-07-20T02:54:00Z</dcterms:created>
  <dc:creator>Administrator</dc:creator>
  <cp:lastModifiedBy>Ta</cp:lastModifiedBy>
  <dcterms:modified xsi:type="dcterms:W3CDTF">2023-08-14T01:46:36Z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D6E73BC66FBC4F03ADE656B317F00D27_11</vt:lpwstr>
  </property>
</Properties>
</file>