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无人机病虫害防控环节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服务主体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法定代表人：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住址：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服务对象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　　住址：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乡（镇）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为了带领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农发展现代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，促进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橘农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适度规模经营，通过引导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农广泛接受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托管、技术服务等低成本、便利化、全方位社会化服务，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规模化、集约化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、标准化、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绿色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化柑橘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，着力提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升柑橘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综合效益和市场竞争力，促进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绿色发展和资源可持续利用，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泸溪县经作（柑橘）产业社会化服务整县试点项目实施方案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协商，签订以下服务合同：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服务时间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日结束。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对柑橘（花期与果实采收期除外）进行无人机病虫害综合防治，主要防治的病害有：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 　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 　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等；主要防治的虫害有：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（一）无人机施药。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飞防要综合考虑气象（风速、风向、光照、温湿度）、等高线因素，当风速≥3m/s，降低作业高度、增加飞防助剂；风速≥5m/s时，停止作业。在山地飞行高度≤10m，设置飞行行线沿等高线或单株定点进行喷施，防止重、漏喷。分冬、春季节进行，按NY/T3213——2018要求进行喷雾作业。飞防期间禁止人畜进入作业区域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（二）药物防治。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药剂使用严格按NY/T 393的规定执行，确保低毒高效。农药施用原则：开花至果实成熟采收期，严禁施药。病虫发生量在防治指标以下不施药。施药应严格控制安全间隔期、施药量和施药次数。病虫害药物药剂使用按照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柑橘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病虫害发生情况配制，并在技术指导组指导下配药飞防。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无人机病虫害综合防治效果达到80%以上。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四、收费</w:t>
      </w:r>
      <w:r>
        <w:rPr>
          <w:rFonts w:hint="eastAsia" w:ascii="黑体" w:hAnsi="黑体" w:eastAsia="黑体" w:cs="黑体"/>
          <w:b w:val="0"/>
          <w:bCs w:val="0"/>
          <w:color w:val="auto"/>
          <w:kern w:val="1"/>
          <w:sz w:val="32"/>
          <w:szCs w:val="32"/>
          <w:shd w:val="clear" w:color="auto" w:fill="FFFFFF"/>
          <w:lang w:eastAsia="zh-CN"/>
        </w:rPr>
        <w:t>价格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及收费金额</w:t>
      </w:r>
    </w:p>
    <w:p>
      <w:pPr>
        <w:ind w:firstLine="65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1、项目补助金额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无人机病虫害防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控环节，当地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价格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80.00元/亩（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</w:rPr>
        <w:t>包括药剂、溶解药剂、无人机使用费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、人工费等费用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），项目补助标准为30.00元/亩，补助资金直接补助给服务组织。</w:t>
      </w:r>
    </w:p>
    <w:p>
      <w:pPr>
        <w:ind w:firstLine="651"/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  <w:lang w:eastAsia="zh-CN"/>
        </w:rPr>
        <w:t>组织向橘农收取服务费价格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　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组织在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无人机病虫害防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控环节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橘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农收取服务费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补助标准的50%让利给橘农，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每亩收费价格为当地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市场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减去项目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补助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标准让利给橘农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的50%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部分后的价格，即向橘农收取服务费价格为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陆拾伍（65.00）元/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ind w:firstLine="651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3、橘农向服务组织缴纳服务费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服务组织与橘农协议作业面积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亩，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收费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价格为陆拾伍（65.00）元/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亩，橘农向服务组织缴纳服务费用金额为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　　　　　　　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（大小写）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。服务组织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以质量验收合格的作业面积为准。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五、质检验收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无人机病虫害综合防治服务</w:t>
      </w:r>
      <w:r>
        <w:rPr>
          <w:rFonts w:hint="eastAsia" w:ascii="仿宋" w:hAnsi="仿宋" w:eastAsia="仿宋" w:cs="仿宋"/>
          <w:sz w:val="32"/>
          <w:szCs w:val="32"/>
        </w:rPr>
        <w:t>作业完成后，服务组织、服务对象与质检员检验确认服务数量和质量，填写《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泸溪县柑橘产业</w:t>
      </w:r>
      <w:r>
        <w:rPr>
          <w:rFonts w:hint="eastAsia" w:ascii="仿宋" w:hAnsi="仿宋" w:eastAsia="仿宋" w:cs="仿宋"/>
          <w:sz w:val="32"/>
          <w:szCs w:val="32"/>
        </w:rPr>
        <w:t>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到户</w:t>
      </w:r>
      <w:r>
        <w:rPr>
          <w:rFonts w:hint="eastAsia" w:ascii="仿宋" w:hAnsi="仿宋" w:eastAsia="仿宋" w:cs="仿宋"/>
          <w:sz w:val="32"/>
          <w:szCs w:val="32"/>
        </w:rPr>
        <w:t>作业单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助到服务组织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助到橘农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农自愿将</w:t>
      </w:r>
      <w:r>
        <w:rPr>
          <w:rFonts w:hint="eastAsia" w:ascii="仿宋" w:hAnsi="仿宋" w:eastAsia="仿宋" w:cs="仿宋"/>
          <w:sz w:val="32"/>
          <w:szCs w:val="32"/>
        </w:rPr>
        <w:t>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抵交给服务组织结算表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并加盖相关公章，经乡镇政府审核后报县</w:t>
      </w:r>
      <w:r>
        <w:rPr>
          <w:rFonts w:hint="eastAsia" w:ascii="仿宋" w:hAnsi="仿宋" w:eastAsia="仿宋" w:cs="仿宋"/>
          <w:sz w:val="32"/>
          <w:szCs w:val="32"/>
        </w:rPr>
        <w:t>柑橘产业社会化服务项目实施工作领导小组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办公室（设县农业农村局）。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六、双方权利与义务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甲方按合同约定，及时为乙方提供相关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无人机病虫害综合防治作业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服务，作业服务由乙方确定时间后提前5天通知甲方。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甲方应按照双方协商的服务质量标准提供服务，乙方有权监督甲方完成约定的服务数量和质量。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为保障甲方顺利开展服务，乙方应为甲方提供便利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条件，并在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服务结束后，及时向甲方缴纳服务费用并在《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社会化服务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作业单》上签名认定。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（四）甲方应在双方约定的时间内完成无人机病虫害综合防治作业服务。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（五）甲方负责作业期间的安全生产工作，发生安全生产事故由甲方全部负责，与乙方无关。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七、违约责任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（一）签订服务合同后，其中一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方违约给对方造成经济损失的，由违约方全额赔偿；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违约方拒不赔偿的，守约方可以诉诸法律。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因不可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抗拒因素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造成本合同无法履行的，双方不承担违约责任。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其他事项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本合同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两份，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甲乙双方各执一份，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自签字之日起生效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（二）本合同未尽事宜，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双方协商解决。协商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未果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的由辖区村支两委、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乡镇人民政府调解处理。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以上合同条款，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签订双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方共同遵守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甲方（盖章）：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（盖手印）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zJkNGFmOTkxZThhMWVmODIxMTc1YjNhYTNhNWMifQ=="/>
  </w:docVars>
  <w:rsids>
    <w:rsidRoot w:val="07760CD3"/>
    <w:rsid w:val="01AC3A93"/>
    <w:rsid w:val="023A109F"/>
    <w:rsid w:val="02AB78A7"/>
    <w:rsid w:val="02ED4364"/>
    <w:rsid w:val="07760CD3"/>
    <w:rsid w:val="0F9E5D4E"/>
    <w:rsid w:val="13141829"/>
    <w:rsid w:val="15D373E9"/>
    <w:rsid w:val="16C15493"/>
    <w:rsid w:val="1DBC6BFB"/>
    <w:rsid w:val="1EF35657"/>
    <w:rsid w:val="1FED7BB5"/>
    <w:rsid w:val="23C04001"/>
    <w:rsid w:val="26D94133"/>
    <w:rsid w:val="2A063491"/>
    <w:rsid w:val="2ADB7C16"/>
    <w:rsid w:val="2B8C3E6A"/>
    <w:rsid w:val="2E7E6E57"/>
    <w:rsid w:val="31AA0DEF"/>
    <w:rsid w:val="328926EA"/>
    <w:rsid w:val="3CBE5E4E"/>
    <w:rsid w:val="3D5C69C8"/>
    <w:rsid w:val="3E1B14D0"/>
    <w:rsid w:val="40313A81"/>
    <w:rsid w:val="435C19F5"/>
    <w:rsid w:val="44732D1E"/>
    <w:rsid w:val="45EE1552"/>
    <w:rsid w:val="45F428E0"/>
    <w:rsid w:val="4C2630C7"/>
    <w:rsid w:val="4CC254E6"/>
    <w:rsid w:val="4DCB03CA"/>
    <w:rsid w:val="52F255B9"/>
    <w:rsid w:val="53536E98"/>
    <w:rsid w:val="55B1434A"/>
    <w:rsid w:val="58A12453"/>
    <w:rsid w:val="5A735641"/>
    <w:rsid w:val="62D942AA"/>
    <w:rsid w:val="64540CC2"/>
    <w:rsid w:val="65D04378"/>
    <w:rsid w:val="6E777D20"/>
    <w:rsid w:val="6EC111D9"/>
    <w:rsid w:val="7460389B"/>
    <w:rsid w:val="7618749F"/>
    <w:rsid w:val="79DE6506"/>
    <w:rsid w:val="7A0542AD"/>
    <w:rsid w:val="7A3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2022-11-25T01:26:00Z</dcterms:created>
  <dc:creator>Administrator</dc:creator>
  <cp:lastModifiedBy>Ta</cp:lastModifiedBy>
  <cp:lastPrinted>2023-07-18T03:24:00Z</cp:lastPrinted>
  <dcterms:modified xsi:type="dcterms:W3CDTF">2023-07-20T01:38:38Z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DA3169F6942E46949F6409F3FFAB2CB4</vt:lpwstr>
  </property>
</Properties>
</file>