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 xml:space="preserve">附件1： 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泸溪县医疗卫生服务体系资源要素配置主要指标</w:t>
      </w:r>
    </w:p>
    <w:tbl>
      <w:tblPr>
        <w:tblStyle w:val="3"/>
        <w:tblW w:w="9675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85"/>
        <w:gridCol w:w="3330"/>
        <w:gridCol w:w="720"/>
        <w:gridCol w:w="1125"/>
        <w:gridCol w:w="1095"/>
        <w:gridCol w:w="106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指标类型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2020年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2025年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年均增长[累计]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一、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经济发展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地区生产总值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亿元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72.3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110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7%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全员劳动生产率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3.2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3.4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制造业增加占GDP比重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产业投资占固定资产投资比重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最终消费对GDP贡献率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进出口总额占GDP比重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2.54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地方税收占GDP比重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4.3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常住人口城镇化率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[3]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二、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创新驱动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研发经费投入占GDP比例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2.4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每万人口有效发明专利拥有量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数字经济增加值占GDP比例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2%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三、社会民生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居民人均可支配收入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16882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25000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8%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城镇调查失业率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4.8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4.8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劳动年龄人口平均受教育年限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年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10.2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基本养老保险参保率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法定人群全覆盖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法定人群全覆盖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每千人口拥有三岁以下婴幼儿托位数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6-8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人均预期寿命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岁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76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0.2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每千人口拥有执业（助理）医师数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1.7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每千人口拥有注册护士数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1.9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每千人拥有床位数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张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4.6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5.5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5岁以下儿童死亡率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‰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＜12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≤9.5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四、绿色转型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单位GDP能源消耗降幅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完成省定任务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单位GDP二氧化碳排放降幅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完成省定任务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全年城市空气质量优良天数比例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94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≥94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地表水达到或优于Ⅲ类水体比例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森林覆盖率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≥60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五、安全保障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粮食综合生产能力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万吨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亿元GDP生产安全事故死亡率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约束性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M2E3NjNhY2VjZTQ5NDlmM2FjY2I3ZmY5NTQ1NGYifQ=="/>
  </w:docVars>
  <w:rsids>
    <w:rsidRoot w:val="4B1E42C6"/>
    <w:rsid w:val="4B1E42C6"/>
    <w:rsid w:val="BFBF9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2023-03-01T08:39:00Z</dcterms:created>
  <dc:creator>演示人</dc:creator>
  <cp:lastModifiedBy>ht</cp:lastModifiedBy>
  <dcterms:modified xsi:type="dcterms:W3CDTF">2023-03-07T09:27:38Z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B7FC5734D3D9412782A7802C40CD87C6</vt:lpwstr>
  </property>
</Properties>
</file>