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黑体" w:hAnsi="黑体" w:eastAsia="黑体"/>
          <w:b/>
          <w:bCs/>
          <w:sz w:val="48"/>
          <w:szCs w:val="48"/>
        </w:rPr>
      </w:pPr>
    </w:p>
    <w:p>
      <w:pPr>
        <w:spacing w:line="700" w:lineRule="exact"/>
        <w:jc w:val="center"/>
        <w:outlineLvl w:val="0"/>
        <w:rPr>
          <w:rFonts w:ascii="黑体" w:hAnsi="黑体" w:eastAsia="黑体"/>
          <w:b/>
          <w:bCs/>
          <w:sz w:val="48"/>
          <w:szCs w:val="48"/>
        </w:rPr>
      </w:pPr>
      <w:bookmarkStart w:id="0" w:name="_Toc12780"/>
      <w:r>
        <w:rPr>
          <w:rFonts w:ascii="黑体" w:hAnsi="黑体" w:eastAsia="黑体" w:cs="Times New Roman"/>
          <w:b/>
          <w:bCs/>
          <w:sz w:val="48"/>
          <w:szCs w:val="48"/>
        </w:rPr>
        <w:t>泸溪县</w:t>
      </w:r>
      <w:r>
        <w:rPr>
          <w:rFonts w:hint="eastAsia" w:ascii="黑体" w:hAnsi="黑体" w:eastAsia="黑体" w:cs="Times New Roman"/>
          <w:b/>
          <w:bCs/>
          <w:sz w:val="48"/>
          <w:szCs w:val="48"/>
          <w:lang w:eastAsia="zh-CN"/>
        </w:rPr>
        <w:t>人民政府办公室</w:t>
      </w:r>
      <w:r>
        <w:rPr>
          <w:rFonts w:ascii="黑体" w:hAnsi="黑体" w:eastAsia="黑体" w:cs="Times New Roman"/>
          <w:b/>
          <w:bCs/>
          <w:sz w:val="48"/>
          <w:szCs w:val="48"/>
        </w:rPr>
        <w:t>20</w:t>
      </w:r>
      <w:r>
        <w:rPr>
          <w:rFonts w:ascii="黑体" w:hAnsi="黑体" w:eastAsia="黑体"/>
          <w:b/>
          <w:bCs/>
          <w:sz w:val="48"/>
          <w:szCs w:val="48"/>
        </w:rPr>
        <w:t>2</w:t>
      </w:r>
      <w:r>
        <w:rPr>
          <w:rFonts w:hint="eastAsia" w:ascii="黑体" w:hAnsi="黑体" w:eastAsia="黑体"/>
          <w:b/>
          <w:bCs/>
          <w:sz w:val="48"/>
          <w:szCs w:val="48"/>
        </w:rPr>
        <w:t>3</w:t>
      </w:r>
      <w:r>
        <w:rPr>
          <w:rFonts w:ascii="黑体" w:hAnsi="黑体" w:eastAsia="黑体"/>
          <w:b/>
          <w:bCs/>
          <w:sz w:val="48"/>
          <w:szCs w:val="48"/>
        </w:rPr>
        <w:t>年度</w:t>
      </w:r>
      <w:bookmarkEnd w:id="0"/>
    </w:p>
    <w:p>
      <w:pPr>
        <w:spacing w:line="700" w:lineRule="exact"/>
        <w:jc w:val="center"/>
        <w:outlineLvl w:val="0"/>
        <w:rPr>
          <w:rFonts w:ascii="黑体" w:hAnsi="黑体" w:eastAsia="黑体"/>
          <w:b/>
          <w:bCs/>
          <w:sz w:val="48"/>
          <w:szCs w:val="48"/>
        </w:rPr>
      </w:pPr>
      <w:bookmarkStart w:id="1" w:name="_Toc26352"/>
      <w:bookmarkStart w:id="2" w:name="_Toc24815"/>
      <w:bookmarkStart w:id="3" w:name="_Toc5879"/>
      <w:r>
        <w:rPr>
          <w:rFonts w:ascii="黑体" w:hAnsi="黑体" w:eastAsia="黑体"/>
          <w:b/>
          <w:bCs/>
          <w:sz w:val="48"/>
          <w:szCs w:val="48"/>
        </w:rPr>
        <w:t>部门整体支出</w:t>
      </w:r>
      <w:bookmarkEnd w:id="1"/>
      <w:bookmarkEnd w:id="2"/>
      <w:bookmarkEnd w:id="3"/>
    </w:p>
    <w:p>
      <w:pPr>
        <w:spacing w:line="700" w:lineRule="exact"/>
        <w:jc w:val="center"/>
        <w:rPr>
          <w:rFonts w:ascii="黑体" w:hAnsi="黑体" w:eastAsia="黑体"/>
          <w:b/>
          <w:bCs/>
          <w:sz w:val="52"/>
          <w:szCs w:val="52"/>
        </w:rPr>
      </w:pPr>
    </w:p>
    <w:p>
      <w:pPr>
        <w:pStyle w:val="2"/>
      </w:pPr>
    </w:p>
    <w:p>
      <w:pPr>
        <w:pStyle w:val="4"/>
        <w:ind w:left="0" w:leftChars="0"/>
        <w:rPr>
          <w:rFonts w:ascii="黑体" w:hAnsi="黑体" w:eastAsia="黑体"/>
        </w:rPr>
      </w:pPr>
    </w:p>
    <w:p>
      <w:pPr>
        <w:spacing w:line="700" w:lineRule="exact"/>
        <w:jc w:val="center"/>
        <w:outlineLvl w:val="0"/>
        <w:rPr>
          <w:rFonts w:ascii="黑体" w:hAnsi="黑体" w:eastAsia="黑体"/>
          <w:b/>
          <w:bCs/>
          <w:sz w:val="52"/>
          <w:szCs w:val="52"/>
        </w:rPr>
      </w:pPr>
      <w:bookmarkStart w:id="4" w:name="_Toc29396"/>
      <w:bookmarkStart w:id="5" w:name="_Toc27300"/>
      <w:bookmarkStart w:id="6" w:name="_Toc27719"/>
      <w:r>
        <w:rPr>
          <w:rFonts w:ascii="黑体" w:hAnsi="黑体" w:eastAsia="黑体"/>
          <w:b/>
          <w:bCs/>
          <w:sz w:val="52"/>
          <w:szCs w:val="52"/>
        </w:rPr>
        <w:t>绩</w:t>
      </w:r>
      <w:bookmarkEnd w:id="4"/>
      <w:bookmarkEnd w:id="5"/>
      <w:bookmarkEnd w:id="6"/>
    </w:p>
    <w:p>
      <w:pPr>
        <w:pStyle w:val="9"/>
        <w:rPr>
          <w:rFonts w:ascii="黑体" w:hAnsi="黑体" w:eastAsia="黑体"/>
        </w:rPr>
      </w:pPr>
    </w:p>
    <w:p>
      <w:pPr>
        <w:spacing w:line="700" w:lineRule="exact"/>
        <w:jc w:val="center"/>
        <w:outlineLvl w:val="0"/>
        <w:rPr>
          <w:rFonts w:ascii="黑体" w:hAnsi="黑体" w:eastAsia="黑体"/>
          <w:b/>
          <w:bCs/>
          <w:sz w:val="52"/>
          <w:szCs w:val="52"/>
        </w:rPr>
      </w:pPr>
      <w:bookmarkStart w:id="7" w:name="_Toc27753"/>
      <w:bookmarkStart w:id="8" w:name="_Toc13989"/>
      <w:bookmarkStart w:id="9" w:name="_Toc441"/>
      <w:r>
        <w:rPr>
          <w:rFonts w:ascii="黑体" w:hAnsi="黑体" w:eastAsia="黑体"/>
          <w:b/>
          <w:bCs/>
          <w:sz w:val="52"/>
          <w:szCs w:val="52"/>
        </w:rPr>
        <w:t>效</w:t>
      </w:r>
      <w:bookmarkEnd w:id="7"/>
      <w:bookmarkEnd w:id="8"/>
      <w:bookmarkEnd w:id="9"/>
    </w:p>
    <w:p>
      <w:pPr>
        <w:pStyle w:val="9"/>
        <w:rPr>
          <w:rFonts w:ascii="黑体" w:hAnsi="黑体" w:eastAsia="黑体"/>
        </w:rPr>
      </w:pPr>
    </w:p>
    <w:p>
      <w:pPr>
        <w:spacing w:line="700" w:lineRule="exact"/>
        <w:jc w:val="center"/>
        <w:outlineLvl w:val="0"/>
        <w:rPr>
          <w:rFonts w:ascii="黑体" w:hAnsi="黑体" w:eastAsia="黑体"/>
          <w:b/>
          <w:bCs/>
          <w:sz w:val="52"/>
          <w:szCs w:val="52"/>
        </w:rPr>
      </w:pPr>
      <w:bookmarkStart w:id="10" w:name="_Toc24280"/>
      <w:bookmarkStart w:id="11" w:name="_Toc20278"/>
      <w:bookmarkStart w:id="12" w:name="_Toc12831"/>
      <w:r>
        <w:rPr>
          <w:rFonts w:hint="eastAsia" w:ascii="黑体" w:hAnsi="黑体" w:eastAsia="黑体"/>
          <w:b/>
          <w:bCs/>
          <w:sz w:val="52"/>
          <w:szCs w:val="52"/>
        </w:rPr>
        <w:t>自</w:t>
      </w:r>
      <w:bookmarkEnd w:id="10"/>
      <w:bookmarkEnd w:id="11"/>
      <w:bookmarkEnd w:id="12"/>
    </w:p>
    <w:p>
      <w:pPr>
        <w:pStyle w:val="9"/>
        <w:rPr>
          <w:rFonts w:ascii="黑体" w:hAnsi="黑体" w:eastAsia="黑体"/>
        </w:rPr>
      </w:pPr>
    </w:p>
    <w:p>
      <w:pPr>
        <w:spacing w:line="700" w:lineRule="exact"/>
        <w:jc w:val="center"/>
        <w:outlineLvl w:val="0"/>
        <w:rPr>
          <w:rFonts w:ascii="黑体" w:hAnsi="黑体" w:eastAsia="黑体"/>
          <w:b/>
          <w:bCs/>
          <w:sz w:val="52"/>
          <w:szCs w:val="52"/>
        </w:rPr>
      </w:pPr>
      <w:bookmarkStart w:id="13" w:name="_Toc23219"/>
      <w:bookmarkStart w:id="14" w:name="_Toc1334"/>
      <w:bookmarkStart w:id="15" w:name="_Toc18729"/>
      <w:r>
        <w:rPr>
          <w:rFonts w:ascii="黑体" w:hAnsi="黑体" w:eastAsia="黑体"/>
          <w:b/>
          <w:bCs/>
          <w:sz w:val="52"/>
          <w:szCs w:val="52"/>
        </w:rPr>
        <w:t>评</w:t>
      </w:r>
      <w:bookmarkEnd w:id="13"/>
      <w:bookmarkEnd w:id="14"/>
      <w:bookmarkEnd w:id="15"/>
    </w:p>
    <w:p>
      <w:pPr>
        <w:pStyle w:val="9"/>
        <w:rPr>
          <w:rFonts w:ascii="黑体" w:hAnsi="黑体" w:eastAsia="黑体"/>
        </w:rPr>
      </w:pPr>
    </w:p>
    <w:p>
      <w:pPr>
        <w:spacing w:line="700" w:lineRule="exact"/>
        <w:jc w:val="center"/>
        <w:outlineLvl w:val="0"/>
        <w:rPr>
          <w:rFonts w:ascii="黑体" w:hAnsi="黑体" w:eastAsia="黑体"/>
          <w:b/>
          <w:bCs/>
          <w:sz w:val="52"/>
          <w:szCs w:val="52"/>
        </w:rPr>
      </w:pPr>
      <w:bookmarkStart w:id="16" w:name="_Toc23558"/>
      <w:bookmarkStart w:id="17" w:name="_Toc1937"/>
      <w:bookmarkStart w:id="18" w:name="_Toc6115"/>
      <w:r>
        <w:rPr>
          <w:rFonts w:ascii="黑体" w:hAnsi="黑体" w:eastAsia="黑体"/>
          <w:b/>
          <w:bCs/>
          <w:sz w:val="52"/>
          <w:szCs w:val="52"/>
        </w:rPr>
        <w:t>报</w:t>
      </w:r>
      <w:bookmarkEnd w:id="16"/>
      <w:bookmarkEnd w:id="17"/>
      <w:bookmarkEnd w:id="18"/>
    </w:p>
    <w:p>
      <w:pPr>
        <w:pStyle w:val="9"/>
        <w:rPr>
          <w:rFonts w:ascii="黑体" w:hAnsi="黑体" w:eastAsia="黑体"/>
        </w:rPr>
      </w:pPr>
    </w:p>
    <w:p>
      <w:pPr>
        <w:spacing w:line="700" w:lineRule="exact"/>
        <w:jc w:val="center"/>
        <w:outlineLvl w:val="0"/>
        <w:rPr>
          <w:rFonts w:ascii="黑体" w:hAnsi="黑体" w:eastAsia="黑体"/>
          <w:b/>
          <w:bCs/>
          <w:sz w:val="52"/>
          <w:szCs w:val="52"/>
        </w:rPr>
      </w:pPr>
      <w:bookmarkStart w:id="19" w:name="_Toc5328"/>
      <w:bookmarkStart w:id="20" w:name="_Toc26991"/>
      <w:bookmarkStart w:id="21" w:name="_Toc25553"/>
      <w:r>
        <w:rPr>
          <w:rFonts w:ascii="黑体" w:hAnsi="黑体" w:eastAsia="黑体"/>
          <w:b/>
          <w:bCs/>
          <w:sz w:val="52"/>
          <w:szCs w:val="52"/>
        </w:rPr>
        <w:t>告</w:t>
      </w:r>
      <w:bookmarkEnd w:id="19"/>
      <w:bookmarkEnd w:id="20"/>
      <w:bookmarkEnd w:id="21"/>
    </w:p>
    <w:p>
      <w:pPr>
        <w:spacing w:line="360" w:lineRule="auto"/>
        <w:rPr>
          <w:rFonts w:ascii="黑体" w:hAnsi="黑体" w:eastAsia="黑体"/>
          <w:b/>
          <w:bCs/>
          <w:sz w:val="32"/>
          <w:szCs w:val="32"/>
        </w:rPr>
      </w:pPr>
    </w:p>
    <w:p>
      <w:pPr>
        <w:spacing w:line="360" w:lineRule="auto"/>
        <w:ind w:firstLine="642" w:firstLineChars="200"/>
        <w:jc w:val="center"/>
        <w:rPr>
          <w:rFonts w:ascii="黑体" w:hAnsi="黑体" w:eastAsia="黑体"/>
          <w:b/>
          <w:bCs/>
          <w:sz w:val="32"/>
          <w:szCs w:val="32"/>
        </w:rPr>
      </w:pPr>
    </w:p>
    <w:p>
      <w:pPr>
        <w:spacing w:line="700" w:lineRule="exact"/>
        <w:jc w:val="center"/>
        <w:outlineLvl w:val="0"/>
        <w:rPr>
          <w:rFonts w:ascii="黑体" w:hAnsi="黑体" w:eastAsia="黑体"/>
          <w:b/>
          <w:bCs/>
          <w:sz w:val="32"/>
          <w:szCs w:val="32"/>
        </w:rPr>
      </w:pPr>
      <w:bookmarkStart w:id="22" w:name="_Toc4628"/>
      <w:bookmarkStart w:id="23" w:name="_Toc17765"/>
      <w:bookmarkStart w:id="24" w:name="_Toc20027"/>
      <w:r>
        <w:rPr>
          <w:rFonts w:hint="eastAsia" w:ascii="黑体" w:hAnsi="黑体" w:eastAsia="黑体"/>
          <w:b/>
          <w:bCs/>
          <w:sz w:val="32"/>
          <w:szCs w:val="32"/>
        </w:rPr>
        <w:t>泸溪县</w:t>
      </w:r>
      <w:bookmarkEnd w:id="22"/>
      <w:r>
        <w:rPr>
          <w:rFonts w:hint="eastAsia" w:ascii="黑体" w:hAnsi="黑体" w:eastAsia="黑体" w:cs="Times New Roman"/>
          <w:b/>
          <w:bCs/>
          <w:sz w:val="32"/>
          <w:szCs w:val="32"/>
          <w:lang w:eastAsia="zh-CN"/>
        </w:rPr>
        <w:t>人民政府办公室</w:t>
      </w:r>
      <w:bookmarkEnd w:id="23"/>
      <w:bookmarkEnd w:id="24"/>
    </w:p>
    <w:p>
      <w:pPr>
        <w:spacing w:line="360" w:lineRule="auto"/>
        <w:jc w:val="center"/>
        <w:rPr>
          <w:rFonts w:ascii="黑体" w:hAnsi="黑体" w:eastAsia="黑体"/>
          <w:b/>
          <w:bCs/>
          <w:sz w:val="32"/>
          <w:szCs w:val="32"/>
        </w:rPr>
      </w:pPr>
      <w:r>
        <w:rPr>
          <w:rFonts w:ascii="黑体" w:hAnsi="黑体" w:eastAsia="黑体"/>
          <w:b/>
          <w:bCs/>
          <w:sz w:val="32"/>
          <w:szCs w:val="32"/>
        </w:rPr>
        <w:t>202</w:t>
      </w:r>
      <w:r>
        <w:rPr>
          <w:rFonts w:hint="eastAsia" w:ascii="黑体" w:hAnsi="黑体" w:eastAsia="黑体"/>
          <w:b/>
          <w:bCs/>
          <w:sz w:val="32"/>
          <w:szCs w:val="32"/>
        </w:rPr>
        <w:t>4</w:t>
      </w:r>
      <w:r>
        <w:rPr>
          <w:rFonts w:ascii="黑体" w:hAnsi="黑体" w:eastAsia="黑体"/>
          <w:b/>
          <w:bCs/>
          <w:sz w:val="32"/>
          <w:szCs w:val="32"/>
        </w:rPr>
        <w:t>年</w:t>
      </w:r>
      <w:r>
        <w:rPr>
          <w:rFonts w:hint="eastAsia" w:ascii="黑体" w:hAnsi="黑体" w:eastAsia="黑体"/>
          <w:b/>
          <w:bCs/>
          <w:sz w:val="32"/>
          <w:szCs w:val="32"/>
        </w:rPr>
        <w:t>5</w:t>
      </w:r>
      <w:r>
        <w:rPr>
          <w:rFonts w:ascii="黑体" w:hAnsi="黑体" w:eastAsia="黑体"/>
          <w:b/>
          <w:bCs/>
          <w:sz w:val="32"/>
          <w:szCs w:val="32"/>
        </w:rPr>
        <w:t>月</w:t>
      </w:r>
    </w:p>
    <w:p>
      <w:pPr>
        <w:pStyle w:val="2"/>
      </w:pPr>
    </w:p>
    <w:p>
      <w:pPr>
        <w:pStyle w:val="2"/>
      </w:pPr>
    </w:p>
    <w:p>
      <w:pPr>
        <w:jc w:val="both"/>
        <w:rPr>
          <w:rFonts w:hint="eastAsia"/>
          <w:b/>
          <w:bCs/>
          <w:sz w:val="44"/>
          <w:szCs w:val="44"/>
          <w:lang w:eastAsia="zh-CN"/>
        </w:rPr>
      </w:pPr>
    </w:p>
    <w:sdt>
      <w:sdtPr>
        <w:rPr>
          <w:rFonts w:ascii="宋体" w:hAnsi="宋体" w:eastAsia="宋体" w:cs="Times New Roman"/>
          <w:kern w:val="2"/>
          <w:sz w:val="21"/>
          <w:szCs w:val="24"/>
          <w:lang w:val="en-US" w:eastAsia="zh-CN" w:bidi="ar-SA"/>
        </w:rPr>
        <w:id w:val="147480087"/>
        <w15:color w:val="DBDBDB"/>
        <w:docPartObj>
          <w:docPartGallery w:val="Table of Contents"/>
          <w:docPartUnique/>
        </w:docPartObj>
      </w:sdtPr>
      <w:sdtEndPr>
        <w:rPr>
          <w:rFonts w:hint="eastAsia" w:ascii="黑体" w:hAnsi="黑体" w:eastAsia="黑体" w:cs="黑体"/>
          <w:kern w:val="2"/>
          <w:sz w:val="24"/>
          <w:szCs w:val="2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bookmarkStart w:id="25" w:name="_Toc25184"/>
        </w:p>
        <w:p>
          <w:pPr>
            <w:spacing w:before="0" w:beforeLines="0" w:after="0" w:afterLines="0" w:line="240" w:lineRule="auto"/>
            <w:ind w:left="0" w:leftChars="0" w:right="0" w:rightChars="0" w:firstLine="0" w:firstLineChars="0"/>
            <w:jc w:val="center"/>
            <w:rPr>
              <w:rFonts w:hint="eastAsia" w:ascii="黑体" w:hAnsi="黑体" w:eastAsia="黑体" w:cs="黑体"/>
              <w:b/>
              <w:bCs/>
              <w:sz w:val="28"/>
              <w:szCs w:val="28"/>
            </w:rPr>
            <w:sectPr>
              <w:pgSz w:w="11906" w:h="16838"/>
              <w:pgMar w:top="1440" w:right="1800" w:bottom="1440" w:left="1800" w:header="851" w:footer="992" w:gutter="0"/>
              <w:pgNumType w:start="1"/>
              <w:cols w:space="425" w:num="1"/>
              <w:docGrid w:type="lines" w:linePitch="312" w:charSpace="0"/>
            </w:sectPr>
          </w:pPr>
        </w:p>
        <w:p>
          <w:pPr>
            <w:spacing w:before="0" w:beforeLines="0" w:after="0" w:afterLines="0" w:line="240" w:lineRule="auto"/>
            <w:ind w:left="0" w:leftChars="0" w:right="0" w:rightChars="0" w:firstLine="0" w:firstLineChars="0"/>
            <w:jc w:val="center"/>
            <w:rPr>
              <w:rFonts w:hint="eastAsia" w:ascii="黑体" w:hAnsi="黑体" w:eastAsia="黑体" w:cs="黑体"/>
              <w:b/>
              <w:bCs/>
              <w:sz w:val="28"/>
              <w:szCs w:val="28"/>
            </w:rPr>
          </w:pPr>
          <w:r>
            <w:rPr>
              <w:rFonts w:hint="eastAsia" w:ascii="黑体" w:hAnsi="黑体" w:eastAsia="黑体" w:cs="黑体"/>
              <w:b/>
              <w:bCs/>
              <w:sz w:val="28"/>
              <w:szCs w:val="28"/>
            </w:rPr>
            <w:t>目</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录</w:t>
          </w:r>
        </w:p>
        <w:p>
          <w:pPr>
            <w:pStyle w:val="2"/>
            <w:rPr>
              <w:rFonts w:hint="eastAsia" w:ascii="黑体" w:hAnsi="黑体" w:eastAsia="黑体" w:cs="黑体"/>
              <w:sz w:val="24"/>
              <w:szCs w:val="24"/>
            </w:rPr>
          </w:pPr>
        </w:p>
        <w:p>
          <w:pPr>
            <w:pStyle w:val="28"/>
            <w:keepNext w:val="0"/>
            <w:keepLines w:val="0"/>
            <w:pageBreakBefore w:val="0"/>
            <w:widowControl/>
            <w:tabs>
              <w:tab w:val="right" w:leader="dot" w:pos="8306"/>
            </w:tabs>
            <w:kinsoku/>
            <w:wordWrap/>
            <w:overflowPunct/>
            <w:topLinePunct w:val="0"/>
            <w:autoSpaceDE/>
            <w:autoSpaceDN/>
            <w:bidi w:val="0"/>
            <w:adjustRightInd w:val="0"/>
            <w:snapToGrid/>
            <w:spacing w:line="640" w:lineRule="exact"/>
            <w:textAlignment w:val="auto"/>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TOC \o "1-3" \h \u </w:instrText>
          </w:r>
          <w:r>
            <w:rPr>
              <w:rFonts w:hint="eastAsia" w:ascii="黑体" w:hAnsi="黑体" w:eastAsia="黑体" w:cs="黑体"/>
              <w:sz w:val="24"/>
              <w:szCs w:val="24"/>
            </w:rPr>
            <w:fldChar w:fldCharType="separate"/>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_Toc23118 </w:instrText>
          </w:r>
          <w:r>
            <w:rPr>
              <w:rFonts w:hint="eastAsia" w:ascii="黑体" w:hAnsi="黑体" w:eastAsia="黑体" w:cs="黑体"/>
              <w:sz w:val="24"/>
              <w:szCs w:val="24"/>
            </w:rPr>
            <w:fldChar w:fldCharType="separate"/>
          </w:r>
          <w:r>
            <w:rPr>
              <w:rFonts w:hint="eastAsia" w:ascii="黑体" w:hAnsi="黑体" w:eastAsia="黑体" w:cs="黑体"/>
              <w:bCs/>
              <w:sz w:val="24"/>
              <w:szCs w:val="24"/>
              <w:lang w:eastAsia="zh-CN"/>
            </w:rPr>
            <w:t>泸溪县人民政府办公室</w:t>
          </w:r>
          <w:r>
            <w:rPr>
              <w:rFonts w:hint="eastAsia" w:ascii="黑体" w:hAnsi="黑体" w:eastAsia="黑体" w:cs="黑体"/>
              <w:bCs/>
              <w:sz w:val="24"/>
              <w:szCs w:val="24"/>
            </w:rPr>
            <w:t>202</w:t>
          </w:r>
          <w:r>
            <w:rPr>
              <w:rFonts w:hint="eastAsia" w:ascii="黑体" w:hAnsi="黑体" w:eastAsia="黑体" w:cs="黑体"/>
              <w:bCs/>
              <w:sz w:val="24"/>
              <w:szCs w:val="24"/>
              <w:lang w:val="en-US" w:eastAsia="zh-CN"/>
            </w:rPr>
            <w:t>3</w:t>
          </w:r>
          <w:r>
            <w:rPr>
              <w:rFonts w:hint="eastAsia" w:ascii="黑体" w:hAnsi="黑体" w:eastAsia="黑体" w:cs="黑体"/>
              <w:bCs/>
              <w:sz w:val="24"/>
              <w:szCs w:val="24"/>
            </w:rPr>
            <w:t>年部门整体支出绩效</w:t>
          </w:r>
          <w:r>
            <w:rPr>
              <w:rFonts w:hint="eastAsia" w:ascii="黑体" w:hAnsi="黑体" w:eastAsia="黑体" w:cs="黑体"/>
              <w:bCs/>
              <w:sz w:val="24"/>
              <w:szCs w:val="24"/>
              <w:lang w:eastAsia="zh-CN"/>
            </w:rPr>
            <w:t>自评</w:t>
          </w:r>
          <w:r>
            <w:rPr>
              <w:rFonts w:hint="eastAsia" w:ascii="黑体" w:hAnsi="黑体" w:eastAsia="黑体" w:cs="黑体"/>
              <w:bCs/>
              <w:sz w:val="24"/>
              <w:szCs w:val="24"/>
            </w:rPr>
            <w:t>报告</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_Toc23118 \h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28"/>
            <w:keepNext w:val="0"/>
            <w:keepLines w:val="0"/>
            <w:pageBreakBefore w:val="0"/>
            <w:widowControl/>
            <w:tabs>
              <w:tab w:val="right" w:leader="dot" w:pos="8306"/>
            </w:tabs>
            <w:kinsoku/>
            <w:wordWrap/>
            <w:overflowPunct/>
            <w:topLinePunct w:val="0"/>
            <w:autoSpaceDE/>
            <w:autoSpaceDN/>
            <w:bidi w:val="0"/>
            <w:adjustRightInd w:val="0"/>
            <w:snapToGrid/>
            <w:spacing w:line="640" w:lineRule="exact"/>
            <w:textAlignment w:val="auto"/>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_Toc29263 </w:instrText>
          </w:r>
          <w:r>
            <w:rPr>
              <w:rFonts w:hint="eastAsia" w:ascii="黑体" w:hAnsi="黑体" w:eastAsia="黑体" w:cs="黑体"/>
              <w:sz w:val="24"/>
              <w:szCs w:val="24"/>
            </w:rPr>
            <w:fldChar w:fldCharType="separate"/>
          </w:r>
          <w:r>
            <w:rPr>
              <w:rFonts w:hint="eastAsia" w:ascii="黑体" w:hAnsi="黑体" w:eastAsia="黑体" w:cs="黑体"/>
              <w:sz w:val="24"/>
              <w:szCs w:val="24"/>
              <w:lang w:eastAsia="zh-CN"/>
            </w:rPr>
            <w:t>一、部门基本情况</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_Toc29263 \h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28"/>
            <w:keepNext w:val="0"/>
            <w:keepLines w:val="0"/>
            <w:pageBreakBefore w:val="0"/>
            <w:widowControl/>
            <w:tabs>
              <w:tab w:val="right" w:leader="dot" w:pos="8306"/>
            </w:tabs>
            <w:kinsoku/>
            <w:wordWrap/>
            <w:overflowPunct/>
            <w:topLinePunct w:val="0"/>
            <w:autoSpaceDE/>
            <w:autoSpaceDN/>
            <w:bidi w:val="0"/>
            <w:adjustRightInd w:val="0"/>
            <w:snapToGrid/>
            <w:spacing w:line="640" w:lineRule="exact"/>
            <w:textAlignment w:val="auto"/>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_Toc23308 </w:instrText>
          </w:r>
          <w:r>
            <w:rPr>
              <w:rFonts w:hint="eastAsia" w:ascii="黑体" w:hAnsi="黑体" w:eastAsia="黑体" w:cs="黑体"/>
              <w:sz w:val="24"/>
              <w:szCs w:val="24"/>
            </w:rPr>
            <w:fldChar w:fldCharType="separate"/>
          </w:r>
          <w:r>
            <w:rPr>
              <w:rFonts w:hint="eastAsia" w:ascii="黑体" w:hAnsi="黑体" w:eastAsia="黑体" w:cs="黑体"/>
              <w:sz w:val="24"/>
              <w:szCs w:val="24"/>
            </w:rPr>
            <w:t>二、预算收入支出情况</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_Toc23308 \h </w:instrText>
          </w:r>
          <w:r>
            <w:rPr>
              <w:rFonts w:hint="eastAsia" w:ascii="黑体" w:hAnsi="黑体" w:eastAsia="黑体" w:cs="黑体"/>
              <w:sz w:val="24"/>
              <w:szCs w:val="24"/>
            </w:rPr>
            <w:fldChar w:fldCharType="separate"/>
          </w:r>
          <w:r>
            <w:rPr>
              <w:rFonts w:hint="eastAsia" w:ascii="黑体" w:hAnsi="黑体" w:eastAsia="黑体" w:cs="黑体"/>
              <w:sz w:val="24"/>
              <w:szCs w:val="24"/>
            </w:rPr>
            <w:t>3</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val="0"/>
            <w:snapToGrid/>
            <w:spacing w:line="640" w:lineRule="exact"/>
            <w:textAlignment w:val="auto"/>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_Toc7748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lang w:eastAsia="zh-CN"/>
            </w:rPr>
            <w:t>、</w:t>
          </w:r>
          <w:r>
            <w:rPr>
              <w:rFonts w:hint="eastAsia" w:ascii="黑体" w:hAnsi="黑体" w:eastAsia="黑体" w:cs="黑体"/>
              <w:sz w:val="24"/>
              <w:szCs w:val="24"/>
            </w:rPr>
            <w:t>收入预算情况</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_Toc7748 \h </w:instrText>
          </w:r>
          <w:r>
            <w:rPr>
              <w:rFonts w:hint="eastAsia" w:ascii="黑体" w:hAnsi="黑体" w:eastAsia="黑体" w:cs="黑体"/>
              <w:sz w:val="24"/>
              <w:szCs w:val="24"/>
            </w:rPr>
            <w:fldChar w:fldCharType="separate"/>
          </w:r>
          <w:r>
            <w:rPr>
              <w:rFonts w:hint="eastAsia" w:ascii="黑体" w:hAnsi="黑体" w:eastAsia="黑体" w:cs="黑体"/>
              <w:sz w:val="24"/>
              <w:szCs w:val="24"/>
            </w:rPr>
            <w:t>3</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val="0"/>
            <w:snapToGrid/>
            <w:spacing w:line="640" w:lineRule="exact"/>
            <w:textAlignment w:val="auto"/>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_Toc27966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2、</w:t>
          </w:r>
          <w:r>
            <w:rPr>
              <w:rFonts w:hint="eastAsia" w:ascii="黑体" w:hAnsi="黑体" w:eastAsia="黑体" w:cs="黑体"/>
              <w:sz w:val="24"/>
              <w:szCs w:val="24"/>
            </w:rPr>
            <w:t>支出预算情况</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_Toc27966 \h </w:instrText>
          </w:r>
          <w:r>
            <w:rPr>
              <w:rFonts w:hint="eastAsia" w:ascii="黑体" w:hAnsi="黑体" w:eastAsia="黑体" w:cs="黑体"/>
              <w:sz w:val="24"/>
              <w:szCs w:val="24"/>
            </w:rPr>
            <w:fldChar w:fldCharType="separate"/>
          </w:r>
          <w:r>
            <w:rPr>
              <w:rFonts w:hint="eastAsia" w:ascii="黑体" w:hAnsi="黑体" w:eastAsia="黑体" w:cs="黑体"/>
              <w:sz w:val="24"/>
              <w:szCs w:val="24"/>
            </w:rPr>
            <w:t>3</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val="0"/>
            <w:snapToGrid/>
            <w:spacing w:line="640" w:lineRule="exact"/>
            <w:textAlignment w:val="auto"/>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_Toc17307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3、</w:t>
          </w:r>
          <w:r>
            <w:rPr>
              <w:rFonts w:hint="eastAsia" w:ascii="黑体" w:hAnsi="黑体" w:eastAsia="黑体" w:cs="黑体"/>
              <w:sz w:val="24"/>
              <w:szCs w:val="24"/>
            </w:rPr>
            <w:t>预算执行情况</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_Toc17307 \h </w:instrText>
          </w:r>
          <w:r>
            <w:rPr>
              <w:rFonts w:hint="eastAsia" w:ascii="黑体" w:hAnsi="黑体" w:eastAsia="黑体" w:cs="黑体"/>
              <w:sz w:val="24"/>
              <w:szCs w:val="24"/>
            </w:rPr>
            <w:fldChar w:fldCharType="separate"/>
          </w:r>
          <w:r>
            <w:rPr>
              <w:rFonts w:hint="eastAsia" w:ascii="黑体" w:hAnsi="黑体" w:eastAsia="黑体" w:cs="黑体"/>
              <w:sz w:val="24"/>
              <w:szCs w:val="24"/>
            </w:rPr>
            <w:t>4</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28"/>
            <w:keepNext w:val="0"/>
            <w:keepLines w:val="0"/>
            <w:pageBreakBefore w:val="0"/>
            <w:widowControl/>
            <w:tabs>
              <w:tab w:val="right" w:leader="dot" w:pos="8306"/>
            </w:tabs>
            <w:kinsoku/>
            <w:wordWrap/>
            <w:overflowPunct/>
            <w:topLinePunct w:val="0"/>
            <w:autoSpaceDE/>
            <w:autoSpaceDN/>
            <w:bidi w:val="0"/>
            <w:adjustRightInd w:val="0"/>
            <w:snapToGrid/>
            <w:spacing w:line="640" w:lineRule="exact"/>
            <w:textAlignment w:val="auto"/>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_Toc3859 </w:instrText>
          </w:r>
          <w:r>
            <w:rPr>
              <w:rFonts w:hint="eastAsia" w:ascii="黑体" w:hAnsi="黑体" w:eastAsia="黑体" w:cs="黑体"/>
              <w:sz w:val="24"/>
              <w:szCs w:val="24"/>
            </w:rPr>
            <w:fldChar w:fldCharType="separate"/>
          </w:r>
          <w:r>
            <w:rPr>
              <w:rFonts w:hint="eastAsia" w:ascii="黑体" w:hAnsi="黑体" w:eastAsia="黑体" w:cs="黑体"/>
              <w:sz w:val="24"/>
              <w:szCs w:val="24"/>
              <w:lang w:eastAsia="zh-CN"/>
            </w:rPr>
            <w:t>三</w:t>
          </w:r>
          <w:r>
            <w:rPr>
              <w:rFonts w:hint="eastAsia" w:ascii="黑体" w:hAnsi="黑体" w:eastAsia="黑体" w:cs="黑体"/>
              <w:sz w:val="24"/>
              <w:szCs w:val="24"/>
            </w:rPr>
            <w:t>、</w:t>
          </w:r>
          <w:r>
            <w:rPr>
              <w:rFonts w:hint="eastAsia" w:ascii="黑体" w:hAnsi="黑体" w:eastAsia="黑体" w:cs="黑体"/>
              <w:sz w:val="24"/>
              <w:szCs w:val="24"/>
              <w:lang w:eastAsia="zh-CN"/>
            </w:rPr>
            <w:t>主要</w:t>
          </w:r>
          <w:r>
            <w:rPr>
              <w:rFonts w:hint="eastAsia" w:ascii="黑体" w:hAnsi="黑体" w:eastAsia="黑体" w:cs="黑体"/>
              <w:sz w:val="24"/>
              <w:szCs w:val="24"/>
            </w:rPr>
            <w:t>绩效情况</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_Toc3859 \h </w:instrText>
          </w:r>
          <w:r>
            <w:rPr>
              <w:rFonts w:hint="eastAsia" w:ascii="黑体" w:hAnsi="黑体" w:eastAsia="黑体" w:cs="黑体"/>
              <w:sz w:val="24"/>
              <w:szCs w:val="24"/>
            </w:rPr>
            <w:fldChar w:fldCharType="separate"/>
          </w:r>
          <w:r>
            <w:rPr>
              <w:rFonts w:hint="eastAsia" w:ascii="黑体" w:hAnsi="黑体" w:eastAsia="黑体" w:cs="黑体"/>
              <w:sz w:val="24"/>
              <w:szCs w:val="24"/>
            </w:rPr>
            <w:t>4</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val="0"/>
            <w:snapToGrid/>
            <w:spacing w:line="640" w:lineRule="exact"/>
            <w:textAlignment w:val="auto"/>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_Toc14257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1、预算绩效管理工作开展情况</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_Toc14257 \h </w:instrText>
          </w:r>
          <w:r>
            <w:rPr>
              <w:rFonts w:hint="eastAsia" w:ascii="黑体" w:hAnsi="黑体" w:eastAsia="黑体" w:cs="黑体"/>
              <w:sz w:val="24"/>
              <w:szCs w:val="24"/>
            </w:rPr>
            <w:fldChar w:fldCharType="separate"/>
          </w:r>
          <w:r>
            <w:rPr>
              <w:rFonts w:hint="eastAsia" w:ascii="黑体" w:hAnsi="黑体" w:eastAsia="黑体" w:cs="黑体"/>
              <w:sz w:val="24"/>
              <w:szCs w:val="24"/>
            </w:rPr>
            <w:t>8</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val="0"/>
            <w:snapToGrid/>
            <w:spacing w:line="640" w:lineRule="exact"/>
            <w:textAlignment w:val="auto"/>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_Toc30901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2、项目绩效自评结果</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_Toc30901 \h </w:instrText>
          </w:r>
          <w:r>
            <w:rPr>
              <w:rFonts w:hint="eastAsia" w:ascii="黑体" w:hAnsi="黑体" w:eastAsia="黑体" w:cs="黑体"/>
              <w:sz w:val="24"/>
              <w:szCs w:val="24"/>
            </w:rPr>
            <w:fldChar w:fldCharType="separate"/>
          </w:r>
          <w:r>
            <w:rPr>
              <w:rFonts w:hint="eastAsia" w:ascii="黑体" w:hAnsi="黑体" w:eastAsia="黑体" w:cs="黑体"/>
              <w:sz w:val="24"/>
              <w:szCs w:val="24"/>
            </w:rPr>
            <w:t>8</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28"/>
            <w:keepNext w:val="0"/>
            <w:keepLines w:val="0"/>
            <w:pageBreakBefore w:val="0"/>
            <w:widowControl/>
            <w:tabs>
              <w:tab w:val="right" w:leader="dot" w:pos="8306"/>
            </w:tabs>
            <w:kinsoku/>
            <w:wordWrap/>
            <w:overflowPunct/>
            <w:topLinePunct w:val="0"/>
            <w:autoSpaceDE/>
            <w:autoSpaceDN/>
            <w:bidi w:val="0"/>
            <w:adjustRightInd w:val="0"/>
            <w:snapToGrid/>
            <w:spacing w:line="640" w:lineRule="exact"/>
            <w:textAlignment w:val="auto"/>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_Toc12608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四、部门预算绩效管理主要经验及做法</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_Toc12608 \h </w:instrText>
          </w:r>
          <w:r>
            <w:rPr>
              <w:rFonts w:hint="eastAsia" w:ascii="黑体" w:hAnsi="黑体" w:eastAsia="黑体" w:cs="黑体"/>
              <w:sz w:val="24"/>
              <w:szCs w:val="24"/>
            </w:rPr>
            <w:fldChar w:fldCharType="separate"/>
          </w:r>
          <w:r>
            <w:rPr>
              <w:rFonts w:hint="eastAsia" w:ascii="黑体" w:hAnsi="黑体" w:eastAsia="黑体" w:cs="黑体"/>
              <w:sz w:val="24"/>
              <w:szCs w:val="24"/>
            </w:rPr>
            <w:t>13</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val="0"/>
            <w:snapToGrid/>
            <w:spacing w:line="640" w:lineRule="exact"/>
            <w:textAlignment w:val="auto"/>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_Toc20551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1、强化理论学习</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_Toc20551 \h </w:instrText>
          </w:r>
          <w:r>
            <w:rPr>
              <w:rFonts w:hint="eastAsia" w:ascii="黑体" w:hAnsi="黑体" w:eastAsia="黑体" w:cs="黑体"/>
              <w:sz w:val="24"/>
              <w:szCs w:val="24"/>
            </w:rPr>
            <w:fldChar w:fldCharType="separate"/>
          </w:r>
          <w:r>
            <w:rPr>
              <w:rFonts w:hint="eastAsia" w:ascii="黑体" w:hAnsi="黑体" w:eastAsia="黑体" w:cs="黑体"/>
              <w:sz w:val="24"/>
              <w:szCs w:val="24"/>
            </w:rPr>
            <w:t>13</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val="0"/>
            <w:snapToGrid/>
            <w:spacing w:line="640" w:lineRule="exact"/>
            <w:textAlignment w:val="auto"/>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_Toc9963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2、严格收支管理</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_Toc9963 \h </w:instrText>
          </w:r>
          <w:r>
            <w:rPr>
              <w:rFonts w:hint="eastAsia" w:ascii="黑体" w:hAnsi="黑体" w:eastAsia="黑体" w:cs="黑体"/>
              <w:sz w:val="24"/>
              <w:szCs w:val="24"/>
            </w:rPr>
            <w:fldChar w:fldCharType="separate"/>
          </w:r>
          <w:r>
            <w:rPr>
              <w:rFonts w:hint="eastAsia" w:ascii="黑体" w:hAnsi="黑体" w:eastAsia="黑体" w:cs="黑体"/>
              <w:sz w:val="24"/>
              <w:szCs w:val="24"/>
            </w:rPr>
            <w:t>14</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28"/>
            <w:keepNext w:val="0"/>
            <w:keepLines w:val="0"/>
            <w:pageBreakBefore w:val="0"/>
            <w:widowControl/>
            <w:tabs>
              <w:tab w:val="right" w:leader="dot" w:pos="8306"/>
            </w:tabs>
            <w:kinsoku/>
            <w:wordWrap/>
            <w:overflowPunct/>
            <w:topLinePunct w:val="0"/>
            <w:autoSpaceDE/>
            <w:autoSpaceDN/>
            <w:bidi w:val="0"/>
            <w:adjustRightInd w:val="0"/>
            <w:snapToGrid/>
            <w:spacing w:line="640" w:lineRule="exact"/>
            <w:textAlignment w:val="auto"/>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_Toc7878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五、预算绩效管理存在的问题及改进措施</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_Toc7878 \h </w:instrText>
          </w:r>
          <w:r>
            <w:rPr>
              <w:rFonts w:hint="eastAsia" w:ascii="黑体" w:hAnsi="黑体" w:eastAsia="黑体" w:cs="黑体"/>
              <w:sz w:val="24"/>
              <w:szCs w:val="24"/>
            </w:rPr>
            <w:fldChar w:fldCharType="separate"/>
          </w:r>
          <w:r>
            <w:rPr>
              <w:rFonts w:hint="eastAsia" w:ascii="黑体" w:hAnsi="黑体" w:eastAsia="黑体" w:cs="黑体"/>
              <w:sz w:val="24"/>
              <w:szCs w:val="24"/>
            </w:rPr>
            <w:t>14</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val="0"/>
            <w:snapToGrid/>
            <w:spacing w:line="640" w:lineRule="exact"/>
            <w:textAlignment w:val="auto"/>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_Toc16149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1、未完成绩效目标或偏离绩效目标较大项目情况</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_Toc16149 \h </w:instrText>
          </w:r>
          <w:r>
            <w:rPr>
              <w:rFonts w:hint="eastAsia" w:ascii="黑体" w:hAnsi="黑体" w:eastAsia="黑体" w:cs="黑体"/>
              <w:sz w:val="24"/>
              <w:szCs w:val="24"/>
            </w:rPr>
            <w:fldChar w:fldCharType="separate"/>
          </w:r>
          <w:r>
            <w:rPr>
              <w:rFonts w:hint="eastAsia" w:ascii="黑体" w:hAnsi="黑体" w:eastAsia="黑体" w:cs="黑体"/>
              <w:sz w:val="24"/>
              <w:szCs w:val="24"/>
            </w:rPr>
            <w:t>14</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val="0"/>
            <w:snapToGrid/>
            <w:spacing w:line="640" w:lineRule="exact"/>
            <w:textAlignment w:val="auto"/>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_Toc5366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2、专业人员缺乏</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_Toc5366 \h </w:instrText>
          </w:r>
          <w:r>
            <w:rPr>
              <w:rFonts w:hint="eastAsia" w:ascii="黑体" w:hAnsi="黑体" w:eastAsia="黑体" w:cs="黑体"/>
              <w:sz w:val="24"/>
              <w:szCs w:val="24"/>
            </w:rPr>
            <w:fldChar w:fldCharType="separate"/>
          </w:r>
          <w:r>
            <w:rPr>
              <w:rFonts w:hint="eastAsia" w:ascii="黑体" w:hAnsi="黑体" w:eastAsia="黑体" w:cs="黑体"/>
              <w:sz w:val="24"/>
              <w:szCs w:val="24"/>
            </w:rPr>
            <w:t>14</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val="0"/>
            <w:snapToGrid/>
            <w:spacing w:line="640" w:lineRule="exact"/>
            <w:textAlignment w:val="auto"/>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_Toc17305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3、预决算存在差异</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_Toc17305 \h </w:instrText>
          </w:r>
          <w:r>
            <w:rPr>
              <w:rFonts w:hint="eastAsia" w:ascii="黑体" w:hAnsi="黑体" w:eastAsia="黑体" w:cs="黑体"/>
              <w:sz w:val="24"/>
              <w:szCs w:val="24"/>
            </w:rPr>
            <w:fldChar w:fldCharType="separate"/>
          </w:r>
          <w:r>
            <w:rPr>
              <w:rFonts w:hint="eastAsia" w:ascii="黑体" w:hAnsi="黑体" w:eastAsia="黑体" w:cs="黑体"/>
              <w:sz w:val="24"/>
              <w:szCs w:val="24"/>
            </w:rPr>
            <w:t>14</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keepNext w:val="0"/>
            <w:keepLines w:val="0"/>
            <w:pageBreakBefore w:val="0"/>
            <w:widowControl/>
            <w:kinsoku/>
            <w:wordWrap/>
            <w:overflowPunct/>
            <w:topLinePunct w:val="0"/>
            <w:autoSpaceDE/>
            <w:autoSpaceDN/>
            <w:bidi w:val="0"/>
            <w:adjustRightInd w:val="0"/>
            <w:snapToGrid/>
            <w:spacing w:line="640" w:lineRule="exact"/>
            <w:textAlignment w:val="auto"/>
            <w:rPr>
              <w:rFonts w:hint="eastAsia" w:ascii="黑体" w:hAnsi="黑体" w:eastAsia="黑体" w:cs="黑体"/>
              <w:sz w:val="24"/>
              <w:szCs w:val="24"/>
            </w:rPr>
          </w:pPr>
          <w:r>
            <w:rPr>
              <w:rFonts w:hint="eastAsia" w:ascii="黑体" w:hAnsi="黑体" w:eastAsia="黑体" w:cs="黑体"/>
              <w:sz w:val="24"/>
              <w:szCs w:val="24"/>
            </w:rPr>
            <w:fldChar w:fldCharType="end"/>
          </w:r>
        </w:p>
      </w:sdtContent>
    </w:sdt>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黑体" w:hAnsi="黑体" w:eastAsia="黑体" w:cs="黑体"/>
          <w:b/>
          <w:bCs/>
          <w:sz w:val="44"/>
          <w:szCs w:val="44"/>
          <w:lang w:eastAsia="zh-CN"/>
        </w:rPr>
      </w:pPr>
      <w:bookmarkStart w:id="26" w:name="_Toc23118"/>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黑体" w:hAnsi="黑体" w:eastAsia="黑体" w:cs="黑体"/>
          <w:b/>
          <w:bCs/>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黑体" w:hAnsi="黑体" w:eastAsia="黑体" w:cs="黑体"/>
          <w:b/>
          <w:bCs/>
          <w:sz w:val="44"/>
          <w:szCs w:val="44"/>
          <w:lang w:eastAsia="zh-CN"/>
        </w:rPr>
        <w:sectPr>
          <w:footerReference r:id="rId3" w:type="default"/>
          <w:pgSz w:w="11906" w:h="16838"/>
          <w:pgMar w:top="1440" w:right="1800" w:bottom="1440" w:left="1800" w:header="851" w:footer="992" w:gutter="0"/>
          <w:pgNumType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黑体" w:hAnsi="黑体" w:eastAsia="黑体" w:cs="黑体"/>
          <w:sz w:val="32"/>
          <w:szCs w:val="32"/>
        </w:rPr>
      </w:pPr>
      <w:r>
        <w:rPr>
          <w:rFonts w:hint="eastAsia" w:ascii="黑体" w:hAnsi="黑体" w:eastAsia="黑体" w:cs="黑体"/>
          <w:b/>
          <w:bCs/>
          <w:sz w:val="44"/>
          <w:szCs w:val="44"/>
          <w:lang w:eastAsia="zh-CN"/>
        </w:rPr>
        <w:t>泸溪县人民政府办公室</w:t>
      </w:r>
      <w:r>
        <w:rPr>
          <w:rFonts w:hint="eastAsia" w:ascii="黑体" w:hAnsi="黑体" w:eastAsia="黑体" w:cs="黑体"/>
          <w:b/>
          <w:bCs/>
          <w:sz w:val="44"/>
          <w:szCs w:val="44"/>
        </w:rPr>
        <w:t>202</w:t>
      </w:r>
      <w:r>
        <w:rPr>
          <w:rFonts w:hint="eastAsia" w:ascii="黑体" w:hAnsi="黑体" w:eastAsia="黑体" w:cs="黑体"/>
          <w:b/>
          <w:bCs/>
          <w:sz w:val="44"/>
          <w:szCs w:val="44"/>
          <w:lang w:val="en-US" w:eastAsia="zh-CN"/>
        </w:rPr>
        <w:t>3</w:t>
      </w:r>
      <w:r>
        <w:rPr>
          <w:rFonts w:hint="eastAsia" w:ascii="黑体" w:hAnsi="黑体" w:eastAsia="黑体" w:cs="黑体"/>
          <w:b/>
          <w:bCs/>
          <w:sz w:val="44"/>
          <w:szCs w:val="44"/>
        </w:rPr>
        <w:t>年部门整体支出绩效</w:t>
      </w:r>
      <w:r>
        <w:rPr>
          <w:rFonts w:hint="eastAsia" w:ascii="黑体" w:hAnsi="黑体" w:eastAsia="黑体" w:cs="黑体"/>
          <w:b/>
          <w:bCs/>
          <w:sz w:val="44"/>
          <w:szCs w:val="44"/>
          <w:lang w:eastAsia="zh-CN"/>
        </w:rPr>
        <w:t>自评</w:t>
      </w:r>
      <w:r>
        <w:rPr>
          <w:rFonts w:hint="eastAsia" w:ascii="黑体" w:hAnsi="黑体" w:eastAsia="黑体" w:cs="黑体"/>
          <w:b/>
          <w:bCs/>
          <w:sz w:val="44"/>
          <w:szCs w:val="44"/>
        </w:rPr>
        <w:t>报告</w:t>
      </w:r>
      <w:bookmarkEnd w:id="25"/>
      <w:bookmarkEnd w:id="26"/>
    </w:p>
    <w:p>
      <w:pPr>
        <w:spacing w:line="62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为提升财政资金的预算绩效管理工作水平，增强单位财政资金支出责任，规范资金管理行为，提高财政资金使用效益，提高公共服务质量，优化公共资源配置，保障部门更好的履行职责，节约公共支出成本。根据《中共中央国务院关于全面实施预算绩效管理的意见》 (中发〔2018〕34号)、 《中共湖南省委办公厅湖南省人民政府办公厅关于全面实施预算绩效管理的实施意见》(湘办发〔2019〕 10号)、《湖南省人民政府办公厅关于进一步规范财政管理硬化预算约束的通知》(湘政办发〔2020〕12号)、《泸溪县财政局关于开展2023年年度部门预算支出绩效评价工作的通知》（泸财函〔2024〕17号）文件精神，本单位运用科学、合理的绩效评价指标、评价标准和评价方法，遵循“科学规范、公正公开、分类管理、绩效相关”的原则，在收集、汇总、整理、分析相关资料的基础上，对本单位2023年部门整体支出进行客观、公正的评价。现将评价情况报告如下：</w:t>
      </w:r>
    </w:p>
    <w:p>
      <w:pPr>
        <w:spacing w:line="620" w:lineRule="exact"/>
        <w:ind w:firstLine="640" w:firstLineChars="200"/>
        <w:outlineLvl w:val="0"/>
        <w:rPr>
          <w:rFonts w:hint="eastAsia" w:ascii="Times New Roman" w:hAnsi="Times New Roman" w:eastAsia="仿宋_GB2312" w:cs="Times New Roman"/>
          <w:sz w:val="32"/>
          <w:szCs w:val="32"/>
          <w:lang w:eastAsia="zh-CN"/>
        </w:rPr>
      </w:pPr>
      <w:bookmarkStart w:id="27" w:name="_Toc29263"/>
      <w:r>
        <w:rPr>
          <w:rFonts w:hint="eastAsia" w:ascii="Times New Roman" w:hAnsi="Times New Roman" w:eastAsia="仿宋_GB2312" w:cs="Times New Roman"/>
          <w:sz w:val="32"/>
          <w:szCs w:val="32"/>
          <w:lang w:eastAsia="zh-CN"/>
        </w:rPr>
        <w:t>一、部门基本情况</w:t>
      </w:r>
      <w:bookmarkEnd w:id="27"/>
    </w:p>
    <w:p>
      <w:pPr>
        <w:spacing w:line="62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（一）职责简述</w:t>
      </w:r>
    </w:p>
    <w:p>
      <w:pPr>
        <w:spacing w:line="62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1、负责协助县人民政府领导同志审核或组织起草以县人民政府、县人民政府办公室名义发布的公文；</w:t>
      </w:r>
    </w:p>
    <w:p>
      <w:pPr>
        <w:spacing w:line="62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2、研究县人民政府各部门和各乡镇人民政府请示县人民政府的事项，提出审核意见，报县人民政府领导同志审批；</w:t>
      </w:r>
    </w:p>
    <w:p>
      <w:pPr>
        <w:spacing w:line="62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3、负责县人民政府会议的会务工作，协助县人民政府领导同志组织会议议定事项的实施；</w:t>
      </w:r>
    </w:p>
    <w:p>
      <w:pPr>
        <w:spacing w:line="62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4、根据县人民政府领导同志的指示，对有关问题进行协调，提出处理意见，报县人民政府领导同志决定，办理上级领导同志的批示，并督促落实；</w:t>
      </w:r>
    </w:p>
    <w:p>
      <w:pPr>
        <w:spacing w:line="62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5、督促检查县人民政府各部门和乡镇人民政府对县人民政府公文、会议决定事项及县人民政府领导同志有关指示的执行落实情况，并跟踪调研，及时向县人民政府领导同志报告；</w:t>
      </w:r>
    </w:p>
    <w:p>
      <w:pPr>
        <w:spacing w:line="62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6、协助县人民政府领导同志组织处理需由县人民政府直接处理的突发事件；</w:t>
      </w:r>
    </w:p>
    <w:p>
      <w:pPr>
        <w:spacing w:line="62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7、负责县人民政府值班工作，及时向县人民政府领导同志报告重要情况，协助处理各部门和各县市向县人民政府反映的重要问题；</w:t>
      </w:r>
    </w:p>
    <w:p>
      <w:pPr>
        <w:spacing w:line="62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8、负责组织起草县人民政府的文件、工作报告和主要领导讲话，以及县人民政府领导交办的其他文字综合材料；</w:t>
      </w:r>
    </w:p>
    <w:p>
      <w:pPr>
        <w:spacing w:line="62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9、围绕全县经济社会发展和政府中心工作牵头组织调查研究，为领导科学决策提供建议；</w:t>
      </w:r>
    </w:p>
    <w:p>
      <w:pPr>
        <w:spacing w:line="62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10、收集、整理、传递政务信息，为县人民政府领导决策和指导工作提供信息服务；</w:t>
      </w:r>
    </w:p>
    <w:p>
      <w:pPr>
        <w:spacing w:line="62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11、编辑县人民政府机关刊物《泸溪政报》；</w:t>
      </w:r>
    </w:p>
    <w:p>
      <w:pPr>
        <w:spacing w:line="62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12、负责组织、指导、协调和监督全县政府信息公开工作；</w:t>
      </w:r>
    </w:p>
    <w:p>
      <w:pPr>
        <w:spacing w:line="62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13、组织开展人大代表建议、政协提案办理工作；</w:t>
      </w:r>
    </w:p>
    <w:p>
      <w:pPr>
        <w:spacing w:line="62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14、承办县人民政府交办的其他事项。</w:t>
      </w:r>
    </w:p>
    <w:p>
      <w:pPr>
        <w:spacing w:line="62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（二）机构简述</w:t>
      </w:r>
    </w:p>
    <w:p>
      <w:pPr>
        <w:spacing w:line="62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泸溪县人民政府办公室有</w:t>
      </w:r>
      <w:r>
        <w:rPr>
          <w:rFonts w:hint="eastAsia" w:eastAsia="仿宋_GB2312" w:cs="Times New Roman"/>
          <w:sz w:val="32"/>
          <w:szCs w:val="32"/>
          <w:lang w:val="en-US" w:eastAsia="zh-CN"/>
        </w:rPr>
        <w:t>10</w:t>
      </w:r>
      <w:r>
        <w:rPr>
          <w:rFonts w:hint="eastAsia" w:ascii="Times New Roman" w:hAnsi="Times New Roman" w:eastAsia="仿宋_GB2312" w:cs="Times New Roman"/>
          <w:sz w:val="32"/>
          <w:szCs w:val="32"/>
        </w:rPr>
        <w:t>个内设机构：综合室、秘书室、综合信息调研室、督查室、县人民政府总值班室、政务公开办公室、财务后勤室、金融办公室、禁毒办公室</w:t>
      </w:r>
      <w:r>
        <w:rPr>
          <w:rFonts w:hint="eastAsia" w:ascii="仿宋_GB2312" w:hAnsi="仿宋_GB2312" w:eastAsia="仿宋_GB2312" w:cs="仿宋_GB2312"/>
          <w:kern w:val="0"/>
          <w:sz w:val="32"/>
          <w:szCs w:val="32"/>
          <w:lang w:eastAsia="zh-CN"/>
        </w:rPr>
        <w:t>及行政审批服务办公室</w:t>
      </w:r>
      <w:r>
        <w:rPr>
          <w:rFonts w:hint="eastAsia" w:ascii="Times New Roman" w:hAnsi="Times New Roman" w:eastAsia="仿宋_GB2312" w:cs="Times New Roman"/>
          <w:sz w:val="32"/>
          <w:szCs w:val="32"/>
          <w:lang w:eastAsia="zh-CN"/>
        </w:rPr>
        <w:t>。</w:t>
      </w:r>
    </w:p>
    <w:p>
      <w:pPr>
        <w:spacing w:line="62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（三）</w:t>
      </w:r>
      <w:r>
        <w:rPr>
          <w:rFonts w:hint="eastAsia" w:ascii="Times New Roman" w:hAnsi="Times New Roman" w:eastAsia="仿宋_GB2312" w:cs="Times New Roman"/>
          <w:sz w:val="32"/>
          <w:szCs w:val="32"/>
          <w:lang w:val="en-US" w:eastAsia="zh-CN"/>
        </w:rPr>
        <w:t>编制简述</w:t>
      </w:r>
    </w:p>
    <w:p>
      <w:pPr>
        <w:spacing w:line="62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截至202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年12月31日， 我办现有公务员和事业编制及工勤编制共</w:t>
      </w:r>
      <w:r>
        <w:rPr>
          <w:rFonts w:hint="eastAsia" w:ascii="Times New Roman" w:hAnsi="Times New Roman" w:eastAsia="仿宋_GB2312" w:cs="Times New Roman"/>
          <w:sz w:val="32"/>
          <w:szCs w:val="32"/>
          <w:lang w:val="en-US" w:eastAsia="zh-CN"/>
        </w:rPr>
        <w:t>57</w:t>
      </w:r>
      <w:r>
        <w:rPr>
          <w:rFonts w:hint="eastAsia" w:ascii="Times New Roman" w:hAnsi="Times New Roman" w:eastAsia="仿宋_GB2312" w:cs="Times New Roman"/>
          <w:sz w:val="32"/>
          <w:szCs w:val="32"/>
          <w:lang w:eastAsia="zh-CN"/>
        </w:rPr>
        <w:t>个（含大数据中心和驻长办），其中县政府领导编制</w:t>
      </w:r>
      <w:r>
        <w:rPr>
          <w:rFonts w:hint="eastAsia" w:ascii="Times New Roman" w:hAnsi="Times New Roman" w:eastAsia="仿宋_GB2312" w:cs="Times New Roman"/>
          <w:sz w:val="32"/>
          <w:szCs w:val="32"/>
          <w:lang w:val="en-US" w:eastAsia="zh-CN"/>
        </w:rPr>
        <w:t>8个，</w:t>
      </w:r>
      <w:r>
        <w:rPr>
          <w:rFonts w:hint="eastAsia" w:ascii="Times New Roman" w:hAnsi="Times New Roman" w:eastAsia="仿宋_GB2312" w:cs="Times New Roman"/>
          <w:sz w:val="32"/>
          <w:szCs w:val="32"/>
        </w:rPr>
        <w:t>行政编制17个，事业编制</w:t>
      </w:r>
      <w:r>
        <w:rPr>
          <w:rFonts w:hint="eastAsia" w:ascii="Times New Roman" w:hAnsi="Times New Roman" w:eastAsia="仿宋_GB2312" w:cs="Times New Roman"/>
          <w:sz w:val="32"/>
          <w:szCs w:val="32"/>
          <w:lang w:val="en-US" w:eastAsia="zh-CN"/>
        </w:rPr>
        <w:t>28</w:t>
      </w:r>
      <w:r>
        <w:rPr>
          <w:rFonts w:hint="eastAsia" w:ascii="Times New Roman" w:hAnsi="Times New Roman" w:eastAsia="仿宋_GB2312" w:cs="Times New Roman"/>
          <w:sz w:val="32"/>
          <w:szCs w:val="32"/>
        </w:rPr>
        <w:t>个，工勤编制</w:t>
      </w:r>
      <w:r>
        <w:rPr>
          <w:rFonts w:hint="eastAsia" w:eastAsia="仿宋_GB2312" w:cs="Times New Roman"/>
          <w:sz w:val="32"/>
          <w:szCs w:val="32"/>
          <w:lang w:val="en-US" w:eastAsia="zh-CN"/>
        </w:rPr>
        <w:t>4</w:t>
      </w:r>
      <w:r>
        <w:rPr>
          <w:rFonts w:hint="eastAsia" w:ascii="Times New Roman" w:hAnsi="Times New Roman" w:eastAsia="仿宋_GB2312" w:cs="Times New Roman"/>
          <w:sz w:val="32"/>
          <w:szCs w:val="32"/>
        </w:rPr>
        <w:t>个，现有在职人员</w:t>
      </w:r>
      <w:r>
        <w:rPr>
          <w:rFonts w:hint="eastAsia" w:ascii="Times New Roman" w:hAnsi="Times New Roman" w:eastAsia="仿宋_GB2312" w:cs="Times New Roman"/>
          <w:sz w:val="32"/>
          <w:szCs w:val="32"/>
          <w:lang w:val="en-US" w:eastAsia="zh-CN"/>
        </w:rPr>
        <w:t>50</w:t>
      </w:r>
      <w:r>
        <w:rPr>
          <w:rFonts w:hint="eastAsia" w:ascii="Times New Roman" w:hAnsi="Times New Roman" w:eastAsia="仿宋_GB2312" w:cs="Times New Roman"/>
          <w:sz w:val="32"/>
          <w:szCs w:val="32"/>
        </w:rPr>
        <w:t>人</w:t>
      </w:r>
      <w:r>
        <w:rPr>
          <w:rFonts w:hint="eastAsia" w:ascii="Times New Roman" w:hAnsi="Times New Roman" w:eastAsia="仿宋_GB2312" w:cs="Times New Roman"/>
          <w:sz w:val="32"/>
          <w:szCs w:val="32"/>
          <w:lang w:eastAsia="zh-CN"/>
        </w:rPr>
        <w:t>（含挂职</w:t>
      </w:r>
      <w:r>
        <w:rPr>
          <w:rFonts w:hint="eastAsia" w:ascii="Times New Roman" w:hAnsi="Times New Roman" w:eastAsia="仿宋_GB2312" w:cs="Times New Roman"/>
          <w:sz w:val="32"/>
          <w:szCs w:val="32"/>
          <w:lang w:val="en-US" w:eastAsia="zh-CN"/>
        </w:rPr>
        <w:t>2人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w:t>
      </w:r>
      <w:bookmarkStart w:id="28" w:name="_Toc632"/>
      <w:r>
        <w:rPr>
          <w:rFonts w:hint="eastAsia" w:ascii="Times New Roman" w:hAnsi="Times New Roman" w:eastAsia="仿宋_GB2312" w:cs="Times New Roman"/>
          <w:sz w:val="32"/>
          <w:szCs w:val="32"/>
          <w:lang w:val="en-US" w:eastAsia="zh-CN"/>
        </w:rPr>
        <w:t xml:space="preserve"> </w:t>
      </w:r>
    </w:p>
    <w:p>
      <w:pPr>
        <w:spacing w:line="620" w:lineRule="exact"/>
        <w:ind w:firstLine="640" w:firstLineChars="200"/>
        <w:outlineLvl w:val="0"/>
        <w:rPr>
          <w:rFonts w:hint="eastAsia" w:ascii="Times New Roman" w:hAnsi="Times New Roman" w:eastAsia="仿宋_GB2312" w:cs="Times New Roman"/>
          <w:sz w:val="32"/>
          <w:szCs w:val="32"/>
        </w:rPr>
      </w:pPr>
      <w:bookmarkStart w:id="29" w:name="_Toc23308"/>
      <w:r>
        <w:rPr>
          <w:rFonts w:hint="eastAsia" w:ascii="Times New Roman" w:hAnsi="Times New Roman" w:eastAsia="仿宋_GB2312" w:cs="Times New Roman"/>
          <w:sz w:val="32"/>
          <w:szCs w:val="32"/>
        </w:rPr>
        <w:t>二、预算收入支出情况</w:t>
      </w:r>
      <w:bookmarkEnd w:id="28"/>
      <w:bookmarkEnd w:id="29"/>
    </w:p>
    <w:p>
      <w:pPr>
        <w:spacing w:line="62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本单位2023年度收入总预算为</w:t>
      </w:r>
      <w:r>
        <w:rPr>
          <w:rFonts w:hint="eastAsia" w:ascii="Times New Roman" w:hAnsi="Times New Roman" w:eastAsia="仿宋_GB2312" w:cs="Times New Roman"/>
          <w:sz w:val="32"/>
          <w:szCs w:val="32"/>
          <w:lang w:val="en-US" w:eastAsia="zh-CN"/>
        </w:rPr>
        <w:t>1186.36</w:t>
      </w:r>
      <w:r>
        <w:rPr>
          <w:rFonts w:hint="eastAsia" w:ascii="Times New Roman" w:hAnsi="Times New Roman" w:eastAsia="仿宋_GB2312" w:cs="Times New Roman"/>
          <w:sz w:val="32"/>
          <w:szCs w:val="32"/>
        </w:rPr>
        <w:t>万元，支出总预算为</w:t>
      </w:r>
      <w:r>
        <w:rPr>
          <w:rFonts w:hint="eastAsia" w:ascii="Times New Roman" w:hAnsi="Times New Roman" w:eastAsia="仿宋_GB2312" w:cs="Times New Roman"/>
          <w:sz w:val="32"/>
          <w:szCs w:val="32"/>
          <w:lang w:val="en-US" w:eastAsia="zh-CN"/>
        </w:rPr>
        <w:t>1186.36</w:t>
      </w:r>
      <w:r>
        <w:rPr>
          <w:rFonts w:hint="eastAsia" w:ascii="Times New Roman" w:hAnsi="Times New Roman" w:eastAsia="仿宋_GB2312" w:cs="Times New Roman"/>
          <w:sz w:val="32"/>
          <w:szCs w:val="32"/>
        </w:rPr>
        <w:t>万元。具体情况为：</w:t>
      </w:r>
    </w:p>
    <w:p>
      <w:pPr>
        <w:spacing w:line="620" w:lineRule="exact"/>
        <w:ind w:firstLine="640" w:firstLineChars="200"/>
        <w:outlineLvl w:val="1"/>
        <w:rPr>
          <w:rFonts w:hint="eastAsia" w:ascii="Times New Roman" w:hAnsi="Times New Roman" w:eastAsia="仿宋_GB2312" w:cs="Times New Roman"/>
          <w:sz w:val="32"/>
          <w:szCs w:val="32"/>
        </w:rPr>
      </w:pPr>
      <w:bookmarkStart w:id="30" w:name="_Toc7748"/>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收入预算情况</w:t>
      </w:r>
      <w:bookmarkEnd w:id="30"/>
    </w:p>
    <w:p>
      <w:pPr>
        <w:spacing w:line="62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预算收入共计</w:t>
      </w:r>
      <w:r>
        <w:rPr>
          <w:rFonts w:hint="eastAsia" w:ascii="Times New Roman" w:hAnsi="Times New Roman" w:eastAsia="仿宋_GB2312" w:cs="Times New Roman"/>
          <w:sz w:val="32"/>
          <w:szCs w:val="32"/>
          <w:lang w:val="en-US" w:eastAsia="zh-CN"/>
        </w:rPr>
        <w:t>1186.36</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其中</w:t>
      </w:r>
      <w:r>
        <w:rPr>
          <w:rFonts w:hint="eastAsia" w:ascii="Times New Roman" w:hAnsi="Times New Roman" w:eastAsia="仿宋_GB2312" w:cs="Times New Roman"/>
          <w:sz w:val="32"/>
          <w:szCs w:val="32"/>
        </w:rPr>
        <w:t>一般公共预算</w:t>
      </w:r>
      <w:r>
        <w:rPr>
          <w:rFonts w:hint="eastAsia" w:ascii="Times New Roman" w:hAnsi="Times New Roman" w:eastAsia="仿宋_GB2312" w:cs="Times New Roman"/>
          <w:sz w:val="32"/>
          <w:szCs w:val="32"/>
          <w:lang w:val="en-US" w:eastAsia="zh-CN"/>
        </w:rPr>
        <w:t>1186.36万元，其中：基本816.03万元，项目370.33万元。</w:t>
      </w:r>
    </w:p>
    <w:p>
      <w:pPr>
        <w:spacing w:line="620" w:lineRule="exact"/>
        <w:ind w:firstLine="640" w:firstLineChars="200"/>
        <w:outlineLvl w:val="1"/>
        <w:rPr>
          <w:rFonts w:hint="eastAsia" w:ascii="Times New Roman" w:hAnsi="Times New Roman" w:eastAsia="仿宋_GB2312" w:cs="Times New Roman"/>
          <w:sz w:val="32"/>
          <w:szCs w:val="32"/>
        </w:rPr>
      </w:pPr>
      <w:bookmarkStart w:id="31" w:name="_Toc27966"/>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支出预算情况</w:t>
      </w:r>
      <w:bookmarkEnd w:id="31"/>
    </w:p>
    <w:p>
      <w:pPr>
        <w:spacing w:line="62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预算支出共计</w:t>
      </w:r>
      <w:r>
        <w:rPr>
          <w:rFonts w:hint="eastAsia" w:ascii="Times New Roman" w:hAnsi="Times New Roman" w:eastAsia="仿宋_GB2312" w:cs="Times New Roman"/>
          <w:sz w:val="32"/>
          <w:szCs w:val="32"/>
          <w:lang w:val="en-US" w:eastAsia="zh-CN"/>
        </w:rPr>
        <w:t>1186.36</w:t>
      </w:r>
      <w:r>
        <w:rPr>
          <w:rFonts w:hint="eastAsia"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816.03</w:t>
      </w:r>
      <w:r>
        <w:rPr>
          <w:rFonts w:hint="eastAsia" w:ascii="Times New Roman" w:hAnsi="Times New Roman" w:eastAsia="仿宋_GB2312" w:cs="Times New Roman"/>
          <w:sz w:val="32"/>
          <w:szCs w:val="32"/>
        </w:rPr>
        <w:t>万元，包括：工资福利支出</w:t>
      </w:r>
      <w:r>
        <w:rPr>
          <w:rFonts w:hint="eastAsia" w:ascii="Times New Roman" w:hAnsi="Times New Roman" w:eastAsia="仿宋_GB2312" w:cs="Times New Roman"/>
          <w:sz w:val="32"/>
          <w:szCs w:val="32"/>
          <w:lang w:val="en-US" w:eastAsia="zh-CN"/>
        </w:rPr>
        <w:t>636.24</w:t>
      </w:r>
      <w:r>
        <w:rPr>
          <w:rFonts w:hint="eastAsia" w:ascii="Times New Roman" w:hAnsi="Times New Roman" w:eastAsia="仿宋_GB2312" w:cs="Times New Roman"/>
          <w:sz w:val="32"/>
          <w:szCs w:val="32"/>
        </w:rPr>
        <w:t>万元、商品和服务支出</w:t>
      </w:r>
      <w:r>
        <w:rPr>
          <w:rFonts w:hint="eastAsia" w:ascii="Times New Roman" w:hAnsi="Times New Roman" w:eastAsia="仿宋_GB2312" w:cs="Times New Roman"/>
          <w:sz w:val="32"/>
          <w:szCs w:val="32"/>
          <w:lang w:val="en-US" w:eastAsia="zh-CN"/>
        </w:rPr>
        <w:t>172.8</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、其他对个人和家庭补助支出：6.98万元</w:t>
      </w:r>
      <w:r>
        <w:rPr>
          <w:rFonts w:hint="eastAsia"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370.33</w:t>
      </w:r>
      <w:r>
        <w:rPr>
          <w:rFonts w:hint="eastAsia" w:ascii="Times New Roman" w:hAnsi="Times New Roman" w:eastAsia="仿宋_GB2312" w:cs="Times New Roman"/>
          <w:sz w:val="32"/>
          <w:szCs w:val="32"/>
        </w:rPr>
        <w:t>万元。</w:t>
      </w:r>
    </w:p>
    <w:p>
      <w:pPr>
        <w:spacing w:line="62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年我部门年初预算批复数</w:t>
      </w:r>
      <w:r>
        <w:rPr>
          <w:rFonts w:hint="eastAsia" w:ascii="Times New Roman" w:hAnsi="Times New Roman" w:eastAsia="仿宋_GB2312" w:cs="Times New Roman"/>
          <w:sz w:val="32"/>
          <w:szCs w:val="32"/>
          <w:lang w:val="en-US" w:eastAsia="zh-CN"/>
        </w:rPr>
        <w:t>1005.39</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1186.36</w:t>
      </w:r>
      <w:r>
        <w:rPr>
          <w:rFonts w:hint="eastAsia" w:ascii="Times New Roman" w:hAnsi="Times New Roman" w:eastAsia="仿宋_GB2312" w:cs="Times New Roman"/>
          <w:sz w:val="32"/>
          <w:szCs w:val="32"/>
        </w:rPr>
        <w:t>万元, 年终决算数</w:t>
      </w:r>
      <w:r>
        <w:rPr>
          <w:rFonts w:hint="eastAsia" w:ascii="Times New Roman" w:hAnsi="Times New Roman" w:eastAsia="仿宋_GB2312" w:cs="Times New Roman"/>
          <w:sz w:val="32"/>
          <w:szCs w:val="32"/>
          <w:lang w:val="en-US" w:eastAsia="zh-CN"/>
        </w:rPr>
        <w:t>1186.36</w:t>
      </w:r>
      <w:r>
        <w:rPr>
          <w:rFonts w:hint="eastAsia" w:ascii="Times New Roman" w:hAnsi="Times New Roman" w:eastAsia="仿宋_GB2312" w:cs="Times New Roman"/>
          <w:sz w:val="32"/>
          <w:szCs w:val="32"/>
        </w:rPr>
        <w:t>万元,预算总体执行率为</w:t>
      </w:r>
      <w:r>
        <w:rPr>
          <w:rFonts w:hint="eastAsia" w:ascii="Times New Roman" w:hAnsi="Times New Roman" w:eastAsia="仿宋_GB2312" w:cs="Times New Roman"/>
          <w:sz w:val="32"/>
          <w:szCs w:val="32"/>
          <w:lang w:val="en-US" w:eastAsia="zh-CN"/>
        </w:rPr>
        <w:t>118</w:t>
      </w:r>
      <w:r>
        <w:rPr>
          <w:rFonts w:hint="eastAsia" w:ascii="Times New Roman" w:hAnsi="Times New Roman" w:eastAsia="仿宋_GB2312" w:cs="Times New Roman"/>
          <w:sz w:val="32"/>
          <w:szCs w:val="32"/>
        </w:rPr>
        <w:t>%(C/B*100%)。基本支出</w:t>
      </w:r>
      <w:r>
        <w:rPr>
          <w:rFonts w:hint="eastAsia" w:ascii="Times New Roman" w:hAnsi="Times New Roman" w:eastAsia="仿宋_GB2312" w:cs="Times New Roman"/>
          <w:sz w:val="32"/>
          <w:szCs w:val="32"/>
          <w:lang w:val="en-US" w:eastAsia="zh-CN"/>
        </w:rPr>
        <w:t>816.03</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其中人员经费支出</w:t>
      </w:r>
      <w:r>
        <w:rPr>
          <w:rFonts w:hint="eastAsia" w:ascii="Times New Roman" w:hAnsi="Times New Roman" w:eastAsia="仿宋_GB2312" w:cs="Times New Roman"/>
          <w:sz w:val="32"/>
          <w:szCs w:val="32"/>
          <w:lang w:val="en-US" w:eastAsia="zh-CN"/>
        </w:rPr>
        <w:t>643.23万元，</w:t>
      </w:r>
      <w:r>
        <w:rPr>
          <w:rFonts w:hint="eastAsia" w:ascii="Times New Roman" w:hAnsi="Times New Roman" w:eastAsia="仿宋_GB2312" w:cs="Times New Roman"/>
          <w:sz w:val="32"/>
          <w:szCs w:val="32"/>
          <w:lang w:eastAsia="zh-CN"/>
        </w:rPr>
        <w:t>较上年下降</w:t>
      </w:r>
      <w:r>
        <w:rPr>
          <w:rFonts w:hint="eastAsia" w:ascii="Times New Roman" w:hAnsi="Times New Roman" w:eastAsia="仿宋_GB2312" w:cs="Times New Roman"/>
          <w:sz w:val="32"/>
          <w:szCs w:val="32"/>
          <w:lang w:val="en-US" w:eastAsia="zh-CN"/>
        </w:rPr>
        <w:t>98.15万元，</w:t>
      </w:r>
      <w:r>
        <w:rPr>
          <w:rFonts w:hint="eastAsia" w:ascii="Times New Roman" w:hAnsi="Times New Roman" w:eastAsia="仿宋_GB2312" w:cs="Times New Roman"/>
          <w:sz w:val="32"/>
          <w:szCs w:val="32"/>
          <w:lang w:eastAsia="zh-CN"/>
        </w:rPr>
        <w:t>主要是</w:t>
      </w:r>
      <w:r>
        <w:rPr>
          <w:rFonts w:hint="eastAsia" w:ascii="Times New Roman" w:hAnsi="Times New Roman" w:eastAsia="仿宋_GB2312" w:cs="Times New Roman"/>
          <w:sz w:val="32"/>
          <w:szCs w:val="32"/>
          <w:lang w:val="en-US" w:eastAsia="zh-CN"/>
        </w:rPr>
        <w:t>人员异动及2023年绩效考核奖2024年发放等因素</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日常公用经费</w:t>
      </w:r>
      <w:r>
        <w:rPr>
          <w:rFonts w:hint="eastAsia" w:ascii="Times New Roman" w:hAnsi="Times New Roman" w:eastAsia="仿宋_GB2312" w:cs="Times New Roman"/>
          <w:sz w:val="32"/>
          <w:szCs w:val="32"/>
          <w:lang w:val="en-US" w:eastAsia="zh-CN"/>
        </w:rPr>
        <w:t>172.8</w:t>
      </w:r>
      <w:r>
        <w:rPr>
          <w:rFonts w:hint="eastAsia"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21.18</w:t>
      </w:r>
      <w:r>
        <w:rPr>
          <w:rFonts w:hint="eastAsia" w:ascii="Times New Roman" w:hAnsi="Times New Roman" w:eastAsia="仿宋_GB2312" w:cs="Times New Roman"/>
          <w:sz w:val="32"/>
          <w:szCs w:val="32"/>
        </w:rPr>
        <w:t>%，较上年</w:t>
      </w:r>
      <w:r>
        <w:rPr>
          <w:rFonts w:hint="eastAsia" w:ascii="Times New Roman" w:hAnsi="Times New Roman" w:eastAsia="仿宋_GB2312" w:cs="Times New Roman"/>
          <w:sz w:val="32"/>
          <w:szCs w:val="32"/>
          <w:lang w:eastAsia="zh-CN"/>
        </w:rPr>
        <w:t>下降</w:t>
      </w:r>
      <w:r>
        <w:rPr>
          <w:rFonts w:hint="eastAsia" w:ascii="Times New Roman" w:hAnsi="Times New Roman" w:eastAsia="仿宋_GB2312" w:cs="Times New Roman"/>
          <w:sz w:val="32"/>
          <w:szCs w:val="32"/>
          <w:lang w:val="en-US" w:eastAsia="zh-CN"/>
        </w:rPr>
        <w:t>2.28%。</w:t>
      </w:r>
      <w:r>
        <w:rPr>
          <w:rFonts w:hint="eastAsia"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370.33</w:t>
      </w:r>
      <w:r>
        <w:rPr>
          <w:rFonts w:hint="eastAsia" w:ascii="Times New Roman" w:hAnsi="Times New Roman" w:eastAsia="仿宋_GB2312" w:cs="Times New Roman"/>
          <w:sz w:val="32"/>
          <w:szCs w:val="32"/>
        </w:rPr>
        <w:t xml:space="preserve">万元 </w:t>
      </w:r>
      <w:r>
        <w:rPr>
          <w:rFonts w:hint="eastAsia" w:ascii="Times New Roman" w:hAnsi="Times New Roman" w:eastAsia="仿宋_GB2312" w:cs="Times New Roman"/>
          <w:sz w:val="32"/>
          <w:szCs w:val="32"/>
          <w:lang w:eastAsia="zh-CN"/>
        </w:rPr>
        <w:t>，较上年增加</w:t>
      </w:r>
      <w:r>
        <w:rPr>
          <w:rFonts w:hint="eastAsia" w:ascii="Times New Roman" w:hAnsi="Times New Roman" w:eastAsia="仿宋_GB2312" w:cs="Times New Roman"/>
          <w:sz w:val="32"/>
          <w:szCs w:val="32"/>
          <w:lang w:val="en-US" w:eastAsia="zh-CN"/>
        </w:rPr>
        <w:t>39.97万元，主要为上年度结转项目本年度安排支出</w:t>
      </w:r>
      <w:r>
        <w:rPr>
          <w:rFonts w:hint="eastAsia" w:ascii="Times New Roman" w:hAnsi="Times New Roman" w:eastAsia="仿宋_GB2312" w:cs="Times New Roman"/>
          <w:sz w:val="32"/>
          <w:szCs w:val="32"/>
          <w:lang w:eastAsia="zh-CN"/>
        </w:rPr>
        <w:t>。</w:t>
      </w:r>
    </w:p>
    <w:p>
      <w:pPr>
        <w:spacing w:line="62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本次绩效自评金额共计</w:t>
      </w:r>
      <w:r>
        <w:rPr>
          <w:rFonts w:hint="eastAsia" w:ascii="Times New Roman" w:hAnsi="Times New Roman" w:eastAsia="仿宋_GB2312" w:cs="Times New Roman"/>
          <w:sz w:val="32"/>
          <w:szCs w:val="32"/>
          <w:lang w:val="en-US" w:eastAsia="zh-CN"/>
        </w:rPr>
        <w:t>1186.36</w:t>
      </w:r>
      <w:r>
        <w:rPr>
          <w:rFonts w:hint="eastAsia" w:ascii="Times New Roman" w:hAnsi="Times New Roman" w:eastAsia="仿宋_GB2312" w:cs="Times New Roman"/>
          <w:sz w:val="32"/>
          <w:szCs w:val="32"/>
        </w:rPr>
        <w:t xml:space="preserve"> 万元</w:t>
      </w:r>
      <w:r>
        <w:rPr>
          <w:rFonts w:hint="eastAsia" w:ascii="Times New Roman" w:hAnsi="Times New Roman" w:eastAsia="仿宋_GB2312" w:cs="Times New Roman"/>
          <w:sz w:val="32"/>
          <w:szCs w:val="32"/>
          <w:lang w:eastAsia="zh-CN"/>
        </w:rPr>
        <w:t>，预算拨款资金全覆盖</w:t>
      </w:r>
      <w:r>
        <w:rPr>
          <w:rFonts w:hint="eastAsia" w:ascii="Times New Roman" w:hAnsi="Times New Roman" w:eastAsia="仿宋_GB2312" w:cs="Times New Roman"/>
          <w:sz w:val="32"/>
          <w:szCs w:val="32"/>
        </w:rPr>
        <w:t>。</w:t>
      </w:r>
    </w:p>
    <w:p>
      <w:pPr>
        <w:spacing w:line="620" w:lineRule="exact"/>
        <w:ind w:firstLine="640" w:firstLineChars="200"/>
        <w:outlineLvl w:val="1"/>
        <w:rPr>
          <w:rFonts w:hint="eastAsia" w:ascii="Times New Roman" w:hAnsi="Times New Roman" w:eastAsia="仿宋_GB2312" w:cs="Times New Roman"/>
          <w:sz w:val="32"/>
          <w:szCs w:val="32"/>
        </w:rPr>
      </w:pPr>
      <w:bookmarkStart w:id="32" w:name="_Toc17307"/>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预算执行情况</w:t>
      </w:r>
      <w:bookmarkEnd w:id="32"/>
    </w:p>
    <w:p>
      <w:pPr>
        <w:spacing w:line="62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2023年本单位年初结转结余0万元，本年度收</w:t>
      </w:r>
      <w:r>
        <w:rPr>
          <w:rFonts w:hint="eastAsia" w:ascii="Times New Roman" w:hAnsi="Times New Roman" w:eastAsia="仿宋_GB2312" w:cs="Times New Roman"/>
          <w:sz w:val="32"/>
          <w:szCs w:val="32"/>
          <w:lang w:val="en-US" w:eastAsia="zh-CN"/>
        </w:rPr>
        <w:t>1186.36</w:t>
      </w:r>
      <w:r>
        <w:rPr>
          <w:rFonts w:hint="eastAsia" w:ascii="Times New Roman" w:hAnsi="Times New Roman" w:eastAsia="仿宋_GB2312" w:cs="Times New Roman"/>
          <w:sz w:val="32"/>
          <w:szCs w:val="32"/>
        </w:rPr>
        <w:t>万元，本年度支出</w:t>
      </w:r>
      <w:r>
        <w:rPr>
          <w:rFonts w:hint="eastAsia" w:ascii="Times New Roman" w:hAnsi="Times New Roman" w:eastAsia="仿宋_GB2312" w:cs="Times New Roman"/>
          <w:sz w:val="32"/>
          <w:szCs w:val="32"/>
          <w:lang w:val="en-US" w:eastAsia="zh-CN"/>
        </w:rPr>
        <w:t>1186.36</w:t>
      </w:r>
      <w:r>
        <w:rPr>
          <w:rFonts w:hint="eastAsia" w:ascii="Times New Roman" w:hAnsi="Times New Roman" w:eastAsia="仿宋_GB2312" w:cs="Times New Roman"/>
          <w:sz w:val="32"/>
          <w:szCs w:val="32"/>
        </w:rPr>
        <w:t>万元，年末无结转结余。</w:t>
      </w:r>
    </w:p>
    <w:p>
      <w:pPr>
        <w:spacing w:line="620" w:lineRule="exact"/>
        <w:ind w:firstLine="640" w:firstLineChars="200"/>
        <w:outlineLvl w:val="0"/>
        <w:rPr>
          <w:rFonts w:hint="eastAsia" w:ascii="Times New Roman" w:hAnsi="Times New Roman" w:eastAsia="仿宋_GB2312" w:cs="Times New Roman"/>
          <w:sz w:val="32"/>
          <w:szCs w:val="32"/>
        </w:rPr>
      </w:pPr>
      <w:bookmarkStart w:id="33" w:name="_Toc3859"/>
      <w:r>
        <w:rPr>
          <w:rFonts w:hint="eastAsia" w:ascii="Times New Roman" w:hAnsi="Times New Roman" w:eastAsia="仿宋_GB2312" w:cs="Times New Roman"/>
          <w:sz w:val="32"/>
          <w:szCs w:val="32"/>
          <w:lang w:eastAsia="zh-CN"/>
        </w:rPr>
        <w:t>三</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主要</w:t>
      </w:r>
      <w:r>
        <w:rPr>
          <w:rFonts w:hint="eastAsia" w:ascii="Times New Roman" w:hAnsi="Times New Roman" w:eastAsia="仿宋_GB2312" w:cs="Times New Roman"/>
          <w:sz w:val="32"/>
          <w:szCs w:val="32"/>
        </w:rPr>
        <w:t>绩效情况</w:t>
      </w:r>
      <w:bookmarkEnd w:id="33"/>
    </w:p>
    <w:p>
      <w:pPr>
        <w:spacing w:line="62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（一）</w:t>
      </w:r>
      <w:r>
        <w:rPr>
          <w:rFonts w:hint="eastAsia" w:ascii="Times New Roman" w:hAnsi="Times New Roman" w:eastAsia="仿宋_GB2312" w:cs="Times New Roman"/>
          <w:sz w:val="32"/>
          <w:szCs w:val="32"/>
        </w:rPr>
        <w:t>部门整体支出绩效情况</w:t>
      </w:r>
    </w:p>
    <w:p>
      <w:pPr>
        <w:spacing w:line="62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综合协调高效运转。一是协调服务细致精准。每天集中调度县政府领导工作日程，有效提升了政府工作的科学化、规范化水平。同时，加强与县委、人大和政协之间的协调沟通，有力推动了县委、县政府重大决策部署落实落地。二是办文办会规范高效。严格把好发文起草关、审核关、发送关、时效关，着力提高公文质量。</w:t>
      </w:r>
      <w:r>
        <w:rPr>
          <w:rFonts w:hint="eastAsia" w:ascii="Times New Roman" w:hAnsi="Times New Roman" w:eastAsia="仿宋_GB2312" w:cs="Times New Roman"/>
          <w:sz w:val="32"/>
          <w:szCs w:val="32"/>
          <w:lang w:eastAsia="zh-CN"/>
        </w:rPr>
        <w:t>截至目前，</w:t>
      </w:r>
      <w:r>
        <w:rPr>
          <w:rFonts w:hint="eastAsia" w:ascii="Times New Roman" w:hAnsi="Times New Roman" w:eastAsia="仿宋_GB2312" w:cs="Times New Roman"/>
          <w:sz w:val="32"/>
          <w:szCs w:val="32"/>
        </w:rPr>
        <w:t>印发各类文件</w:t>
      </w:r>
      <w:r>
        <w:rPr>
          <w:rFonts w:hint="eastAsia" w:ascii="Times New Roman" w:hAnsi="Times New Roman" w:eastAsia="仿宋_GB2312" w:cs="Times New Roman"/>
          <w:sz w:val="32"/>
          <w:szCs w:val="32"/>
          <w:lang w:val="en-US" w:eastAsia="zh-CN"/>
        </w:rPr>
        <w:t>82</w:t>
      </w:r>
      <w:r>
        <w:rPr>
          <w:rFonts w:hint="eastAsia" w:ascii="Times New Roman" w:hAnsi="Times New Roman" w:eastAsia="仿宋_GB2312" w:cs="Times New Roman"/>
          <w:sz w:val="32"/>
          <w:szCs w:val="32"/>
        </w:rPr>
        <w:t>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接收办理各类公文</w:t>
      </w:r>
      <w:r>
        <w:rPr>
          <w:rFonts w:hint="eastAsia" w:ascii="Times New Roman" w:hAnsi="Times New Roman" w:eastAsia="仿宋_GB2312" w:cs="Times New Roman"/>
          <w:sz w:val="32"/>
          <w:szCs w:val="32"/>
          <w:lang w:val="en-US" w:eastAsia="zh-CN"/>
        </w:rPr>
        <w:t>1769</w:t>
      </w:r>
      <w:r>
        <w:rPr>
          <w:rFonts w:hint="eastAsia" w:ascii="Times New Roman" w:hAnsi="Times New Roman" w:eastAsia="仿宋_GB2312" w:cs="Times New Roman"/>
          <w:sz w:val="32"/>
          <w:szCs w:val="32"/>
        </w:rPr>
        <w:t>件。严格规范办会程序，</w:t>
      </w:r>
      <w:r>
        <w:rPr>
          <w:rFonts w:hint="eastAsia" w:ascii="Times New Roman" w:hAnsi="Times New Roman" w:eastAsia="仿宋_GB2312" w:cs="Times New Roman"/>
          <w:sz w:val="32"/>
          <w:szCs w:val="32"/>
          <w:lang w:eastAsia="zh-CN"/>
        </w:rPr>
        <w:t>在做好</w:t>
      </w:r>
      <w:r>
        <w:rPr>
          <w:rFonts w:hint="eastAsia" w:ascii="Times New Roman" w:hAnsi="Times New Roman" w:eastAsia="仿宋_GB2312" w:cs="Times New Roman"/>
          <w:sz w:val="32"/>
          <w:szCs w:val="32"/>
          <w:lang w:val="en-US" w:eastAsia="zh-CN"/>
        </w:rPr>
        <w:t>会前、会中、会后全方位服务的同时，</w:t>
      </w:r>
      <w:r>
        <w:rPr>
          <w:rFonts w:hint="eastAsia" w:ascii="Times New Roman" w:hAnsi="Times New Roman" w:eastAsia="仿宋_GB2312" w:cs="Times New Roman"/>
          <w:sz w:val="32"/>
          <w:szCs w:val="32"/>
        </w:rPr>
        <w:t>严控会议数量、规模和规格</w:t>
      </w:r>
      <w:r>
        <w:rPr>
          <w:rFonts w:hint="eastAsia" w:ascii="Times New Roman" w:hAnsi="Times New Roman" w:eastAsia="仿宋_GB2312" w:cs="Times New Roman"/>
          <w:sz w:val="32"/>
          <w:szCs w:val="32"/>
          <w:lang w:eastAsia="zh-CN"/>
        </w:rPr>
        <w:t>，共办会</w:t>
      </w:r>
      <w:r>
        <w:rPr>
          <w:rFonts w:hint="eastAsia" w:ascii="Times New Roman" w:hAnsi="Times New Roman" w:eastAsia="仿宋_GB2312" w:cs="Times New Roman"/>
          <w:sz w:val="32"/>
          <w:szCs w:val="32"/>
          <w:lang w:val="en-US" w:eastAsia="zh-CN"/>
        </w:rPr>
        <w:t>340次，</w:t>
      </w:r>
      <w:r>
        <w:rPr>
          <w:rFonts w:hint="eastAsia" w:ascii="Times New Roman" w:hAnsi="Times New Roman" w:eastAsia="仿宋_GB2312" w:cs="Times New Roman"/>
          <w:sz w:val="32"/>
          <w:szCs w:val="32"/>
          <w:lang w:eastAsia="zh-CN"/>
        </w:rPr>
        <w:t>实现了无差错、无纰漏</w:t>
      </w:r>
      <w:r>
        <w:rPr>
          <w:rFonts w:hint="eastAsia" w:ascii="Times New Roman" w:hAnsi="Times New Roman" w:eastAsia="仿宋_GB2312" w:cs="Times New Roman"/>
          <w:sz w:val="32"/>
          <w:szCs w:val="32"/>
        </w:rPr>
        <w:t>。三是应急值守保障到位。</w:t>
      </w:r>
      <w:r>
        <w:rPr>
          <w:rFonts w:hint="eastAsia" w:ascii="Times New Roman" w:hAnsi="Times New Roman" w:eastAsia="仿宋_GB2312" w:cs="Times New Roman"/>
          <w:sz w:val="32"/>
          <w:szCs w:val="32"/>
          <w:lang w:val="en-US" w:eastAsia="zh-CN"/>
        </w:rPr>
        <w:t>全力做好总值班室工作，健全值班值守制度，确保24小时专人值班值守和电话畅通，做到突发事件不迟报、不漏报、不瞒报。</w:t>
      </w:r>
    </w:p>
    <w:p>
      <w:pPr>
        <w:spacing w:line="62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参谋辅政精准发力。一是调查研究出成果。深入研判宏观经济形势，准确把握我县经济社会发展阶段特点，广泛开展调查研究，形成了一批具有前瞻性、针对性的决策建议，为县委县政府重大决策提供了基础支撑。</w:t>
      </w:r>
      <w:r>
        <w:rPr>
          <w:rFonts w:hint="eastAsia" w:ascii="Times New Roman" w:hAnsi="Times New Roman" w:eastAsia="仿宋_GB2312" w:cs="Times New Roman"/>
          <w:sz w:val="32"/>
          <w:szCs w:val="32"/>
          <w:lang w:eastAsia="zh-CN"/>
        </w:rPr>
        <w:t>截至目前，</w:t>
      </w:r>
      <w:r>
        <w:rPr>
          <w:rFonts w:hint="eastAsia" w:ascii="Times New Roman" w:hAnsi="Times New Roman" w:eastAsia="仿宋_GB2312" w:cs="Times New Roman"/>
          <w:sz w:val="32"/>
          <w:szCs w:val="32"/>
        </w:rPr>
        <w:t>共完成调研报告</w:t>
      </w:r>
      <w:r>
        <w:rPr>
          <w:rFonts w:hint="eastAsia" w:ascii="Times New Roman" w:hAnsi="Times New Roman" w:eastAsia="仿宋_GB2312" w:cs="Times New Roman"/>
          <w:sz w:val="32"/>
          <w:szCs w:val="32"/>
          <w:lang w:val="en-US" w:eastAsia="zh-CN"/>
        </w:rPr>
        <w:t>10余</w:t>
      </w:r>
      <w:r>
        <w:rPr>
          <w:rFonts w:hint="eastAsia" w:ascii="Times New Roman" w:hAnsi="Times New Roman" w:eastAsia="仿宋_GB2312" w:cs="Times New Roman"/>
          <w:sz w:val="32"/>
          <w:szCs w:val="32"/>
        </w:rPr>
        <w:t>篇，《</w:t>
      </w:r>
      <w:r>
        <w:rPr>
          <w:rFonts w:hint="eastAsia" w:ascii="Times New Roman" w:hAnsi="Times New Roman" w:eastAsia="仿宋_GB2312" w:cs="Times New Roman"/>
          <w:sz w:val="32"/>
          <w:szCs w:val="32"/>
          <w:lang w:eastAsia="zh-CN"/>
        </w:rPr>
        <w:t>关于推进县域</w:t>
      </w:r>
      <w:r>
        <w:rPr>
          <w:rFonts w:hint="eastAsia" w:ascii="Times New Roman" w:hAnsi="Times New Roman" w:eastAsia="仿宋_GB2312" w:cs="Times New Roman"/>
          <w:sz w:val="32"/>
          <w:szCs w:val="32"/>
        </w:rPr>
        <w:t>供应链</w:t>
      </w:r>
      <w:r>
        <w:rPr>
          <w:rFonts w:hint="eastAsia" w:ascii="Times New Roman" w:hAnsi="Times New Roman" w:eastAsia="仿宋_GB2312" w:cs="Times New Roman"/>
          <w:sz w:val="32"/>
          <w:szCs w:val="32"/>
          <w:lang w:eastAsia="zh-CN"/>
        </w:rPr>
        <w:t>体系</w:t>
      </w:r>
      <w:r>
        <w:rPr>
          <w:rFonts w:hint="eastAsia" w:ascii="Times New Roman" w:hAnsi="Times New Roman" w:eastAsia="仿宋_GB2312" w:cs="Times New Roman"/>
          <w:sz w:val="32"/>
          <w:szCs w:val="32"/>
        </w:rPr>
        <w:t>建设</w:t>
      </w:r>
      <w:r>
        <w:rPr>
          <w:rFonts w:hint="eastAsia" w:ascii="Times New Roman" w:hAnsi="Times New Roman" w:eastAsia="仿宋_GB2312" w:cs="Times New Roman"/>
          <w:sz w:val="32"/>
          <w:szCs w:val="32"/>
          <w:lang w:eastAsia="zh-CN"/>
        </w:rPr>
        <w:t>的调研报告</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关于2023年一季度</w:t>
      </w:r>
      <w:r>
        <w:rPr>
          <w:rFonts w:hint="eastAsia" w:ascii="Times New Roman" w:hAnsi="Times New Roman" w:eastAsia="仿宋_GB2312" w:cs="Times New Roman"/>
          <w:sz w:val="32"/>
          <w:szCs w:val="32"/>
          <w:lang w:eastAsia="zh-CN"/>
        </w:rPr>
        <w:t>县域经济运行情况</w:t>
      </w:r>
      <w:r>
        <w:rPr>
          <w:rFonts w:hint="eastAsia"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lang w:eastAsia="zh-CN"/>
        </w:rPr>
        <w:t>调</w:t>
      </w:r>
      <w:r>
        <w:rPr>
          <w:rFonts w:hint="eastAsia" w:ascii="Times New Roman" w:hAnsi="Times New Roman" w:eastAsia="仿宋_GB2312" w:cs="Times New Roman"/>
          <w:sz w:val="32"/>
          <w:szCs w:val="32"/>
          <w:lang w:val="en-US" w:eastAsia="zh-CN"/>
        </w:rPr>
        <w:t>研分析报告</w:t>
      </w:r>
      <w:r>
        <w:rPr>
          <w:rFonts w:hint="eastAsia" w:ascii="Times New Roman" w:hAnsi="Times New Roman" w:eastAsia="仿宋_GB2312" w:cs="Times New Roman"/>
          <w:sz w:val="32"/>
          <w:szCs w:val="32"/>
        </w:rPr>
        <w:t>》等调研成果被州、县吸收采纳。二是综合文稿出精品。牢固树立精品意识，认真撰写各类综合文稿，确保各类文稿符合上级要求、体现县政府意图、紧贴工作实际。高质量撰写完成政府工作报告、经济工作会讲话以及各类大型会议领导讲话材料等，切实发挥了参谋助手的作用。三是政务信息出亮点。围绕全县中心工作，积极关注经济发展重点、社会舆论焦点、群众关心热点，及时、全面、准确报送政务信息，为领导提供了有力的信息参谋服务。</w:t>
      </w:r>
      <w:r>
        <w:rPr>
          <w:rFonts w:hint="eastAsia" w:ascii="Times New Roman" w:hAnsi="Times New Roman" w:eastAsia="仿宋_GB2312" w:cs="Times New Roman"/>
          <w:sz w:val="32"/>
          <w:szCs w:val="32"/>
          <w:lang w:eastAsia="zh-CN"/>
        </w:rPr>
        <w:t>截至目前，</w:t>
      </w:r>
      <w:r>
        <w:rPr>
          <w:rFonts w:hint="eastAsia" w:ascii="Times New Roman" w:hAnsi="Times New Roman" w:eastAsia="仿宋_GB2312" w:cs="Times New Roman"/>
          <w:sz w:val="32"/>
          <w:szCs w:val="32"/>
        </w:rPr>
        <w:t>向州办报送信息</w:t>
      </w:r>
      <w:r>
        <w:rPr>
          <w:rFonts w:hint="eastAsia" w:ascii="Times New Roman" w:hAnsi="Times New Roman" w:eastAsia="仿宋_GB2312" w:cs="Times New Roman"/>
          <w:sz w:val="32"/>
          <w:szCs w:val="32"/>
          <w:lang w:val="en-US" w:eastAsia="zh-CN"/>
        </w:rPr>
        <w:t>200</w:t>
      </w:r>
      <w:r>
        <w:rPr>
          <w:rFonts w:hint="eastAsia" w:ascii="Times New Roman" w:hAnsi="Times New Roman" w:eastAsia="仿宋_GB2312" w:cs="Times New Roman"/>
          <w:sz w:val="32"/>
          <w:szCs w:val="32"/>
        </w:rPr>
        <w:t>余条以上，多条信息被国办、省办和州办采用，我县政务信息</w:t>
      </w:r>
      <w:r>
        <w:rPr>
          <w:rFonts w:hint="eastAsia" w:ascii="Times New Roman" w:hAnsi="Times New Roman" w:eastAsia="仿宋_GB2312" w:cs="Times New Roman"/>
          <w:sz w:val="32"/>
          <w:szCs w:val="32"/>
          <w:lang w:eastAsia="zh-CN"/>
        </w:rPr>
        <w:t>三季度考核排名全州第一</w:t>
      </w:r>
      <w:r>
        <w:rPr>
          <w:rFonts w:hint="eastAsia" w:ascii="Times New Roman" w:hAnsi="Times New Roman" w:eastAsia="仿宋_GB2312" w:cs="Times New Roman"/>
          <w:sz w:val="32"/>
          <w:szCs w:val="32"/>
        </w:rPr>
        <w:t>。如，我县报送的《</w:t>
      </w:r>
      <w:r>
        <w:rPr>
          <w:rFonts w:hint="eastAsia" w:ascii="Times New Roman" w:hAnsi="Times New Roman" w:eastAsia="仿宋_GB2312" w:cs="Times New Roman"/>
          <w:sz w:val="32"/>
          <w:szCs w:val="32"/>
          <w:lang w:eastAsia="zh-CN"/>
        </w:rPr>
        <w:t>坚持“三个上门”</w:t>
      </w:r>
      <w:r>
        <w:rPr>
          <w:rFonts w:hint="eastAsia" w:ascii="Times New Roman" w:hAnsi="Times New Roman" w:eastAsia="仿宋_GB2312" w:cs="Times New Roman"/>
          <w:sz w:val="32"/>
          <w:szCs w:val="32"/>
        </w:rPr>
        <w:t>》信息，被</w:t>
      </w:r>
      <w:r>
        <w:rPr>
          <w:rFonts w:hint="eastAsia" w:ascii="Times New Roman" w:hAnsi="Times New Roman" w:eastAsia="仿宋_GB2312" w:cs="Times New Roman"/>
          <w:sz w:val="32"/>
          <w:szCs w:val="32"/>
          <w:lang w:eastAsia="zh-CN"/>
        </w:rPr>
        <w:t>毛伟明省长</w:t>
      </w:r>
      <w:r>
        <w:rPr>
          <w:rFonts w:hint="eastAsia" w:ascii="Times New Roman" w:hAnsi="Times New Roman" w:eastAsia="仿宋_GB2312" w:cs="Times New Roman"/>
          <w:sz w:val="32"/>
          <w:szCs w:val="32"/>
        </w:rPr>
        <w:t>批示</w:t>
      </w:r>
      <w:r>
        <w:rPr>
          <w:rFonts w:hint="eastAsia" w:ascii="Times New Roman" w:hAnsi="Times New Roman" w:eastAsia="仿宋_GB2312" w:cs="Times New Roman"/>
          <w:sz w:val="32"/>
          <w:szCs w:val="32"/>
          <w:lang w:eastAsia="zh-CN"/>
        </w:rPr>
        <w:t>。</w:t>
      </w:r>
    </w:p>
    <w:p>
      <w:pPr>
        <w:spacing w:line="62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脱贫成果持续巩固</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深入贯彻落实中央1号文件精神，持续加强2个村（社区）驻村帮扶和结对联系帮扶，有力巩固帮扶村脱贫攻坚成效、提升了乡村振兴实绩。一是做实防贫监测。严格落实“三个全覆盖”工作要求，通过“一月一走访”及时掌握情况，实施动态监测和针对性帮扶，实现了帮扶村（社区）无一人返贫致贫现象。二是做优人居环境。把农村人居环境整治作为打好乡村振兴的“第一仗”，大力实施“一拆二改三清四化”行动，联点村社区容貌秩序焕然一新。三是做强集体经济。切实加强对驻点帮扶村集体经济发展工作的指导力度，全力创优发展模式，五里洲和大溪村集体经济总量均超过10万元以上，特别是五里洲村通过立旋劳务公司、光伏发电和门面收入，跻身全县17个50万元以上村集体经济“明星村”。</w:t>
      </w:r>
    </w:p>
    <w:p>
      <w:pPr>
        <w:spacing w:line="620" w:lineRule="exact"/>
        <w:ind w:firstLine="62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w w:val="97"/>
          <w:sz w:val="32"/>
          <w:szCs w:val="32"/>
          <w:lang w:val="en-US" w:eastAsia="zh-CN"/>
        </w:rPr>
        <w:t>4、</w:t>
      </w:r>
      <w:r>
        <w:rPr>
          <w:rFonts w:hint="eastAsia" w:ascii="Times New Roman" w:hAnsi="Times New Roman" w:eastAsia="仿宋_GB2312" w:cs="Times New Roman"/>
          <w:w w:val="97"/>
          <w:sz w:val="32"/>
          <w:szCs w:val="32"/>
        </w:rPr>
        <w:t xml:space="preserve">政务督查扎实全面。坚持把督查工作作为贯彻落实县委、县政府决策部署的重要环节来抓，实行跟踪督查，确保中心工作开展到哪里，政务督查就跟进到哪里。今年来，重点围绕安全生产、重点项目建设、病险水库、粮食生产、产业生产等工作开展专项督查22次，跟踪督查各级领导批示件12件，编发县政府督查通报5期、督查专报7期。同时，实行“一月一调度”工作机制，全力抓好“发展六仗”、争创省政府真抓实干督查激励等重点工作。 </w:t>
      </w:r>
    </w:p>
    <w:p>
      <w:pPr>
        <w:spacing w:line="62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机关党建常抓常新。以支部“五化”建设为抓手，以“党史学习”教育等各类活动为载体，坚持全覆盖、常态化、重创新，有效提升基层党组织创造力、凝聚力和战斗力，塑造了勤政创新、务实高效的机关新形象。</w:t>
      </w:r>
      <w:r>
        <w:rPr>
          <w:rFonts w:hint="eastAsia" w:ascii="Times New Roman" w:hAnsi="Times New Roman" w:eastAsia="仿宋_GB2312" w:cs="Times New Roman"/>
          <w:sz w:val="32"/>
          <w:szCs w:val="32"/>
          <w:lang w:val="en-US" w:eastAsia="zh-CN"/>
        </w:rPr>
        <w:t>截至目前，县政府办开展专题教育3次，召开民主生活会1次，坚持常态化周五学习，学习34次，召开党员大会6次，支部大会6次，开展党员活动62次，基本做到周周有活动、月月有学习。坚持履行“一岗双责”，坚持党建引领全局工作，</w:t>
      </w:r>
      <w:r>
        <w:rPr>
          <w:rFonts w:hint="eastAsia" w:ascii="Times New Roman" w:hAnsi="Times New Roman" w:eastAsia="仿宋_GB2312" w:cs="Times New Roman"/>
          <w:sz w:val="32"/>
          <w:szCs w:val="32"/>
        </w:rPr>
        <w:t>把党建工作与业务工作同谋划、同部署、同推进、同考核</w:t>
      </w:r>
      <w:r>
        <w:rPr>
          <w:rFonts w:hint="eastAsia" w:ascii="Times New Roman" w:hAnsi="Times New Roman" w:eastAsia="仿宋_GB2312" w:cs="Times New Roman"/>
          <w:sz w:val="32"/>
          <w:szCs w:val="32"/>
          <w:lang w:val="en-US" w:eastAsia="zh-CN"/>
        </w:rPr>
        <w:t>。同时，将意识形态工作作为党的建设和政权建设重要内容，纳入重要议事议程，列入党组年度工作要点。把意识形态工作同办公室中心工作同安排同部署同考评，打好意识形态主动战，传达学习意识形态有关文件、指示精神17次。</w:t>
      </w:r>
    </w:p>
    <w:p>
      <w:pPr>
        <w:spacing w:line="62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eastAsia="zh-CN"/>
        </w:rPr>
        <w:t>服务群众周密细致。政务公开方面，为方便群众及时查询到各类政务信息，累计发布各类政府信息7469条。截至目前，政府网站“县长信箱”共收到群众来信30件，其中有效信件24件，交部门办理回复24件，所有信件均已全部办结，按期办结率达到100%；红网“百姓呼声”平台共有196条留言问题，除个别留言部门尚在调查办理中外，其余均已按期完成答复办结；华声在线“投诉直通车”平台共有群众留言5条，通过调度督办，相关问题已全部完成交办答复，答复率100%。</w:t>
      </w:r>
      <w:r>
        <w:rPr>
          <w:rFonts w:hint="eastAsia" w:ascii="Times New Roman" w:hAnsi="Times New Roman" w:eastAsia="仿宋_GB2312" w:cs="Times New Roman"/>
          <w:sz w:val="32"/>
          <w:szCs w:val="32"/>
          <w:lang w:val="en-US" w:eastAsia="zh-CN"/>
        </w:rPr>
        <w:t>红十字会方面，累计累计争取和收到各类捐赠款物共计81.975元，为困难群众申请救助金，充分发挥了红十字会在人道领域的旗帜作用。禁毒工作方面，全力打好“禁毒”人民战争，核查管控涉毒吸毒人员1900余人次，有效防止吸毒人员肇事肇祸案事件发生。</w:t>
      </w:r>
      <w:r>
        <w:rPr>
          <w:rFonts w:hint="eastAsia" w:ascii="Times New Roman" w:hAnsi="Times New Roman" w:eastAsia="仿宋_GB2312" w:cs="Times New Roman"/>
          <w:sz w:val="32"/>
          <w:szCs w:val="32"/>
          <w:lang w:eastAsia="zh-CN"/>
        </w:rPr>
        <w:t>金融管理方面，加大银企对接力度，组织开展银企对接活动1次，截至目前，推动8家银行金融机构和33家企业对接签约金额4.65亿元。文明创建方面，坚持全员出动，持续深化办公室、联点村社区、振兴网格包联责任区文明创建工</w:t>
      </w:r>
      <w:r>
        <w:rPr>
          <w:rFonts w:hint="eastAsia" w:eastAsia="仿宋_GB2312" w:cs="Times New Roman"/>
          <w:sz w:val="32"/>
          <w:szCs w:val="32"/>
          <w:lang w:eastAsia="zh-CN"/>
        </w:rPr>
        <w:t>作</w:t>
      </w:r>
      <w:bookmarkStart w:id="44" w:name="_GoBack"/>
      <w:bookmarkEnd w:id="44"/>
      <w:r>
        <w:rPr>
          <w:rFonts w:hint="eastAsia" w:ascii="Times New Roman" w:hAnsi="Times New Roman" w:eastAsia="仿宋_GB2312" w:cs="Times New Roman"/>
          <w:sz w:val="32"/>
          <w:szCs w:val="32"/>
          <w:lang w:eastAsia="zh-CN"/>
        </w:rPr>
        <w:t>。</w:t>
      </w:r>
    </w:p>
    <w:p>
      <w:pPr>
        <w:spacing w:line="62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综上我部门履职完成情况与财政拨款金额基本匹配，较</w:t>
      </w:r>
    </w:p>
    <w:p>
      <w:pPr>
        <w:spacing w:line="620" w:lineRule="exac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好地履行了部门职责，部门整体支出绩效自评得分98分。</w:t>
      </w:r>
    </w:p>
    <w:p>
      <w:pPr>
        <w:spacing w:line="62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（二）项目支出绩效自评</w:t>
      </w:r>
    </w:p>
    <w:p>
      <w:pPr>
        <w:spacing w:line="620" w:lineRule="exact"/>
        <w:ind w:firstLine="640" w:firstLineChars="200"/>
        <w:outlineLvl w:val="1"/>
        <w:rPr>
          <w:rFonts w:hint="eastAsia" w:ascii="Times New Roman" w:hAnsi="Times New Roman" w:eastAsia="仿宋_GB2312" w:cs="Times New Roman"/>
          <w:sz w:val="32"/>
          <w:szCs w:val="32"/>
          <w:lang w:val="en-US" w:eastAsia="zh-CN"/>
        </w:rPr>
      </w:pPr>
      <w:bookmarkStart w:id="34" w:name="_Toc31934"/>
      <w:bookmarkStart w:id="35" w:name="_Toc14257"/>
      <w:r>
        <w:rPr>
          <w:rFonts w:hint="eastAsia" w:ascii="Times New Roman" w:hAnsi="Times New Roman" w:eastAsia="仿宋_GB2312" w:cs="Times New Roman"/>
          <w:sz w:val="32"/>
          <w:szCs w:val="32"/>
          <w:lang w:val="en-US" w:eastAsia="zh-CN"/>
        </w:rPr>
        <w:t>1、预算绩效管理工作开展情况</w:t>
      </w:r>
      <w:bookmarkEnd w:id="34"/>
      <w:bookmarkEnd w:id="35"/>
    </w:p>
    <w:p>
      <w:pPr>
        <w:spacing w:line="62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根据预算绩效管理要求，本部门组织对2023年一般公共预算项目支出全面开展绩效自评。其中，专项业务费项目12个、占一般公共预算项目支出总额的100%。</w:t>
      </w:r>
    </w:p>
    <w:p>
      <w:pPr>
        <w:spacing w:line="620" w:lineRule="exact"/>
        <w:ind w:firstLine="640" w:firstLineChars="200"/>
        <w:outlineLvl w:val="1"/>
        <w:rPr>
          <w:rFonts w:hint="eastAsia" w:ascii="Times New Roman" w:hAnsi="Times New Roman" w:eastAsia="仿宋_GB2312" w:cs="Times New Roman"/>
          <w:sz w:val="32"/>
          <w:szCs w:val="32"/>
          <w:lang w:val="en-US" w:eastAsia="zh-CN"/>
        </w:rPr>
      </w:pPr>
      <w:bookmarkStart w:id="36" w:name="_Toc30901"/>
      <w:r>
        <w:rPr>
          <w:rFonts w:hint="eastAsia" w:ascii="Times New Roman" w:hAnsi="Times New Roman" w:eastAsia="仿宋_GB2312" w:cs="Times New Roman"/>
          <w:sz w:val="32"/>
          <w:szCs w:val="32"/>
          <w:lang w:val="en-US" w:eastAsia="zh-CN"/>
        </w:rPr>
        <w:t>2、项目绩效自评结果</w:t>
      </w:r>
      <w:bookmarkEnd w:id="36"/>
    </w:p>
    <w:p>
      <w:pPr>
        <w:spacing w:line="62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12345</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热线绩效自评情况</w:t>
      </w:r>
    </w:p>
    <w:p>
      <w:pPr>
        <w:spacing w:line="62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年初设定的绩效目标，项目自评得分100分。项目全年预算数8.75万元，执行数8.75万元，完成预算的100%。主要产出和效果：通过项目实施，为进一步畅通群众社情民意反映渠道，密切党群干群关系，提高政府社会治理水平，主要做好以下工作：切实做好来电登记，预计处理完成群众诉求事件100余件，确保做到民有所呼，政有所应。</w:t>
      </w:r>
    </w:p>
    <w:p>
      <w:pPr>
        <w:spacing w:line="62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（2）参政辅政工作绩效自评情况</w:t>
      </w:r>
    </w:p>
    <w:p>
      <w:pPr>
        <w:spacing w:line="62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年初设定的绩效目标，项目自评得分100分。项目全年预算数49.82万元，执行数49.82万元，完成预算的100%。深入研判宏观经济形势，准确把握我县经济社会发展阶段特点，广泛开展调查研究，形成了一批具有前瞻性、针对性的决策建议，为县委县政府重大决策提供了基础支撑。截至目前，共完成调研报告10余篇，《关于推进县域供应链体系建设的调研报告》《关于2023年一季度县域经济运行情况的调研分析报告》等调研成果被州、县吸收采纳。</w:t>
      </w:r>
    </w:p>
    <w:p>
      <w:pPr>
        <w:spacing w:line="62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（3）春节值班慰问绩效自评情况</w:t>
      </w:r>
    </w:p>
    <w:p>
      <w:pPr>
        <w:spacing w:line="62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年初设定的绩效目标，项目自评得分100分。项目全年预算数15.5万元，执行数15.5万元，完成预算的100%。项目主要用于在春节来临之际，开展慰问活动，是坚持以人民为中心的发展思想，认真贯彻落实党中央，国务院决策部署和市县党委政府工作要求的重要举措，有针对性的帮助解决干部职工及群众实际生产生活困难，切实履职尽责，主动回应社会关切，使广大党员、干部和群众切实感受到党和政府的温暖，确保广大干部职工群众度过一个欢乐祥和的节日。</w:t>
      </w:r>
    </w:p>
    <w:p>
      <w:pPr>
        <w:spacing w:line="62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（4）电子政务外网运行维护绩效自评情况</w:t>
      </w:r>
    </w:p>
    <w:p>
      <w:pPr>
        <w:spacing w:line="62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年初设定的绩效目标，项目自评得分100分。项目全年预算数81.08万元，执行数81.08万元，完成预算的100%。建设政府办公自动化，面向决策支持、面向公众服务的综合平台，在经济和信息全球化的快速推动下，网络信息化已经成为一个国家在世界竞争力强弱的一个体现，也是发展社会经济带动国家前进的关键。电子政务已经成为国家社会发展不可或缺的工作，发展电子政务是政府转变职能，增加政府行政管理的透明度。</w:t>
      </w:r>
    </w:p>
    <w:p>
      <w:pPr>
        <w:spacing w:line="62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（5）县大型会议工作绩效自评情况</w:t>
      </w:r>
    </w:p>
    <w:p>
      <w:pPr>
        <w:spacing w:line="62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年初设定的绩效目标，项目自评得分100分。项目全年预算数29.24万元，执行数29.24万元，完成预算的100%。县政府围绕高质量发展要求，坚持不懈抓项目，强产业、优环境、惠民生、保稳定，推动全县高质量发展的坚实补发，进一步加强党的领导，发挥县委、县政府总揽全局，协调各方面作用，发挥优势，当好服务的“智囊团”。</w:t>
      </w:r>
    </w:p>
    <w:p>
      <w:pPr>
        <w:spacing w:line="62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（6）县金额工作绩效自评情况</w:t>
      </w:r>
    </w:p>
    <w:p>
      <w:pPr>
        <w:spacing w:line="62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年初设定的绩效目标，项目自评得分100分。项目全年预算数20万元，执行数20万元，完成预算的100%。根据项目绩效目标和指标，办公室内财务管理规章制度，预计全年非法集资大宣传3次（五月宣传月、元旦春节两节、乡镇巡回宣传），不定期7次，发放宣传手册</w:t>
      </w:r>
      <w:r>
        <w:rPr>
          <w:rFonts w:hint="default" w:ascii="Times New Roman" w:hAnsi="Times New Roman" w:eastAsia="仿宋_GB2312" w:cs="Times New Roman"/>
          <w:sz w:val="32"/>
          <w:szCs w:val="32"/>
          <w:lang w:val="en" w:eastAsia="zh-CN"/>
        </w:rPr>
        <w:t>35</w:t>
      </w:r>
      <w:r>
        <w:rPr>
          <w:rFonts w:hint="eastAsia" w:ascii="Times New Roman" w:hAnsi="Times New Roman" w:eastAsia="仿宋_GB2312" w:cs="Times New Roman"/>
          <w:sz w:val="32"/>
          <w:szCs w:val="32"/>
          <w:lang w:val="en-US" w:eastAsia="zh-CN"/>
        </w:rPr>
        <w:t>000余份、宣传海报500余份、展板200余张，主要用于深入宣传防范涉众型非法经营活动，《防范和处置非法集资条例》，向社会公众宣传涉众型非法金融活动，揭示合法行为和违法活动的区别，非法集资的违法性、危害性及其表现形式等，普及金融知识等。</w:t>
      </w:r>
    </w:p>
    <w:p>
      <w:pPr>
        <w:spacing w:line="62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（7）政务信息化工作绩效自评情况</w:t>
      </w:r>
    </w:p>
    <w:p>
      <w:pPr>
        <w:spacing w:line="62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年初设定的绩效目标，项目自评得分100分。项目全年预算数16.5万元，执行数16.5万元，完成预算的100%。一是做好政府网站日常管理和维护，每月对网站所有栏目及内容进行一次全面检查，确保网站功能正常，内容无误，更新及时；二是严格执行信息发布三审制度，各单位负责人为第一责任人，日常信息发布必须按流程审核把关，重要文件资料发布须同时上交领导签字的纸质档存底；三是对县内重点单位重要信息上稿开展培训，减少内容错误；四是完成147个村社区便民服务大厅电子政务外网接入工作，协助完成“湖南省电子政务一体化平台”村级办事服务中心建设，乡镇电子政务外网维护管理纳入县政府对乡镇考核项目；五是规范电子政务外网日常维护要求，明确网络的日常监测、安装规范、维护内容及工作日志等。</w:t>
      </w:r>
    </w:p>
    <w:p>
      <w:pPr>
        <w:spacing w:line="62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（8）政务督查工作绩效自评情况</w:t>
      </w:r>
    </w:p>
    <w:p>
      <w:pPr>
        <w:spacing w:line="62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根据年初设定的绩效目标，项目自评得分100分。项目全年预算数20.2万元，执行数20.2万元，完成预算的100%，牵头实施州、县政府目标管理任务</w:t>
      </w:r>
      <w:r>
        <w:rPr>
          <w:rFonts w:hint="default" w:ascii="Times New Roman" w:hAnsi="Times New Roman" w:eastAsia="仿宋_GB2312" w:cs="Times New Roman"/>
          <w:sz w:val="32"/>
          <w:szCs w:val="32"/>
          <w:lang w:val="en" w:eastAsia="zh-CN"/>
        </w:rPr>
        <w:t>,</w:t>
      </w:r>
      <w:r>
        <w:rPr>
          <w:rFonts w:hint="eastAsia" w:ascii="Times New Roman" w:hAnsi="Times New Roman" w:eastAsia="仿宋_GB2312" w:cs="Times New Roman"/>
          <w:sz w:val="32"/>
          <w:szCs w:val="32"/>
          <w:lang w:val="en-US" w:eastAsia="zh-CN"/>
        </w:rPr>
        <w:t>制定考核细则，细化任务指标，明确目标责任，按月调度，督导各责任单位目标任务保质保量按时序进度完成</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组织开展重大决策、重点工作、重点项目专项和综合督查</w:t>
      </w:r>
      <w:r>
        <w:rPr>
          <w:rFonts w:hint="default" w:ascii="Times New Roman" w:hAnsi="Times New Roman" w:eastAsia="仿宋_GB2312" w:cs="Times New Roman"/>
          <w:sz w:val="32"/>
          <w:szCs w:val="32"/>
          <w:lang w:val="en" w:eastAsia="zh-CN"/>
        </w:rPr>
        <w:t>,</w:t>
      </w:r>
      <w:r>
        <w:rPr>
          <w:rFonts w:hint="eastAsia" w:ascii="Times New Roman" w:hAnsi="Times New Roman" w:eastAsia="仿宋_GB2312" w:cs="Times New Roman"/>
          <w:sz w:val="32"/>
          <w:szCs w:val="32"/>
          <w:lang w:val="en-US" w:eastAsia="zh-CN"/>
        </w:rPr>
        <w:t>全年完成各类督查督办80次，编发督查通报10期</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抓好县政府常务会议、县长办公会议决定事项和督办落实，全年完成《政府督查专报》编发10期。及时办理领导交办的批示件，做到件件有单位承办、事事有专人负责，确保领导批示、交办事项落地落实</w:t>
      </w:r>
      <w:r>
        <w:rPr>
          <w:rFonts w:hint="eastAsia" w:eastAsia="仿宋_GB2312" w:cs="Times New Roman"/>
          <w:sz w:val="32"/>
          <w:szCs w:val="32"/>
          <w:lang w:val="en-US" w:eastAsia="zh-CN"/>
        </w:rPr>
        <w:t>。</w:t>
      </w:r>
    </w:p>
    <w:p>
      <w:pPr>
        <w:spacing w:line="62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（9）重大决策绩效自评情况</w:t>
      </w:r>
    </w:p>
    <w:p>
      <w:pPr>
        <w:spacing w:line="62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根据年初设定的绩效目标，项目自评得分100分。项目全年预算数24.24万元，执行数24.24万元，完成预算的100%。通过该项目资金保障围绕坚持把重大工作作为贯彻落实县委、县政府决策部署的重要环节来抓，重点围绕安全生产、重点项目建设、病险水库、粮食生产、产业生产等工作开展专项，同时，实行“一月一调度”工作机制，全力抓好“发展六仗”、争创省政府真抓实干督查激励等重点工作。 </w:t>
      </w:r>
    </w:p>
    <w:p>
      <w:pPr>
        <w:spacing w:line="62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（10）州政府目标考核奖绩效自评情况</w:t>
      </w:r>
    </w:p>
    <w:p>
      <w:pPr>
        <w:spacing w:line="62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年初设定的绩效目标，项目自评得分100分。项目全年预算数20万元，执行数20万元，完成预算的100%。为加强机关日常工作正常运转，激发干事创新热情，转变工作作风，提高工作效率，进一步推动社会经济高质量发展，坚持“能者上，平者让、庸者下”的用人原则，结合实际工作，根据县政府组织考核上年度县直、乡镇单位各单位，针对年初工作完成情况，鼓励创先争优、激发正能量。</w:t>
      </w:r>
    </w:p>
    <w:p>
      <w:pPr>
        <w:spacing w:line="62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（11）驻长办信访工作绩效自评情况</w:t>
      </w:r>
    </w:p>
    <w:p>
      <w:pPr>
        <w:spacing w:line="62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年初设定的绩效目标，项目自评得分100分。项目全年预算数15万元，执行数25万元，完成预算的166.67%。信访接待人次较上年少10余人次，通过月通报、季调度、督查谁、考核评、发函评、挂牌督等形势拧紧责任发条，督促包案领导和责任单位对信访积案化解和重点人员教育转化工作思想上更重视、措施上更有利、时效上更及时、切实提高信访积案化解质量。</w:t>
      </w:r>
    </w:p>
    <w:p>
      <w:pPr>
        <w:spacing w:line="62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（12）党建专项活动经费绩效自评情况</w:t>
      </w:r>
    </w:p>
    <w:p>
      <w:pPr>
        <w:spacing w:line="62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年初设定的绩效目标，项目自评得分100分。项目全年预算数30万元，执行数30万元，完成预算的100%。党的十八大以来，中央做出推进学习教育常态化制度化的重大决策部署，要求把党支部建设作为重要的基本建设，充分发挥党支部教育管理党员主体作用，树立了档的一切工作到支部的鲜明导向，为进一步夯实基层党组织建设，切实保障基层党组织党建活动管理。</w:t>
      </w:r>
    </w:p>
    <w:p>
      <w:pPr>
        <w:spacing w:line="620" w:lineRule="exact"/>
        <w:ind w:firstLine="640" w:firstLineChars="200"/>
        <w:outlineLvl w:val="0"/>
        <w:rPr>
          <w:rFonts w:hint="eastAsia" w:ascii="Times New Roman" w:hAnsi="Times New Roman" w:eastAsia="仿宋_GB2312" w:cs="Times New Roman"/>
          <w:sz w:val="32"/>
          <w:szCs w:val="32"/>
          <w:lang w:val="en-US" w:eastAsia="zh-CN"/>
        </w:rPr>
      </w:pPr>
      <w:bookmarkStart w:id="37" w:name="_Toc12608"/>
      <w:r>
        <w:rPr>
          <w:rFonts w:hint="eastAsia" w:ascii="Times New Roman" w:hAnsi="Times New Roman" w:eastAsia="仿宋_GB2312" w:cs="Times New Roman"/>
          <w:sz w:val="32"/>
          <w:szCs w:val="32"/>
          <w:lang w:val="en-US" w:eastAsia="zh-CN"/>
        </w:rPr>
        <w:t>四、部门预算绩效管理主要经验及做法</w:t>
      </w:r>
      <w:bookmarkEnd w:id="37"/>
    </w:p>
    <w:p>
      <w:pPr>
        <w:spacing w:line="620" w:lineRule="exact"/>
        <w:ind w:firstLine="640" w:firstLineChars="200"/>
        <w:outlineLvl w:val="1"/>
        <w:rPr>
          <w:rFonts w:hint="eastAsia" w:ascii="Times New Roman" w:hAnsi="Times New Roman" w:eastAsia="仿宋_GB2312" w:cs="Times New Roman"/>
          <w:sz w:val="32"/>
          <w:szCs w:val="32"/>
          <w:lang w:val="en-US" w:eastAsia="zh-CN"/>
        </w:rPr>
      </w:pPr>
      <w:bookmarkStart w:id="38" w:name="_Toc20551"/>
      <w:r>
        <w:rPr>
          <w:rFonts w:hint="eastAsia" w:ascii="Times New Roman" w:hAnsi="Times New Roman" w:eastAsia="仿宋_GB2312" w:cs="Times New Roman"/>
          <w:sz w:val="32"/>
          <w:szCs w:val="32"/>
          <w:lang w:val="en-US" w:eastAsia="zh-CN"/>
        </w:rPr>
        <w:t>1、强化理论学习</w:t>
      </w:r>
      <w:bookmarkEnd w:id="38"/>
    </w:p>
    <w:p>
      <w:pPr>
        <w:spacing w:line="62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加强财会知识、预算法相关知识的学习，提高财务管理理论水平。按照财务会计制度准则新要求进行单位账务处理，摆脱原来在思想理论和专业技术水平方面的陋习，提高了站位，丰富了自我，依法依规进行单位财务核算，在财务管理中做好参谋。</w:t>
      </w:r>
    </w:p>
    <w:p>
      <w:pPr>
        <w:spacing w:line="620" w:lineRule="exact"/>
        <w:ind w:firstLine="640" w:firstLineChars="200"/>
        <w:outlineLvl w:val="1"/>
        <w:rPr>
          <w:rFonts w:hint="eastAsia" w:ascii="Times New Roman" w:hAnsi="Times New Roman" w:eastAsia="仿宋_GB2312" w:cs="Times New Roman"/>
          <w:sz w:val="32"/>
          <w:szCs w:val="32"/>
          <w:lang w:val="en-US" w:eastAsia="zh-CN"/>
        </w:rPr>
      </w:pPr>
      <w:bookmarkStart w:id="39" w:name="_Toc9963"/>
      <w:r>
        <w:rPr>
          <w:rFonts w:hint="eastAsia" w:ascii="Times New Roman" w:hAnsi="Times New Roman" w:eastAsia="仿宋_GB2312" w:cs="Times New Roman"/>
          <w:sz w:val="32"/>
          <w:szCs w:val="32"/>
          <w:lang w:val="en-US" w:eastAsia="zh-CN"/>
        </w:rPr>
        <w:t>2、严格收支管理</w:t>
      </w:r>
      <w:bookmarkEnd w:id="39"/>
    </w:p>
    <w:p>
      <w:pPr>
        <w:spacing w:line="62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我单位对一切费用开支严格按财务制度要求执行，并做好每月的预算及预算执行情况统计。根据年初预算方案结合本年度实际工作开展情况，在保障正常业务活动开展相关刚性支出的同时调剂安排催进社会事业发展需求的其他支出。确保在有限的经费前提下，各方面工作稳步推进，提高资金的使用效益。</w:t>
      </w:r>
    </w:p>
    <w:p>
      <w:pPr>
        <w:spacing w:line="620" w:lineRule="exact"/>
        <w:ind w:firstLine="640" w:firstLineChars="200"/>
        <w:outlineLvl w:val="0"/>
        <w:rPr>
          <w:rFonts w:hint="eastAsia" w:ascii="Times New Roman" w:hAnsi="Times New Roman" w:eastAsia="仿宋_GB2312" w:cs="Times New Roman"/>
          <w:sz w:val="32"/>
          <w:szCs w:val="32"/>
          <w:lang w:val="en-US" w:eastAsia="zh-CN"/>
        </w:rPr>
      </w:pPr>
      <w:bookmarkStart w:id="40" w:name="_Toc7878"/>
      <w:r>
        <w:rPr>
          <w:rFonts w:hint="eastAsia" w:ascii="Times New Roman" w:hAnsi="Times New Roman" w:eastAsia="仿宋_GB2312" w:cs="Times New Roman"/>
          <w:sz w:val="32"/>
          <w:szCs w:val="32"/>
          <w:lang w:val="en-US" w:eastAsia="zh-CN"/>
        </w:rPr>
        <w:t>五、预算绩效管理存在的问题及改进措施</w:t>
      </w:r>
      <w:bookmarkEnd w:id="40"/>
    </w:p>
    <w:p>
      <w:pPr>
        <w:spacing w:line="620" w:lineRule="exact"/>
        <w:ind w:firstLine="640" w:firstLineChars="200"/>
        <w:outlineLvl w:val="1"/>
        <w:rPr>
          <w:rFonts w:hint="eastAsia" w:ascii="Times New Roman" w:hAnsi="Times New Roman" w:eastAsia="仿宋_GB2312" w:cs="Times New Roman"/>
          <w:sz w:val="32"/>
          <w:szCs w:val="32"/>
          <w:lang w:val="en-US" w:eastAsia="zh-CN"/>
        </w:rPr>
      </w:pPr>
      <w:bookmarkStart w:id="41" w:name="_Toc16149"/>
      <w:r>
        <w:rPr>
          <w:rFonts w:hint="eastAsia"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未完成绩效目标或偏离绩效目标较大项目情况</w:t>
      </w:r>
      <w:bookmarkEnd w:id="41"/>
    </w:p>
    <w:p>
      <w:pPr>
        <w:spacing w:line="62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我单位未出现未完成绩效目标或偏离绩效目标较大项目。</w:t>
      </w:r>
    </w:p>
    <w:p>
      <w:pPr>
        <w:spacing w:line="620" w:lineRule="exact"/>
        <w:ind w:firstLine="640" w:firstLineChars="200"/>
        <w:outlineLvl w:val="1"/>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bookmarkStart w:id="42" w:name="_Toc5366"/>
      <w:r>
        <w:rPr>
          <w:rFonts w:hint="eastAsia"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专业人员缺乏</w:t>
      </w:r>
      <w:bookmarkEnd w:id="42"/>
    </w:p>
    <w:p>
      <w:pPr>
        <w:spacing w:line="62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我单位由于缺乏专业技术财务人员，在预算绩效管理方面对政策的理解和把握不全面，导致预算绩效拖进不理想。以后我单位将通过招考专业技术日常和加强财务人员培训来强化和财务管理、预算绩效水平。</w:t>
      </w:r>
    </w:p>
    <w:p>
      <w:pPr>
        <w:spacing w:line="620" w:lineRule="exact"/>
        <w:ind w:firstLine="640" w:firstLineChars="200"/>
        <w:outlineLvl w:val="1"/>
        <w:rPr>
          <w:rFonts w:hint="eastAsia" w:ascii="Times New Roman" w:hAnsi="Times New Roman" w:eastAsia="仿宋_GB2312" w:cs="Times New Roman"/>
          <w:sz w:val="32"/>
          <w:szCs w:val="32"/>
          <w:lang w:val="en-US" w:eastAsia="zh-CN"/>
        </w:rPr>
      </w:pPr>
      <w:bookmarkStart w:id="43" w:name="_Toc17305"/>
      <w:r>
        <w:rPr>
          <w:rFonts w:hint="eastAsia"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预决算存在差异</w:t>
      </w:r>
      <w:bookmarkEnd w:id="43"/>
    </w:p>
    <w:p>
      <w:pPr>
        <w:spacing w:line="62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因上级专项资金无法确定导致编制年初预算时仅仅为单位人员工作支出、公用经费和县级已确定的部分项目资金，导致年初预算数与年末决算数有差异。以后本单位将坚持实事求是，切实做到不少报、不漏报、不估报，采取科学的方法进行测算，以减少预算调整数。  </w:t>
      </w: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tbl>
      <w:tblPr>
        <w:tblStyle w:val="16"/>
        <w:tblpPr w:leftFromText="180" w:rightFromText="180" w:vertAnchor="text" w:tblpXSpec="center" w:tblpY="30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8"/>
        <w:gridCol w:w="4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3668" w:type="dxa"/>
            <w:noWrap w:val="0"/>
            <w:vAlign w:val="top"/>
          </w:tcPr>
          <w:p>
            <w:pP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预算单位：</w:t>
            </w:r>
          </w:p>
        </w:tc>
        <w:tc>
          <w:tcPr>
            <w:tcW w:w="4691" w:type="dxa"/>
            <w:noWrap w:val="0"/>
            <w:vAlign w:val="top"/>
          </w:tcPr>
          <w:p>
            <w:pP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    </w:t>
            </w:r>
          </w:p>
          <w:p>
            <w:pP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 负责人签字： </w:t>
            </w:r>
          </w:p>
          <w:p>
            <w:pP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jc w:val="center"/>
        </w:trPr>
        <w:tc>
          <w:tcPr>
            <w:tcW w:w="3668" w:type="dxa"/>
            <w:noWrap w:val="0"/>
            <w:vAlign w:val="top"/>
          </w:tcPr>
          <w:p>
            <w:pPr>
              <w:rPr>
                <w:rFonts w:hint="eastAsia" w:ascii="仿宋" w:hAnsi="仿宋" w:eastAsia="仿宋" w:cs="仿宋"/>
                <w:sz w:val="32"/>
                <w:szCs w:val="32"/>
                <w:vertAlign w:val="baseline"/>
                <w:lang w:eastAsia="zh-CN"/>
              </w:rPr>
            </w:pPr>
          </w:p>
          <w:p>
            <w:pP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eastAsia="zh-CN"/>
              </w:rPr>
              <w:t>财政局主管股室：</w:t>
            </w:r>
          </w:p>
        </w:tc>
        <w:tc>
          <w:tcPr>
            <w:tcW w:w="4691" w:type="dxa"/>
            <w:noWrap w:val="0"/>
            <w:vAlign w:val="top"/>
          </w:tcPr>
          <w:p>
            <w:pP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           </w:t>
            </w:r>
          </w:p>
          <w:p>
            <w:pP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负责人签字：</w:t>
            </w:r>
          </w:p>
          <w:p>
            <w:pP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           年    月   日</w:t>
            </w:r>
          </w:p>
        </w:tc>
      </w:tr>
    </w:tbl>
    <w:p>
      <w:pPr>
        <w:tabs>
          <w:tab w:val="left" w:pos="5212"/>
        </w:tabs>
        <w:bidi w:val="0"/>
        <w:jc w:val="left"/>
        <w:rPr>
          <w:rFonts w:hint="eastAsia" w:ascii="仿宋" w:hAnsi="仿宋" w:eastAsia="仿宋" w:cs="仿宋"/>
          <w:sz w:val="32"/>
          <w:szCs w:val="32"/>
          <w:lang w:val="en-US" w:eastAsia="zh-CN"/>
        </w:rPr>
      </w:pPr>
    </w:p>
    <w:p>
      <w:pPr>
        <w:pStyle w:val="2"/>
        <w:rPr>
          <w:rFonts w:hint="eastAsia"/>
          <w:lang w:val="en-US" w:eastAsia="zh-CN"/>
        </w:rPr>
      </w:pPr>
    </w:p>
    <w:p>
      <w:pPr>
        <w:tabs>
          <w:tab w:val="left" w:pos="5212"/>
        </w:tabs>
        <w:bidi w:val="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泸溪县人民政府办公室</w:t>
      </w:r>
    </w:p>
    <w:p>
      <w:pPr>
        <w:ind w:firstLine="5120" w:firstLineChars="1600"/>
        <w:rPr>
          <w:rFonts w:ascii="仿宋" w:hAnsi="仿宋" w:eastAsia="仿宋" w:cs="仿宋"/>
          <w:sz w:val="32"/>
          <w:szCs w:val="32"/>
        </w:rPr>
      </w:pPr>
      <w:r>
        <w:rPr>
          <w:rFonts w:hint="eastAsia" w:ascii="仿宋" w:hAnsi="仿宋" w:eastAsia="仿宋" w:cs="仿宋"/>
          <w:sz w:val="32"/>
          <w:szCs w:val="32"/>
          <w:lang w:val="en-US" w:eastAsia="zh-CN"/>
        </w:rPr>
        <w:t>2024年 5月27日</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J0Aw3PKAQAAnAMAAA4AAAAA&#10;AAAAAQAgAAAANAEAAGRycy9lMm9Eb2MueG1sUEsFBgAAAAAGAAYAWQEAAHA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yNGFmNGI3NGY2ZTJjZWFiYTliM2YyYmQ5OTEzODMifQ=="/>
  </w:docVars>
  <w:rsids>
    <w:rsidRoot w:val="007822DB"/>
    <w:rsid w:val="00017080"/>
    <w:rsid w:val="000B3120"/>
    <w:rsid w:val="00113552"/>
    <w:rsid w:val="00165682"/>
    <w:rsid w:val="001775A0"/>
    <w:rsid w:val="001936B5"/>
    <w:rsid w:val="001A0C4A"/>
    <w:rsid w:val="001D5893"/>
    <w:rsid w:val="00274CBE"/>
    <w:rsid w:val="002E4C0B"/>
    <w:rsid w:val="002E5CA2"/>
    <w:rsid w:val="003431B4"/>
    <w:rsid w:val="00344F9F"/>
    <w:rsid w:val="0034564A"/>
    <w:rsid w:val="003F7D1B"/>
    <w:rsid w:val="004150E3"/>
    <w:rsid w:val="00417725"/>
    <w:rsid w:val="00481EBE"/>
    <w:rsid w:val="00492561"/>
    <w:rsid w:val="004C3252"/>
    <w:rsid w:val="004E0928"/>
    <w:rsid w:val="00515B2C"/>
    <w:rsid w:val="005255AF"/>
    <w:rsid w:val="00604EAC"/>
    <w:rsid w:val="00751CA9"/>
    <w:rsid w:val="007822DB"/>
    <w:rsid w:val="00790D55"/>
    <w:rsid w:val="007C6373"/>
    <w:rsid w:val="0081541A"/>
    <w:rsid w:val="0084385B"/>
    <w:rsid w:val="00845E51"/>
    <w:rsid w:val="00865A88"/>
    <w:rsid w:val="00887E4B"/>
    <w:rsid w:val="008E3B11"/>
    <w:rsid w:val="00934EC1"/>
    <w:rsid w:val="009F46FE"/>
    <w:rsid w:val="00A04480"/>
    <w:rsid w:val="00A2100A"/>
    <w:rsid w:val="00A82E78"/>
    <w:rsid w:val="00AB253E"/>
    <w:rsid w:val="00AD45B5"/>
    <w:rsid w:val="00AF086E"/>
    <w:rsid w:val="00B10593"/>
    <w:rsid w:val="00B64D25"/>
    <w:rsid w:val="00BB7B22"/>
    <w:rsid w:val="00C005CE"/>
    <w:rsid w:val="00C736D5"/>
    <w:rsid w:val="00C94B6A"/>
    <w:rsid w:val="00C975A7"/>
    <w:rsid w:val="00CB1CAE"/>
    <w:rsid w:val="00CF274D"/>
    <w:rsid w:val="00CF3F03"/>
    <w:rsid w:val="00D14A27"/>
    <w:rsid w:val="00DF10D2"/>
    <w:rsid w:val="00E13059"/>
    <w:rsid w:val="00E37CC7"/>
    <w:rsid w:val="00E41FDD"/>
    <w:rsid w:val="00E44C8D"/>
    <w:rsid w:val="00E63BB5"/>
    <w:rsid w:val="00E82F67"/>
    <w:rsid w:val="00F25403"/>
    <w:rsid w:val="00F31A17"/>
    <w:rsid w:val="00F70754"/>
    <w:rsid w:val="00F83481"/>
    <w:rsid w:val="05E83F29"/>
    <w:rsid w:val="06B75848"/>
    <w:rsid w:val="0B0A565B"/>
    <w:rsid w:val="104C4F2E"/>
    <w:rsid w:val="17D2052B"/>
    <w:rsid w:val="18AE37F5"/>
    <w:rsid w:val="192561AE"/>
    <w:rsid w:val="1B3501FE"/>
    <w:rsid w:val="1D48246B"/>
    <w:rsid w:val="1E5D5F60"/>
    <w:rsid w:val="1FC61D6D"/>
    <w:rsid w:val="20191E9C"/>
    <w:rsid w:val="2826784C"/>
    <w:rsid w:val="2EE8585B"/>
    <w:rsid w:val="2F433B90"/>
    <w:rsid w:val="2F4C1C7E"/>
    <w:rsid w:val="32B85E58"/>
    <w:rsid w:val="348E0C53"/>
    <w:rsid w:val="358E07DF"/>
    <w:rsid w:val="3630AD9C"/>
    <w:rsid w:val="3B1E53B3"/>
    <w:rsid w:val="3C0D6901"/>
    <w:rsid w:val="3C3E15E3"/>
    <w:rsid w:val="453942C3"/>
    <w:rsid w:val="47152B0E"/>
    <w:rsid w:val="49B27967"/>
    <w:rsid w:val="49C5556E"/>
    <w:rsid w:val="4B0C5FD6"/>
    <w:rsid w:val="4BBB762A"/>
    <w:rsid w:val="4CE0771A"/>
    <w:rsid w:val="4D4A6024"/>
    <w:rsid w:val="4EF30D4E"/>
    <w:rsid w:val="4FBA6948"/>
    <w:rsid w:val="5AA5317A"/>
    <w:rsid w:val="5CB542B3"/>
    <w:rsid w:val="5DD72788"/>
    <w:rsid w:val="5FD72BFF"/>
    <w:rsid w:val="5FE175D9"/>
    <w:rsid w:val="5FFBCDF5"/>
    <w:rsid w:val="62E713AB"/>
    <w:rsid w:val="667B2536"/>
    <w:rsid w:val="67A26B47"/>
    <w:rsid w:val="6983444E"/>
    <w:rsid w:val="6B463F87"/>
    <w:rsid w:val="6C7F08A6"/>
    <w:rsid w:val="6C847C6A"/>
    <w:rsid w:val="6EBD609B"/>
    <w:rsid w:val="70545BA6"/>
    <w:rsid w:val="71E65A71"/>
    <w:rsid w:val="737EDC03"/>
    <w:rsid w:val="73C31078"/>
    <w:rsid w:val="7434457B"/>
    <w:rsid w:val="764E30F5"/>
    <w:rsid w:val="76B13BBA"/>
    <w:rsid w:val="7A5A025C"/>
    <w:rsid w:val="7C3030A2"/>
    <w:rsid w:val="7C7A6994"/>
    <w:rsid w:val="7D995730"/>
    <w:rsid w:val="7DDD7DAF"/>
    <w:rsid w:val="7DDF44CE"/>
    <w:rsid w:val="7DF3A0F7"/>
    <w:rsid w:val="7EEF910C"/>
    <w:rsid w:val="7F3923F3"/>
    <w:rsid w:val="7FA71B15"/>
    <w:rsid w:val="7FC77420"/>
    <w:rsid w:val="9DAF94B6"/>
    <w:rsid w:val="BCEF6FE6"/>
    <w:rsid w:val="BF3F3F1C"/>
    <w:rsid w:val="BFEE8039"/>
    <w:rsid w:val="F47B7588"/>
    <w:rsid w:val="FBDA64F8"/>
    <w:rsid w:val="FBFFCBD9"/>
    <w:rsid w:val="FEFF4246"/>
    <w:rsid w:val="FFD53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rPr>
      <w:rFonts w:hint="eastAsia"/>
      <w:sz w:val="32"/>
    </w:rPr>
  </w:style>
  <w:style w:type="paragraph" w:styleId="4">
    <w:name w:val="index 5"/>
    <w:basedOn w:val="1"/>
    <w:next w:val="1"/>
    <w:qFormat/>
    <w:uiPriority w:val="0"/>
    <w:pPr>
      <w:ind w:left="800" w:leftChars="800"/>
    </w:pPr>
  </w:style>
  <w:style w:type="paragraph" w:styleId="5">
    <w:name w:val="Body Text"/>
    <w:basedOn w:val="1"/>
    <w:next w:val="1"/>
    <w:link w:val="22"/>
    <w:qFormat/>
    <w:uiPriority w:val="0"/>
    <w:pPr>
      <w:spacing w:after="120"/>
    </w:pPr>
  </w:style>
  <w:style w:type="paragraph" w:styleId="6">
    <w:name w:val="toc 3"/>
    <w:basedOn w:val="1"/>
    <w:next w:val="1"/>
    <w:unhideWhenUsed/>
    <w:qFormat/>
    <w:uiPriority w:val="39"/>
    <w:pPr>
      <w:widowControl/>
      <w:spacing w:after="100" w:line="276" w:lineRule="auto"/>
      <w:ind w:left="440"/>
      <w:jc w:val="left"/>
    </w:pPr>
    <w:rPr>
      <w:kern w:val="0"/>
      <w:sz w:val="22"/>
      <w:szCs w:val="22"/>
    </w:rPr>
  </w:style>
  <w:style w:type="paragraph" w:styleId="7">
    <w:name w:val="Plain Text"/>
    <w:basedOn w:val="1"/>
    <w:unhideWhenUsed/>
    <w:qFormat/>
    <w:uiPriority w:val="99"/>
    <w:rPr>
      <w:rFonts w:ascii="宋体" w:hAnsi="Courier New" w:eastAsia="宋体" w:cs="Courier New"/>
      <w:szCs w:val="21"/>
    </w:rPr>
  </w:style>
  <w:style w:type="paragraph" w:styleId="8">
    <w:name w:val="Balloon Text"/>
    <w:basedOn w:val="1"/>
    <w:link w:val="27"/>
    <w:qFormat/>
    <w:uiPriority w:val="0"/>
    <w:rPr>
      <w:sz w:val="18"/>
      <w:szCs w:val="18"/>
    </w:rPr>
  </w:style>
  <w:style w:type="paragraph" w:styleId="9">
    <w:name w:val="footer"/>
    <w:basedOn w:val="1"/>
    <w:next w:val="4"/>
    <w:link w:val="19"/>
    <w:unhideWhenUsed/>
    <w:qFormat/>
    <w:uiPriority w:val="0"/>
    <w:pPr>
      <w:tabs>
        <w:tab w:val="center" w:pos="4153"/>
        <w:tab w:val="right" w:pos="8306"/>
      </w:tabs>
      <w:snapToGrid w:val="0"/>
      <w:jc w:val="left"/>
    </w:pPr>
    <w:rPr>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76" w:lineRule="auto"/>
      <w:jc w:val="left"/>
    </w:pPr>
    <w:rPr>
      <w:kern w:val="0"/>
      <w:sz w:val="22"/>
      <w:szCs w:val="22"/>
    </w:rPr>
  </w:style>
  <w:style w:type="paragraph" w:styleId="12">
    <w:name w:val="toc 2"/>
    <w:basedOn w:val="1"/>
    <w:next w:val="1"/>
    <w:unhideWhenUsed/>
    <w:qFormat/>
    <w:uiPriority w:val="39"/>
    <w:pPr>
      <w:widowControl/>
      <w:spacing w:after="100" w:line="276" w:lineRule="auto"/>
      <w:ind w:left="220"/>
      <w:jc w:val="left"/>
    </w:pPr>
    <w:rPr>
      <w:kern w:val="0"/>
      <w:sz w:val="22"/>
      <w:szCs w:val="22"/>
    </w:rPr>
  </w:style>
  <w:style w:type="paragraph" w:styleId="13">
    <w:name w:val="Normal (Web)"/>
    <w:basedOn w:val="1"/>
    <w:qFormat/>
    <w:uiPriority w:val="0"/>
    <w:rPr>
      <w:rFonts w:ascii="Times New Roman" w:hAnsi="Times New Roman" w:eastAsia="宋体" w:cs="Times New Roman"/>
      <w:sz w:val="24"/>
    </w:rPr>
  </w:style>
  <w:style w:type="paragraph" w:styleId="14">
    <w:name w:val="Body Text First Indent"/>
    <w:basedOn w:val="5"/>
    <w:link w:val="23"/>
    <w:qFormat/>
    <w:uiPriority w:val="0"/>
    <w:pPr>
      <w:ind w:firstLine="420" w:firstLineChars="100"/>
    </w:pPr>
    <w:rPr>
      <w:rFonts w:ascii="Times New Roman" w:hAnsi="Times New Roman" w:eastAsia="宋体" w:cs="Times New Roman"/>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customStyle="1" w:styleId="19">
    <w:name w:val="页脚 Char"/>
    <w:basedOn w:val="17"/>
    <w:link w:val="9"/>
    <w:qFormat/>
    <w:uiPriority w:val="0"/>
    <w:rPr>
      <w:kern w:val="2"/>
      <w:sz w:val="18"/>
      <w:szCs w:val="18"/>
    </w:rPr>
  </w:style>
  <w:style w:type="character" w:customStyle="1" w:styleId="20">
    <w:name w:val="页眉 Char"/>
    <w:basedOn w:val="17"/>
    <w:link w:val="10"/>
    <w:qFormat/>
    <w:uiPriority w:val="0"/>
    <w:rPr>
      <w:kern w:val="2"/>
      <w:sz w:val="18"/>
      <w:szCs w:val="18"/>
    </w:rPr>
  </w:style>
  <w:style w:type="paragraph" w:customStyle="1" w:styleId="21">
    <w:name w:val="UserStyle_0"/>
    <w:basedOn w:val="1"/>
    <w:qFormat/>
    <w:uiPriority w:val="0"/>
    <w:pPr>
      <w:widowControl/>
      <w:shd w:val="clear" w:color="auto" w:fill="FFFFFF"/>
      <w:spacing w:before="100" w:beforeAutospacing="1" w:after="100" w:afterAutospacing="1"/>
      <w:ind w:left="562"/>
      <w:jc w:val="center"/>
      <w:textAlignment w:val="baseline"/>
    </w:pPr>
    <w:rPr>
      <w:rFonts w:ascii="宋体" w:hAnsi="宋体" w:eastAsia="宋体" w:cs="Times New Roman"/>
      <w:b/>
      <w:bCs/>
    </w:rPr>
  </w:style>
  <w:style w:type="character" w:customStyle="1" w:styleId="22">
    <w:name w:val="正文文本 Char"/>
    <w:basedOn w:val="17"/>
    <w:link w:val="5"/>
    <w:qFormat/>
    <w:uiPriority w:val="0"/>
    <w:rPr>
      <w:kern w:val="2"/>
      <w:sz w:val="21"/>
      <w:szCs w:val="24"/>
    </w:rPr>
  </w:style>
  <w:style w:type="character" w:customStyle="1" w:styleId="23">
    <w:name w:val="正文首行缩进 Char"/>
    <w:basedOn w:val="22"/>
    <w:link w:val="14"/>
    <w:qFormat/>
    <w:uiPriority w:val="0"/>
    <w:rPr>
      <w:rFonts w:ascii="Times New Roman" w:hAnsi="Times New Roman" w:eastAsia="宋体" w:cs="Times New Roman"/>
    </w:rPr>
  </w:style>
  <w:style w:type="paragraph" w:styleId="24">
    <w:name w:val="List Paragraph"/>
    <w:basedOn w:val="1"/>
    <w:unhideWhenUsed/>
    <w:qFormat/>
    <w:uiPriority w:val="99"/>
    <w:pPr>
      <w:ind w:firstLine="420" w:firstLineChars="200"/>
    </w:pPr>
  </w:style>
  <w:style w:type="character" w:customStyle="1" w:styleId="25">
    <w:name w:val="标题 1 Char"/>
    <w:basedOn w:val="17"/>
    <w:link w:val="3"/>
    <w:qFormat/>
    <w:uiPriority w:val="0"/>
    <w:rPr>
      <w:rFonts w:asciiTheme="minorHAnsi" w:hAnsiTheme="minorHAnsi" w:eastAsiaTheme="minorEastAsia" w:cstheme="minorBidi"/>
      <w:b/>
      <w:bCs/>
      <w:kern w:val="44"/>
      <w:sz w:val="44"/>
      <w:szCs w:val="44"/>
    </w:rPr>
  </w:style>
  <w:style w:type="paragraph" w:customStyle="1" w:styleId="26">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27">
    <w:name w:val="批注框文本 Char"/>
    <w:basedOn w:val="17"/>
    <w:link w:val="8"/>
    <w:qFormat/>
    <w:uiPriority w:val="0"/>
    <w:rPr>
      <w:rFonts w:asciiTheme="minorHAnsi" w:hAnsiTheme="minorHAnsi" w:eastAsiaTheme="minorEastAsia" w:cstheme="minorBidi"/>
      <w:kern w:val="2"/>
      <w:sz w:val="18"/>
      <w:szCs w:val="18"/>
    </w:rPr>
  </w:style>
  <w:style w:type="paragraph" w:customStyle="1" w:styleId="28">
    <w:name w:val="WPSOffice手动目录 1"/>
    <w:qFormat/>
    <w:uiPriority w:val="0"/>
    <w:rPr>
      <w:rFonts w:ascii="Times New Roman" w:hAnsi="Times New Roman" w:eastAsia="宋体" w:cs="Times New Roman"/>
      <w:lang w:val="en-US" w:eastAsia="zh-CN" w:bidi="ar-SA"/>
    </w:rPr>
  </w:style>
  <w:style w:type="paragraph" w:customStyle="1" w:styleId="2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0">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9337</Words>
  <Characters>1598</Characters>
  <Lines>13</Lines>
  <Paragraphs>21</Paragraphs>
  <TotalTime>3</TotalTime>
  <ScaleCrop>false</ScaleCrop>
  <LinksUpToDate>false</LinksUpToDate>
  <CharactersWithSpaces>10914</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2024-05-19T00:29:00Z</dcterms:created>
  <dc:creator>Administrator</dc:creator>
  <cp:lastModifiedBy>kylin</cp:lastModifiedBy>
  <dcterms:modified xsi:type="dcterms:W3CDTF">2024-09-24T09:20:20Z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539D1E6E626E487F9B02F85291165866_13</vt:lpwstr>
  </property>
</Properties>
</file>