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spacing w:line="560" w:lineRule="exact"/>
        <w:ind w:firstLine="2340" w:firstLineChars="650"/>
        <w:rPr>
          <w:rFonts w:eastAsia="方正小标宋_GBK"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项目绩效目标申报表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br w:type="textWrapping"/>
      </w:r>
      <w:r>
        <w:rPr>
          <w:rFonts w:hint="eastAsia" w:eastAsia="楷体_GB2312"/>
          <w:kern w:val="0"/>
          <w:sz w:val="32"/>
          <w:szCs w:val="32"/>
        </w:rPr>
        <w:t xml:space="preserve">                  </w:t>
      </w:r>
      <w:r>
        <w:rPr>
          <w:rFonts w:eastAsia="楷体_GB2312"/>
          <w:kern w:val="0"/>
          <w:sz w:val="32"/>
          <w:szCs w:val="32"/>
        </w:rPr>
        <w:t xml:space="preserve">（ 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2021</w:t>
      </w:r>
      <w:r>
        <w:rPr>
          <w:rFonts w:eastAsia="楷体_GB2312"/>
          <w:kern w:val="0"/>
          <w:sz w:val="32"/>
          <w:szCs w:val="32"/>
        </w:rPr>
        <w:t>年度）</w:t>
      </w:r>
    </w:p>
    <w:p>
      <w:pPr>
        <w:spacing w:line="560" w:lineRule="exac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申报单位（盖章）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/>
          <w:kern w:val="0"/>
          <w:sz w:val="28"/>
          <w:szCs w:val="28"/>
        </w:rPr>
        <w:t>泸溪县电影事业管理服务中心</w:t>
      </w:r>
    </w:p>
    <w:tbl>
      <w:tblPr>
        <w:tblStyle w:val="1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56"/>
        <w:gridCol w:w="1541"/>
        <w:gridCol w:w="1771"/>
        <w:gridCol w:w="114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项目名称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eastAsia="zh-CN"/>
              </w:rPr>
              <w:t>县重大活动管理工作经费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辰河大剧院运转经费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项目主管单位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中共泸溪县委宣传部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项目实施单位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泸溪县电影事业管理服务中心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负责人电话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陈官社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13787925637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项目资金预算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（万元）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本年申请预算：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7.2万元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上年度预算：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其中：县级一般预算：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7.2万元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其中：县级一般预算：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基金（非税）预算：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基金（非税）预算：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其他资金：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中央省州转移支付：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项目概况</w:t>
            </w:r>
          </w:p>
        </w:tc>
        <w:tc>
          <w:tcPr>
            <w:tcW w:w="756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该项目主要用于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召开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2021年度县委、县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各类重大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会议及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文艺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演出活动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的工作经费</w:t>
            </w:r>
            <w:r>
              <w:rPr>
                <w:rFonts w:hint="eastAsia" w:ascii="仿宋_GB2312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项目立项依据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县委县政府会议研究通过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项目属性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tbl>
            <w:tblPr>
              <w:tblStyle w:val="16"/>
              <w:tblpPr w:leftFromText="180" w:rightFromText="180" w:vertAnchor="text" w:horzAnchor="page" w:tblpX="2881" w:tblpY="1"/>
              <w:tblOverlap w:val="never"/>
              <w:tblW w:w="77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480" w:firstLineChars="2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延续项目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     当年新增□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 xml:space="preserve">    一次性追加□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项目分类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77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left="1101" w:leftChars="67" w:hanging="960" w:hangingChars="4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专项业务费类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lang w:eastAsia="zh-CN"/>
                    </w:rPr>
                    <w:t>☑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基本建设类□  政策补助类□ 信息化建设类□</w:t>
                  </w:r>
                </w:p>
                <w:p>
                  <w:pPr>
                    <w:widowControl/>
                    <w:ind w:left="1101" w:leftChars="67" w:hanging="960" w:hangingChars="400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政府采购类□   政府购买服务类□  修缮维护类□  其他项目□</w:t>
                  </w:r>
                  <w:r>
                    <w:rPr>
                      <w:rFonts w:hint="eastAsia" w:ascii="仿宋_GB2312" w:hAnsi="Wingdings 2" w:eastAsia="仿宋_GB2312" w:cs="宋体"/>
                      <w:kern w:val="0"/>
                      <w:sz w:val="24"/>
                    </w:rPr>
                    <w:t></w:t>
                  </w:r>
                </w:p>
              </w:tc>
            </w:tr>
          </w:tbl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项目实施进度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计划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辰河大剧院运转经费开始时间：202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完成时间：202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.12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项目年度目标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目标1：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2021年度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召开</w:t>
            </w:r>
            <w:r>
              <w:rPr>
                <w:rFonts w:hint="eastAsia" w:ascii="仿宋_GB2312" w:eastAsia="仿宋_GB2312"/>
                <w:kern w:val="0"/>
                <w:sz w:val="24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各类重大</w:t>
            </w:r>
            <w:r>
              <w:rPr>
                <w:rFonts w:hint="eastAsia" w:ascii="仿宋_GB2312" w:eastAsia="仿宋_GB2312"/>
                <w:kern w:val="0"/>
                <w:sz w:val="24"/>
              </w:rPr>
              <w:t>会议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的工作经费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目标2：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2021年度全县各类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演出活动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的工作经费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年度绩效指标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一级指标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二级指标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指标内容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指标值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产出指标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数量指标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各类重大</w:t>
            </w:r>
            <w:r>
              <w:rPr>
                <w:rFonts w:hint="eastAsia" w:ascii="仿宋_GB2312" w:eastAsia="仿宋_GB2312"/>
                <w:kern w:val="0"/>
                <w:sz w:val="24"/>
              </w:rPr>
              <w:t>会议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</w:rPr>
              <w:t>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年度统计表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数量指标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演出活动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</w:rPr>
              <w:t>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年度统计表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质量指标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服务到位</w:t>
            </w:r>
            <w:r>
              <w:rPr>
                <w:rFonts w:hint="eastAsia" w:ascii="仿宋_GB2312" w:hAnsi="宋体" w:eastAsia="仿宋_GB2312" w:cs="宋体"/>
                <w:color w:val="2B2B2B"/>
                <w:sz w:val="24"/>
                <w:shd w:val="clear" w:color="auto" w:fill="FFFFFF"/>
              </w:rPr>
              <w:t>率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hint="eastAsia" w:ascii="仿宋_GB2312" w:hAnsi="宋体" w:eastAsia="仿宋_GB2312"/>
                <w:sz w:val="24"/>
              </w:rPr>
              <w:t>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时效指标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预算执行率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会计账簿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原始凭证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投入指标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成本指标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辰河大剧院灯光音响等设备维护费、水电费、办公费、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劳务费、中央空调维（修）护费</w:t>
            </w:r>
            <w:r>
              <w:rPr>
                <w:rFonts w:hint="eastAsia" w:ascii="仿宋_GB2312" w:eastAsia="仿宋_GB2312"/>
                <w:kern w:val="0"/>
                <w:sz w:val="24"/>
              </w:rPr>
              <w:t>等费用。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7.2</w:t>
            </w:r>
            <w:r>
              <w:rPr>
                <w:rFonts w:hint="eastAsia" w:ascii="仿宋_GB2312" w:eastAsia="仿宋_GB2312"/>
                <w:kern w:val="0"/>
                <w:sz w:val="24"/>
              </w:rPr>
              <w:t>万元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</w:rPr>
              <w:t>会计账簿</w:t>
            </w:r>
            <w:r>
              <w:rPr>
                <w:rFonts w:hint="eastAsia" w:ascii="宋体" w:hAnsi="宋体"/>
                <w:lang w:eastAsia="zh-CN"/>
              </w:rPr>
              <w:t>、劳务合同、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原始凭证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效益指标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经济效益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确保会议及活动顺利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</w:rPr>
              <w:t>年度统计表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生态效益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可持续影响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>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社会公众或服务对象满意度指标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满意度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100%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负责人意见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主管单位财务负责人意见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签字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负责人意见</w:t>
            </w:r>
          </w:p>
        </w:tc>
        <w:tc>
          <w:tcPr>
            <w:tcW w:w="7560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480" w:firstLineChars="145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2520" w:firstLineChars="10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5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04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ascii="仿宋_GB2312" w:eastAsia="仿宋_GB2312" w:hAnsiTheme="minorEastAsia"/>
          <w:kern w:val="0"/>
          <w:sz w:val="24"/>
        </w:rPr>
      </w:pPr>
      <w:r>
        <w:rPr>
          <w:rFonts w:hint="eastAsia" w:ascii="仿宋_GB2312" w:eastAsia="仿宋_GB2312" w:hAnsiTheme="minorEastAsia"/>
          <w:kern w:val="0"/>
          <w:sz w:val="24"/>
        </w:rPr>
        <w:t>填报人：           联系电话：</w:t>
      </w:r>
      <w:r>
        <w:rPr>
          <w:rFonts w:hint="eastAsia" w:ascii="仿宋_GB2312" w:eastAsia="仿宋_GB2312" w:hAnsiTheme="minorEastAsia"/>
          <w:kern w:val="0"/>
          <w:sz w:val="24"/>
        </w:rPr>
        <w:tab/>
      </w:r>
      <w:r>
        <w:rPr>
          <w:rFonts w:hint="eastAsia" w:ascii="仿宋_GB2312" w:eastAsia="仿宋_GB2312" w:hAnsiTheme="minorEastAsia"/>
          <w:kern w:val="0"/>
          <w:sz w:val="24"/>
        </w:rPr>
        <w:t xml:space="preserve"> 填报日期：</w:t>
      </w:r>
      <w:r>
        <w:rPr>
          <w:rFonts w:hint="eastAsia" w:ascii="仿宋_GB2312" w:eastAsia="仿宋_GB2312" w:hAnsiTheme="minorEastAsia"/>
          <w:kern w:val="0"/>
          <w:sz w:val="24"/>
        </w:rPr>
        <w:tab/>
      </w:r>
    </w:p>
    <w:p>
      <w:pPr>
        <w:rPr>
          <w:rFonts w:ascii="仿宋_GB2312" w:eastAsia="仿宋_GB2312" w:hAnsiTheme="minorEastAsia"/>
          <w:sz w:val="24"/>
        </w:rPr>
      </w:pPr>
    </w:p>
    <w:p>
      <w:pPr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备注：1、本级预算及预算追加、上级转移支付、政府债券资金、政府投资项目、政府购买服务项目、政府采购项目按照程序申报。</w:t>
      </w:r>
    </w:p>
    <w:p>
      <w:pPr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2、专项业务经费项目、发展建设项目（不含房屋建筑物）、政府购买服务项目100万元以上（含）需要提交事前绩效评估报告。</w:t>
      </w:r>
    </w:p>
    <w:p>
      <w:pPr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3、本表作为绩效监控、绩效评价、年终考核取数使用。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798"/>
    <w:rsid w:val="00001173"/>
    <w:rsid w:val="000016BE"/>
    <w:rsid w:val="00001CFA"/>
    <w:rsid w:val="00013091"/>
    <w:rsid w:val="00024FC3"/>
    <w:rsid w:val="00042510"/>
    <w:rsid w:val="0004447B"/>
    <w:rsid w:val="00044EEB"/>
    <w:rsid w:val="00045B05"/>
    <w:rsid w:val="00050BEA"/>
    <w:rsid w:val="00074051"/>
    <w:rsid w:val="000940B5"/>
    <w:rsid w:val="00096E46"/>
    <w:rsid w:val="000A6310"/>
    <w:rsid w:val="000D0045"/>
    <w:rsid w:val="000E0792"/>
    <w:rsid w:val="000E6AD9"/>
    <w:rsid w:val="00101DD0"/>
    <w:rsid w:val="001061C7"/>
    <w:rsid w:val="00111126"/>
    <w:rsid w:val="00121726"/>
    <w:rsid w:val="00127B1F"/>
    <w:rsid w:val="001300A2"/>
    <w:rsid w:val="00137B47"/>
    <w:rsid w:val="00142F74"/>
    <w:rsid w:val="001511BD"/>
    <w:rsid w:val="00152C25"/>
    <w:rsid w:val="00152C3A"/>
    <w:rsid w:val="00160245"/>
    <w:rsid w:val="00165EA0"/>
    <w:rsid w:val="00180A86"/>
    <w:rsid w:val="00183271"/>
    <w:rsid w:val="00194183"/>
    <w:rsid w:val="001A3A3E"/>
    <w:rsid w:val="001A3DBA"/>
    <w:rsid w:val="001B4A2E"/>
    <w:rsid w:val="001B7F18"/>
    <w:rsid w:val="001C30FF"/>
    <w:rsid w:val="001D2477"/>
    <w:rsid w:val="001D5ABF"/>
    <w:rsid w:val="001D6805"/>
    <w:rsid w:val="001E62E0"/>
    <w:rsid w:val="001F3DE8"/>
    <w:rsid w:val="00204306"/>
    <w:rsid w:val="00217A79"/>
    <w:rsid w:val="00230F58"/>
    <w:rsid w:val="00253D3D"/>
    <w:rsid w:val="0026131D"/>
    <w:rsid w:val="00261FFF"/>
    <w:rsid w:val="0027451C"/>
    <w:rsid w:val="002774D5"/>
    <w:rsid w:val="0028664A"/>
    <w:rsid w:val="00293758"/>
    <w:rsid w:val="00297141"/>
    <w:rsid w:val="002A18CC"/>
    <w:rsid w:val="002A3D60"/>
    <w:rsid w:val="002A6A35"/>
    <w:rsid w:val="002C1967"/>
    <w:rsid w:val="002C6CAF"/>
    <w:rsid w:val="002D0B85"/>
    <w:rsid w:val="002D17AB"/>
    <w:rsid w:val="002D22FA"/>
    <w:rsid w:val="002D2FA8"/>
    <w:rsid w:val="002D5C80"/>
    <w:rsid w:val="002E45BC"/>
    <w:rsid w:val="002E6600"/>
    <w:rsid w:val="002F1664"/>
    <w:rsid w:val="003217E5"/>
    <w:rsid w:val="00327E89"/>
    <w:rsid w:val="00330546"/>
    <w:rsid w:val="00332FD9"/>
    <w:rsid w:val="00333292"/>
    <w:rsid w:val="0033414B"/>
    <w:rsid w:val="00343D8D"/>
    <w:rsid w:val="0034562E"/>
    <w:rsid w:val="00350135"/>
    <w:rsid w:val="00353262"/>
    <w:rsid w:val="0036086B"/>
    <w:rsid w:val="003656BE"/>
    <w:rsid w:val="0038471D"/>
    <w:rsid w:val="00387533"/>
    <w:rsid w:val="00390995"/>
    <w:rsid w:val="003B781D"/>
    <w:rsid w:val="003C3D26"/>
    <w:rsid w:val="003D1F08"/>
    <w:rsid w:val="003D3813"/>
    <w:rsid w:val="003D76D8"/>
    <w:rsid w:val="003E0555"/>
    <w:rsid w:val="003E3EA3"/>
    <w:rsid w:val="004256E9"/>
    <w:rsid w:val="00442779"/>
    <w:rsid w:val="004508CA"/>
    <w:rsid w:val="004571A1"/>
    <w:rsid w:val="00457266"/>
    <w:rsid w:val="00457CD0"/>
    <w:rsid w:val="00457DA2"/>
    <w:rsid w:val="00461AA0"/>
    <w:rsid w:val="00466B72"/>
    <w:rsid w:val="004835E2"/>
    <w:rsid w:val="00484AD5"/>
    <w:rsid w:val="00491603"/>
    <w:rsid w:val="00492F7F"/>
    <w:rsid w:val="00495171"/>
    <w:rsid w:val="004A4360"/>
    <w:rsid w:val="004A5A24"/>
    <w:rsid w:val="004B5E3B"/>
    <w:rsid w:val="004B6102"/>
    <w:rsid w:val="004D5632"/>
    <w:rsid w:val="004D608E"/>
    <w:rsid w:val="004F1269"/>
    <w:rsid w:val="004F4DE7"/>
    <w:rsid w:val="0051658E"/>
    <w:rsid w:val="00520697"/>
    <w:rsid w:val="0052440D"/>
    <w:rsid w:val="00524601"/>
    <w:rsid w:val="00535688"/>
    <w:rsid w:val="005367EB"/>
    <w:rsid w:val="00553677"/>
    <w:rsid w:val="00555A79"/>
    <w:rsid w:val="00560D85"/>
    <w:rsid w:val="00584267"/>
    <w:rsid w:val="00587489"/>
    <w:rsid w:val="00596771"/>
    <w:rsid w:val="005969C4"/>
    <w:rsid w:val="005A1C25"/>
    <w:rsid w:val="005A47FD"/>
    <w:rsid w:val="005A483F"/>
    <w:rsid w:val="005B13FE"/>
    <w:rsid w:val="005B6E5D"/>
    <w:rsid w:val="005B7FA9"/>
    <w:rsid w:val="005C5849"/>
    <w:rsid w:val="005E2651"/>
    <w:rsid w:val="005E5DEB"/>
    <w:rsid w:val="005F7E83"/>
    <w:rsid w:val="00600516"/>
    <w:rsid w:val="00603482"/>
    <w:rsid w:val="00615823"/>
    <w:rsid w:val="00617EBE"/>
    <w:rsid w:val="00626C21"/>
    <w:rsid w:val="006314FB"/>
    <w:rsid w:val="00631704"/>
    <w:rsid w:val="00663461"/>
    <w:rsid w:val="006643F8"/>
    <w:rsid w:val="00671CB2"/>
    <w:rsid w:val="00673DEE"/>
    <w:rsid w:val="006754E2"/>
    <w:rsid w:val="0067554E"/>
    <w:rsid w:val="00676D02"/>
    <w:rsid w:val="006823D5"/>
    <w:rsid w:val="00685ECD"/>
    <w:rsid w:val="0069136E"/>
    <w:rsid w:val="006A0E25"/>
    <w:rsid w:val="006B60E9"/>
    <w:rsid w:val="006C1C32"/>
    <w:rsid w:val="006E7559"/>
    <w:rsid w:val="006F0759"/>
    <w:rsid w:val="0071292D"/>
    <w:rsid w:val="007135FD"/>
    <w:rsid w:val="007218BB"/>
    <w:rsid w:val="00724F1A"/>
    <w:rsid w:val="00746219"/>
    <w:rsid w:val="0074724E"/>
    <w:rsid w:val="00752674"/>
    <w:rsid w:val="00764A1C"/>
    <w:rsid w:val="00767443"/>
    <w:rsid w:val="0077266A"/>
    <w:rsid w:val="00773916"/>
    <w:rsid w:val="007763EB"/>
    <w:rsid w:val="007765F3"/>
    <w:rsid w:val="007A56FA"/>
    <w:rsid w:val="007B228D"/>
    <w:rsid w:val="007C1B2E"/>
    <w:rsid w:val="007D2865"/>
    <w:rsid w:val="007D50A5"/>
    <w:rsid w:val="007D749F"/>
    <w:rsid w:val="007E08F3"/>
    <w:rsid w:val="007E13F3"/>
    <w:rsid w:val="007F7437"/>
    <w:rsid w:val="0080257E"/>
    <w:rsid w:val="00803FD3"/>
    <w:rsid w:val="0080687B"/>
    <w:rsid w:val="008128DA"/>
    <w:rsid w:val="008253C8"/>
    <w:rsid w:val="008335BB"/>
    <w:rsid w:val="00841464"/>
    <w:rsid w:val="008442FB"/>
    <w:rsid w:val="00852AA2"/>
    <w:rsid w:val="00852B22"/>
    <w:rsid w:val="008564A5"/>
    <w:rsid w:val="00861A69"/>
    <w:rsid w:val="00863AA2"/>
    <w:rsid w:val="00871CAB"/>
    <w:rsid w:val="00873981"/>
    <w:rsid w:val="008A42B4"/>
    <w:rsid w:val="008A7B76"/>
    <w:rsid w:val="008B43A7"/>
    <w:rsid w:val="008B5596"/>
    <w:rsid w:val="008C2016"/>
    <w:rsid w:val="008C58CA"/>
    <w:rsid w:val="008D2594"/>
    <w:rsid w:val="008D41D0"/>
    <w:rsid w:val="008D698D"/>
    <w:rsid w:val="008E0727"/>
    <w:rsid w:val="00907316"/>
    <w:rsid w:val="00910597"/>
    <w:rsid w:val="009228DC"/>
    <w:rsid w:val="009377C7"/>
    <w:rsid w:val="00943C29"/>
    <w:rsid w:val="00956BEC"/>
    <w:rsid w:val="00965C19"/>
    <w:rsid w:val="00982F54"/>
    <w:rsid w:val="009B077A"/>
    <w:rsid w:val="009B1A8C"/>
    <w:rsid w:val="009B39D0"/>
    <w:rsid w:val="009B5016"/>
    <w:rsid w:val="009B5249"/>
    <w:rsid w:val="009B7B82"/>
    <w:rsid w:val="009C4A38"/>
    <w:rsid w:val="00A05C04"/>
    <w:rsid w:val="00A13C8E"/>
    <w:rsid w:val="00A25C8E"/>
    <w:rsid w:val="00A369E7"/>
    <w:rsid w:val="00A64619"/>
    <w:rsid w:val="00A668EE"/>
    <w:rsid w:val="00A72743"/>
    <w:rsid w:val="00A745E4"/>
    <w:rsid w:val="00A85798"/>
    <w:rsid w:val="00A870B0"/>
    <w:rsid w:val="00A94749"/>
    <w:rsid w:val="00A94F63"/>
    <w:rsid w:val="00A97FE3"/>
    <w:rsid w:val="00AB0A7B"/>
    <w:rsid w:val="00AB2392"/>
    <w:rsid w:val="00AB3296"/>
    <w:rsid w:val="00AC125A"/>
    <w:rsid w:val="00AC58EF"/>
    <w:rsid w:val="00AF4DEB"/>
    <w:rsid w:val="00AF5AF6"/>
    <w:rsid w:val="00B018A8"/>
    <w:rsid w:val="00B01CA1"/>
    <w:rsid w:val="00B101D1"/>
    <w:rsid w:val="00B15396"/>
    <w:rsid w:val="00B46DAB"/>
    <w:rsid w:val="00B55AEB"/>
    <w:rsid w:val="00B573AA"/>
    <w:rsid w:val="00B65D93"/>
    <w:rsid w:val="00B747A6"/>
    <w:rsid w:val="00B76B4C"/>
    <w:rsid w:val="00B7725C"/>
    <w:rsid w:val="00B81093"/>
    <w:rsid w:val="00B854A9"/>
    <w:rsid w:val="00B93AEE"/>
    <w:rsid w:val="00BA7F44"/>
    <w:rsid w:val="00BB5553"/>
    <w:rsid w:val="00BC1A22"/>
    <w:rsid w:val="00BC59CA"/>
    <w:rsid w:val="00BC6302"/>
    <w:rsid w:val="00BC716E"/>
    <w:rsid w:val="00BD5018"/>
    <w:rsid w:val="00BE0E82"/>
    <w:rsid w:val="00BE61C0"/>
    <w:rsid w:val="00C021BC"/>
    <w:rsid w:val="00C07A83"/>
    <w:rsid w:val="00C07FA5"/>
    <w:rsid w:val="00C1528C"/>
    <w:rsid w:val="00C6268D"/>
    <w:rsid w:val="00C74200"/>
    <w:rsid w:val="00C83147"/>
    <w:rsid w:val="00C87577"/>
    <w:rsid w:val="00C946CC"/>
    <w:rsid w:val="00CB4AA4"/>
    <w:rsid w:val="00CD1CDC"/>
    <w:rsid w:val="00CD2CEF"/>
    <w:rsid w:val="00CD76DC"/>
    <w:rsid w:val="00CE5901"/>
    <w:rsid w:val="00CF06CE"/>
    <w:rsid w:val="00D00DF1"/>
    <w:rsid w:val="00D11434"/>
    <w:rsid w:val="00D13AA9"/>
    <w:rsid w:val="00D164DC"/>
    <w:rsid w:val="00D25D0B"/>
    <w:rsid w:val="00D31D7E"/>
    <w:rsid w:val="00D534AE"/>
    <w:rsid w:val="00D57573"/>
    <w:rsid w:val="00D605AB"/>
    <w:rsid w:val="00D618AC"/>
    <w:rsid w:val="00D63545"/>
    <w:rsid w:val="00D7788C"/>
    <w:rsid w:val="00D8152E"/>
    <w:rsid w:val="00D84CD2"/>
    <w:rsid w:val="00DA23A2"/>
    <w:rsid w:val="00DA66CB"/>
    <w:rsid w:val="00DD3BB9"/>
    <w:rsid w:val="00DD44EF"/>
    <w:rsid w:val="00DE7EFC"/>
    <w:rsid w:val="00DF130D"/>
    <w:rsid w:val="00DF1CA5"/>
    <w:rsid w:val="00E128DD"/>
    <w:rsid w:val="00E13D69"/>
    <w:rsid w:val="00E20F08"/>
    <w:rsid w:val="00E22162"/>
    <w:rsid w:val="00E37DB7"/>
    <w:rsid w:val="00E65051"/>
    <w:rsid w:val="00E7739D"/>
    <w:rsid w:val="00E8134F"/>
    <w:rsid w:val="00E8494D"/>
    <w:rsid w:val="00E84BA4"/>
    <w:rsid w:val="00E86010"/>
    <w:rsid w:val="00E8696E"/>
    <w:rsid w:val="00EA7D91"/>
    <w:rsid w:val="00EC48EF"/>
    <w:rsid w:val="00ED4227"/>
    <w:rsid w:val="00EF06DA"/>
    <w:rsid w:val="00EF519D"/>
    <w:rsid w:val="00F06F47"/>
    <w:rsid w:val="00F164B1"/>
    <w:rsid w:val="00F21737"/>
    <w:rsid w:val="00F45976"/>
    <w:rsid w:val="00F473C2"/>
    <w:rsid w:val="00F52D24"/>
    <w:rsid w:val="00F74300"/>
    <w:rsid w:val="00F85D8E"/>
    <w:rsid w:val="00F92DB3"/>
    <w:rsid w:val="00FA1BEE"/>
    <w:rsid w:val="00FB7A37"/>
    <w:rsid w:val="00FC4D97"/>
    <w:rsid w:val="00FC504A"/>
    <w:rsid w:val="00FD4465"/>
    <w:rsid w:val="00FD7F8F"/>
    <w:rsid w:val="014D622D"/>
    <w:rsid w:val="01D346ED"/>
    <w:rsid w:val="01F50B7F"/>
    <w:rsid w:val="035040EE"/>
    <w:rsid w:val="03557E04"/>
    <w:rsid w:val="038D21E9"/>
    <w:rsid w:val="04061C70"/>
    <w:rsid w:val="04B816DE"/>
    <w:rsid w:val="05181A2A"/>
    <w:rsid w:val="06A25700"/>
    <w:rsid w:val="06AF706C"/>
    <w:rsid w:val="06B65B95"/>
    <w:rsid w:val="07293E41"/>
    <w:rsid w:val="0772566A"/>
    <w:rsid w:val="08BA1EC0"/>
    <w:rsid w:val="091E2A47"/>
    <w:rsid w:val="0986759F"/>
    <w:rsid w:val="0E10627E"/>
    <w:rsid w:val="0F5D6511"/>
    <w:rsid w:val="0FE62B7E"/>
    <w:rsid w:val="10283712"/>
    <w:rsid w:val="116B129C"/>
    <w:rsid w:val="12896B1D"/>
    <w:rsid w:val="161A51EF"/>
    <w:rsid w:val="16356CB8"/>
    <w:rsid w:val="171E7E51"/>
    <w:rsid w:val="17F942E1"/>
    <w:rsid w:val="18465352"/>
    <w:rsid w:val="19E8283F"/>
    <w:rsid w:val="1B2E5B38"/>
    <w:rsid w:val="1BE119AF"/>
    <w:rsid w:val="1C770892"/>
    <w:rsid w:val="1DFD7455"/>
    <w:rsid w:val="1E494A2D"/>
    <w:rsid w:val="1EF0013E"/>
    <w:rsid w:val="1F393CBD"/>
    <w:rsid w:val="1F646693"/>
    <w:rsid w:val="203B7FDB"/>
    <w:rsid w:val="20906CE0"/>
    <w:rsid w:val="20940396"/>
    <w:rsid w:val="21232057"/>
    <w:rsid w:val="21DA143E"/>
    <w:rsid w:val="22F96E69"/>
    <w:rsid w:val="24DD0DEE"/>
    <w:rsid w:val="26CB15F8"/>
    <w:rsid w:val="26FE006C"/>
    <w:rsid w:val="29076E89"/>
    <w:rsid w:val="292E36E6"/>
    <w:rsid w:val="29B115F4"/>
    <w:rsid w:val="2A27347D"/>
    <w:rsid w:val="2AC13F9E"/>
    <w:rsid w:val="2B1A19B9"/>
    <w:rsid w:val="2B2F079C"/>
    <w:rsid w:val="2BAD146E"/>
    <w:rsid w:val="2D5442EC"/>
    <w:rsid w:val="2DAC3A05"/>
    <w:rsid w:val="2DED6A3E"/>
    <w:rsid w:val="2EE350F7"/>
    <w:rsid w:val="2F2F1A72"/>
    <w:rsid w:val="2F917F27"/>
    <w:rsid w:val="303B3F2C"/>
    <w:rsid w:val="3154571B"/>
    <w:rsid w:val="318F7985"/>
    <w:rsid w:val="32243B0D"/>
    <w:rsid w:val="32A060B7"/>
    <w:rsid w:val="32D002CD"/>
    <w:rsid w:val="32FF14D1"/>
    <w:rsid w:val="330862A6"/>
    <w:rsid w:val="341D68AE"/>
    <w:rsid w:val="346B7BE3"/>
    <w:rsid w:val="37B728EA"/>
    <w:rsid w:val="38A46CA2"/>
    <w:rsid w:val="38E80F3B"/>
    <w:rsid w:val="38F50FB5"/>
    <w:rsid w:val="38FB4374"/>
    <w:rsid w:val="39691153"/>
    <w:rsid w:val="39750C36"/>
    <w:rsid w:val="397C4BCE"/>
    <w:rsid w:val="3AA61DDA"/>
    <w:rsid w:val="3B5B54E0"/>
    <w:rsid w:val="3C353C79"/>
    <w:rsid w:val="3DE1405E"/>
    <w:rsid w:val="3DFC13EF"/>
    <w:rsid w:val="41823DBF"/>
    <w:rsid w:val="42155D12"/>
    <w:rsid w:val="456D3488"/>
    <w:rsid w:val="4638401C"/>
    <w:rsid w:val="46AF3E95"/>
    <w:rsid w:val="46B312CA"/>
    <w:rsid w:val="4713687D"/>
    <w:rsid w:val="47313C69"/>
    <w:rsid w:val="475546AC"/>
    <w:rsid w:val="48823D9F"/>
    <w:rsid w:val="49647A12"/>
    <w:rsid w:val="49D102FD"/>
    <w:rsid w:val="4BD45F1E"/>
    <w:rsid w:val="4C70797A"/>
    <w:rsid w:val="4C76673E"/>
    <w:rsid w:val="4CD319A4"/>
    <w:rsid w:val="4D514033"/>
    <w:rsid w:val="4D6D113B"/>
    <w:rsid w:val="4E441571"/>
    <w:rsid w:val="4F3C26B1"/>
    <w:rsid w:val="514B4A2D"/>
    <w:rsid w:val="527A612D"/>
    <w:rsid w:val="528C2B86"/>
    <w:rsid w:val="54357DA0"/>
    <w:rsid w:val="557C74D6"/>
    <w:rsid w:val="56C5604A"/>
    <w:rsid w:val="57E75F9E"/>
    <w:rsid w:val="5A2842C4"/>
    <w:rsid w:val="5A6B45EE"/>
    <w:rsid w:val="5BDD4F38"/>
    <w:rsid w:val="5C4B2C0F"/>
    <w:rsid w:val="5E074851"/>
    <w:rsid w:val="5EB2652E"/>
    <w:rsid w:val="5F64490A"/>
    <w:rsid w:val="619E2D07"/>
    <w:rsid w:val="624D321B"/>
    <w:rsid w:val="626E63A5"/>
    <w:rsid w:val="654D2C10"/>
    <w:rsid w:val="65966917"/>
    <w:rsid w:val="65E74EDA"/>
    <w:rsid w:val="676625C3"/>
    <w:rsid w:val="68494405"/>
    <w:rsid w:val="68C377FD"/>
    <w:rsid w:val="68F73F6E"/>
    <w:rsid w:val="6A53710A"/>
    <w:rsid w:val="6AC44420"/>
    <w:rsid w:val="6B7A2560"/>
    <w:rsid w:val="6C2A6716"/>
    <w:rsid w:val="6C3462F3"/>
    <w:rsid w:val="6C730C4F"/>
    <w:rsid w:val="6C85094B"/>
    <w:rsid w:val="6C914FB0"/>
    <w:rsid w:val="6D576658"/>
    <w:rsid w:val="6EA428AA"/>
    <w:rsid w:val="6F146266"/>
    <w:rsid w:val="6FB5003E"/>
    <w:rsid w:val="71AB0DF5"/>
    <w:rsid w:val="73537F29"/>
    <w:rsid w:val="7628772C"/>
    <w:rsid w:val="76C30E39"/>
    <w:rsid w:val="776A22C9"/>
    <w:rsid w:val="77A203F1"/>
    <w:rsid w:val="77D34A01"/>
    <w:rsid w:val="783A1112"/>
    <w:rsid w:val="789F0D5D"/>
    <w:rsid w:val="7919781F"/>
    <w:rsid w:val="7A714E89"/>
    <w:rsid w:val="7A8D28D1"/>
    <w:rsid w:val="7A9F3562"/>
    <w:rsid w:val="7BBC00CC"/>
    <w:rsid w:val="7D182C30"/>
    <w:rsid w:val="7DA00F82"/>
    <w:rsid w:val="7DC669A7"/>
    <w:rsid w:val="7ED40B63"/>
    <w:rsid w:val="7F266735"/>
    <w:rsid w:val="7FB66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4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lang w:eastAsia="en-US"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ind w:firstLine="360"/>
      <w:jc w:val="left"/>
    </w:pPr>
    <w:rPr>
      <w:rFonts w:asciiTheme="minorHAnsi" w:hAnsiTheme="minorHAnsi" w:eastAsiaTheme="minorEastAsia" w:cstheme="minorBidi"/>
      <w:b/>
      <w:bCs/>
      <w:kern w:val="0"/>
      <w:sz w:val="18"/>
      <w:szCs w:val="18"/>
      <w:lang w:eastAsia="en-US" w:bidi="en-US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before="200" w:after="900"/>
      <w:jc w:val="right"/>
    </w:pPr>
    <w:rPr>
      <w:rFonts w:asciiTheme="minorHAnsi" w:hAnsiTheme="minorHAnsi" w:eastAsiaTheme="minorEastAsia" w:cstheme="minorBidi"/>
      <w:i/>
      <w:iCs/>
      <w:kern w:val="0"/>
      <w:sz w:val="24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60"/>
      <w:szCs w:val="60"/>
      <w:lang w:eastAsia="en-US" w:bidi="en-US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5"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3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0">
    <w:name w:val="副标题 Char"/>
    <w:basedOn w:val="17"/>
    <w:link w:val="14"/>
    <w:qFormat/>
    <w:uiPriority w:val="11"/>
    <w:rPr>
      <w:rFonts w:asciiTheme="minorHAnsi"/>
      <w:i/>
      <w:iCs/>
      <w:sz w:val="24"/>
      <w:szCs w:val="24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5"/>
      <w:kern w:val="0"/>
      <w:sz w:val="22"/>
      <w:szCs w:val="22"/>
      <w:lang w:eastAsia="en-US" w:bidi="en-US"/>
    </w:rPr>
  </w:style>
  <w:style w:type="character" w:customStyle="1" w:styleId="35">
    <w:name w:val="引用 Char"/>
    <w:basedOn w:val="17"/>
    <w:link w:val="34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37">
    <w:name w:val="明显引用 Char"/>
    <w:basedOn w:val="17"/>
    <w:link w:val="36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38">
    <w:name w:val="不明显强调1"/>
    <w:qFormat/>
    <w:uiPriority w:val="19"/>
    <w:rPr>
      <w:i/>
      <w:iCs/>
      <w:color w:val="595959" w:themeColor="text1" w:themeTint="A5"/>
    </w:rPr>
  </w:style>
  <w:style w:type="character" w:customStyle="1" w:styleId="39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0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1">
    <w:name w:val="明显参考1"/>
    <w:basedOn w:val="17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5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2019-04-19T07:12:00Z</dcterms:created>
  <dc:creator>sb</dc:creator>
  <cp:lastModifiedBy>蝴蝶兰</cp:lastModifiedBy>
  <dcterms:modified xsi:type="dcterms:W3CDTF">2021-03-10T07:38:29Z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