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kern w:val="1"/>
          <w:sz w:val="32"/>
          <w:szCs w:val="32"/>
        </w:rPr>
      </w:pPr>
      <w:r>
        <w:rPr>
          <w:rFonts w:hint="eastAsia" w:ascii="仿宋_GB2312" w:hAnsi="黑体" w:eastAsia="仿宋_GB2312"/>
          <w:kern w:val="1"/>
          <w:sz w:val="32"/>
          <w:szCs w:val="32"/>
        </w:rPr>
        <w:t>附件9：</w:t>
      </w:r>
    </w:p>
    <w:p>
      <w:pPr>
        <w:spacing w:line="820" w:lineRule="exact"/>
        <w:rPr>
          <w:rFonts w:asciiTheme="minorEastAsia" w:hAnsiTheme="minorEastAsia" w:eastAsiaTheme="minorEastAsia"/>
          <w:b/>
          <w:kern w:val="1"/>
          <w:sz w:val="44"/>
          <w:szCs w:val="44"/>
        </w:rPr>
      </w:pPr>
      <w:r>
        <w:rPr>
          <w:rFonts w:hint="eastAsia" w:ascii="黑体" w:hAnsi="黑体" w:eastAsia="黑体"/>
          <w:b/>
          <w:kern w:val="1"/>
          <w:sz w:val="52"/>
        </w:rPr>
        <w:t xml:space="preserve">     </w:t>
      </w:r>
      <w:r>
        <w:rPr>
          <w:rFonts w:hint="eastAsia" w:asciiTheme="minorEastAsia" w:hAnsiTheme="minorEastAsia" w:eastAsiaTheme="minorEastAsia"/>
          <w:b/>
          <w:kern w:val="1"/>
          <w:sz w:val="44"/>
          <w:szCs w:val="44"/>
        </w:rPr>
        <w:t>泸溪</w:t>
      </w:r>
      <w:r>
        <w:rPr>
          <w:rFonts w:asciiTheme="minorEastAsia" w:hAnsiTheme="minorEastAsia" w:eastAsiaTheme="minorEastAsia"/>
          <w:b/>
          <w:kern w:val="1"/>
          <w:sz w:val="44"/>
          <w:szCs w:val="44"/>
        </w:rPr>
        <w:t>县财政支出绩效评价报告</w:t>
      </w:r>
    </w:p>
    <w:p>
      <w:pPr>
        <w:spacing w:line="820" w:lineRule="exact"/>
        <w:jc w:val="center"/>
        <w:rPr>
          <w:rFonts w:asciiTheme="minorEastAsia" w:hAnsiTheme="minorEastAsia" w:eastAsiaTheme="minorEastAsia"/>
          <w:b/>
          <w:kern w:val="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kern w:val="1"/>
          <w:sz w:val="32"/>
          <w:szCs w:val="32"/>
        </w:rPr>
        <w:t>（自评价）</w:t>
      </w:r>
    </w:p>
    <w:p>
      <w:pPr>
        <w:spacing w:line="700" w:lineRule="exact"/>
        <w:rPr>
          <w:rFonts w:ascii="汉仪大宋简" w:hAnsi="汉仪大宋简"/>
          <w:kern w:val="1"/>
          <w:sz w:val="44"/>
        </w:rPr>
      </w:pPr>
    </w:p>
    <w:p>
      <w:pPr>
        <w:spacing w:line="700" w:lineRule="exact"/>
        <w:rPr>
          <w:rFonts w:ascii="汉仪大宋简" w:hAnsi="汉仪大宋简"/>
          <w:kern w:val="1"/>
          <w:sz w:val="44"/>
        </w:rPr>
      </w:pPr>
    </w:p>
    <w:p>
      <w:pPr>
        <w:spacing w:line="700" w:lineRule="exact"/>
        <w:rPr>
          <w:rFonts w:ascii="汉仪大宋简" w:hAnsi="汉仪大宋简"/>
          <w:kern w:val="1"/>
          <w:sz w:val="44"/>
        </w:rPr>
      </w:pPr>
    </w:p>
    <w:p>
      <w:pPr>
        <w:spacing w:line="700" w:lineRule="exact"/>
        <w:ind w:firstLine="627"/>
        <w:rPr>
          <w:rFonts w:asciiTheme="minorEastAsia" w:hAnsiTheme="minorEastAsia" w:eastAsiaTheme="minorEastAsia"/>
          <w:b/>
          <w:kern w:val="1"/>
          <w:sz w:val="32"/>
          <w:szCs w:val="32"/>
        </w:rPr>
      </w:pPr>
      <w:r>
        <w:rPr>
          <w:rFonts w:asciiTheme="minorEastAsia" w:hAnsiTheme="minorEastAsia" w:eastAsiaTheme="minorEastAsia"/>
          <w:b/>
          <w:kern w:val="1"/>
          <w:sz w:val="32"/>
          <w:szCs w:val="32"/>
        </w:rPr>
        <w:t>评价形式：综合评价</w:t>
      </w:r>
    </w:p>
    <w:p>
      <w:pPr>
        <w:spacing w:line="700" w:lineRule="exact"/>
        <w:ind w:firstLine="630" w:firstLineChars="196"/>
        <w:rPr>
          <w:rFonts w:asciiTheme="minorEastAsia" w:hAnsiTheme="minorEastAsia" w:eastAsiaTheme="minorEastAsia"/>
          <w:b/>
          <w:kern w:val="1"/>
          <w:sz w:val="32"/>
          <w:szCs w:val="32"/>
        </w:rPr>
      </w:pPr>
      <w:r>
        <w:rPr>
          <w:rFonts w:asciiTheme="minorEastAsia" w:hAnsiTheme="minorEastAsia" w:eastAsiaTheme="minorEastAsia"/>
          <w:b/>
          <w:kern w:val="1"/>
          <w:sz w:val="32"/>
          <w:szCs w:val="32"/>
        </w:rPr>
        <w:t>评价类型：事前评价□   事中评价□    事后评价□</w:t>
      </w:r>
    </w:p>
    <w:p>
      <w:pPr>
        <w:spacing w:line="700" w:lineRule="exact"/>
        <w:ind w:firstLine="627"/>
        <w:rPr>
          <w:rFonts w:asciiTheme="minorEastAsia" w:hAnsiTheme="minorEastAsia" w:eastAsiaTheme="minorEastAsia"/>
          <w:b/>
          <w:kern w:val="1"/>
          <w:sz w:val="32"/>
          <w:szCs w:val="32"/>
        </w:rPr>
      </w:pPr>
      <w:r>
        <w:rPr>
          <w:rFonts w:asciiTheme="minorEastAsia" w:hAnsiTheme="minorEastAsia" w:eastAsiaTheme="minorEastAsia"/>
          <w:b/>
          <w:kern w:val="1"/>
          <w:sz w:val="32"/>
          <w:szCs w:val="32"/>
        </w:rPr>
        <w:t>评价机构：预算部门□   财政部门□</w:t>
      </w:r>
    </w:p>
    <w:p>
      <w:pPr>
        <w:spacing w:line="700" w:lineRule="exact"/>
        <w:ind w:firstLine="1904"/>
        <w:rPr>
          <w:rFonts w:asciiTheme="minorEastAsia" w:hAnsiTheme="minorEastAsia" w:eastAsiaTheme="minorEastAsia"/>
          <w:b/>
          <w:kern w:val="1"/>
          <w:sz w:val="32"/>
          <w:szCs w:val="32"/>
        </w:rPr>
      </w:pPr>
      <w:r>
        <w:rPr>
          <w:rFonts w:asciiTheme="minorEastAsia" w:hAnsiTheme="minorEastAsia" w:eastAsiaTheme="minorEastAsia"/>
          <w:b/>
          <w:kern w:val="1"/>
          <w:sz w:val="32"/>
          <w:szCs w:val="32"/>
        </w:rPr>
        <w:t xml:space="preserve">  第三方评价  （中介机构□   专家组□）</w:t>
      </w:r>
    </w:p>
    <w:p>
      <w:pPr>
        <w:spacing w:line="700" w:lineRule="exact"/>
        <w:ind w:firstLine="630" w:firstLineChars="196"/>
        <w:rPr>
          <w:rFonts w:asciiTheme="minorEastAsia" w:hAnsiTheme="minorEastAsia" w:eastAsiaTheme="minorEastAsia"/>
          <w:b/>
          <w:kern w:val="1"/>
          <w:sz w:val="32"/>
          <w:szCs w:val="32"/>
        </w:rPr>
      </w:pPr>
    </w:p>
    <w:p>
      <w:pPr>
        <w:spacing w:line="700" w:lineRule="exact"/>
        <w:ind w:firstLine="630" w:firstLineChars="196"/>
        <w:rPr>
          <w:rFonts w:asciiTheme="minorEastAsia" w:hAnsiTheme="minorEastAsia" w:eastAsiaTheme="minorEastAsia"/>
          <w:b/>
          <w:kern w:val="1"/>
          <w:sz w:val="32"/>
          <w:szCs w:val="32"/>
        </w:rPr>
      </w:pPr>
      <w:r>
        <w:rPr>
          <w:rFonts w:asciiTheme="minorEastAsia" w:hAnsiTheme="minorEastAsia" w:eastAsiaTheme="minorEastAsia"/>
          <w:b/>
          <w:kern w:val="1"/>
          <w:sz w:val="32"/>
          <w:szCs w:val="32"/>
        </w:rPr>
        <w:t xml:space="preserve">评价单位（公章）      </w:t>
      </w:r>
      <w:r>
        <w:rPr>
          <w:rFonts w:hint="eastAsia" w:asciiTheme="minorEastAsia" w:hAnsiTheme="minorEastAsia" w:eastAsiaTheme="minorEastAsia"/>
          <w:b/>
          <w:kern w:val="1"/>
          <w:sz w:val="32"/>
          <w:szCs w:val="32"/>
        </w:rPr>
        <w:t>武</w:t>
      </w:r>
      <w:r>
        <w:rPr>
          <w:rFonts w:asciiTheme="minorEastAsia" w:hAnsiTheme="minorEastAsia" w:eastAsiaTheme="minorEastAsia"/>
          <w:b/>
          <w:kern w:val="1"/>
          <w:sz w:val="32"/>
          <w:szCs w:val="32"/>
        </w:rPr>
        <w:t>溪小学</w:t>
      </w:r>
    </w:p>
    <w:p>
      <w:pPr>
        <w:spacing w:line="700" w:lineRule="exact"/>
        <w:ind w:firstLine="630" w:firstLineChars="196"/>
        <w:rPr>
          <w:rFonts w:asciiTheme="minorEastAsia" w:hAnsiTheme="minorEastAsia" w:eastAsiaTheme="minorEastAsia"/>
          <w:b/>
          <w:kern w:val="1"/>
          <w:sz w:val="32"/>
          <w:szCs w:val="32"/>
        </w:rPr>
      </w:pPr>
    </w:p>
    <w:p>
      <w:pPr>
        <w:spacing w:line="700" w:lineRule="exact"/>
        <w:ind w:firstLine="630" w:firstLineChars="196"/>
        <w:rPr>
          <w:rFonts w:asciiTheme="minorEastAsia" w:hAnsiTheme="minorEastAsia" w:eastAsiaTheme="minorEastAsia"/>
          <w:b/>
          <w:kern w:val="1"/>
          <w:sz w:val="32"/>
          <w:szCs w:val="32"/>
        </w:rPr>
      </w:pPr>
      <w:r>
        <w:rPr>
          <w:rFonts w:asciiTheme="minorEastAsia" w:hAnsiTheme="minorEastAsia" w:eastAsiaTheme="minorEastAsia"/>
          <w:b/>
          <w:kern w:val="1"/>
          <w:sz w:val="32"/>
          <w:szCs w:val="32"/>
        </w:rPr>
        <w:t>评价机构（公章或组长签名）</w:t>
      </w:r>
    </w:p>
    <w:p>
      <w:pPr>
        <w:spacing w:line="700" w:lineRule="exact"/>
        <w:ind w:firstLine="944"/>
        <w:rPr>
          <w:rFonts w:asciiTheme="minorEastAsia" w:hAnsiTheme="minorEastAsia" w:eastAsiaTheme="minorEastAsia"/>
          <w:b/>
          <w:kern w:val="1"/>
          <w:sz w:val="32"/>
          <w:szCs w:val="32"/>
        </w:rPr>
      </w:pPr>
      <w:r>
        <w:rPr>
          <w:rFonts w:asciiTheme="minorEastAsia" w:hAnsiTheme="minorEastAsia" w:eastAsiaTheme="minorEastAsia"/>
          <w:b/>
          <w:kern w:val="1"/>
          <w:sz w:val="32"/>
          <w:szCs w:val="32"/>
        </w:rPr>
        <w:t xml:space="preserve"> </w:t>
      </w:r>
    </w:p>
    <w:p>
      <w:pPr>
        <w:spacing w:line="700" w:lineRule="exact"/>
        <w:ind w:firstLine="944"/>
        <w:rPr>
          <w:rFonts w:asciiTheme="minorEastAsia" w:hAnsiTheme="minorEastAsia" w:eastAsiaTheme="minorEastAsia"/>
          <w:b/>
          <w:kern w:val="1"/>
          <w:sz w:val="32"/>
          <w:szCs w:val="32"/>
        </w:rPr>
      </w:pPr>
    </w:p>
    <w:p>
      <w:pPr>
        <w:spacing w:line="700" w:lineRule="exact"/>
        <w:jc w:val="center"/>
        <w:rPr>
          <w:rFonts w:cs="宋体" w:asciiTheme="minorEastAsia" w:hAnsiTheme="minorEastAsia" w:eastAsiaTheme="minorEastAsia"/>
          <w:b/>
          <w:kern w:val="1"/>
          <w:sz w:val="32"/>
          <w:szCs w:val="32"/>
        </w:rPr>
      </w:pPr>
    </w:p>
    <w:p>
      <w:pPr>
        <w:spacing w:line="700" w:lineRule="exact"/>
        <w:jc w:val="center"/>
        <w:rPr>
          <w:rFonts w:cs="宋体" w:asciiTheme="minorEastAsia" w:hAnsiTheme="minorEastAsia" w:eastAsiaTheme="minorEastAsia"/>
          <w:b/>
          <w:kern w:val="1"/>
          <w:sz w:val="32"/>
          <w:szCs w:val="32"/>
        </w:rPr>
      </w:pPr>
    </w:p>
    <w:p>
      <w:pPr>
        <w:spacing w:line="700" w:lineRule="exact"/>
        <w:jc w:val="center"/>
        <w:rPr>
          <w:rFonts w:cs="宋体" w:asciiTheme="minorEastAsia" w:hAnsiTheme="minorEastAsia" w:eastAsiaTheme="minorEastAsia"/>
          <w:b/>
          <w:kern w:val="1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1"/>
          <w:sz w:val="32"/>
          <w:szCs w:val="32"/>
        </w:rPr>
        <w:t>泸溪县财政局     制</w:t>
      </w:r>
    </w:p>
    <w:p>
      <w:pPr>
        <w:adjustRightInd w:val="0"/>
        <w:spacing w:line="600" w:lineRule="exact"/>
        <w:ind w:right="641"/>
        <w:jc w:val="left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评价小组</w:t>
      </w:r>
    </w:p>
    <w:p>
      <w:pPr>
        <w:adjustRightInd w:val="0"/>
        <w:spacing w:line="600" w:lineRule="exact"/>
        <w:ind w:right="641"/>
        <w:jc w:val="left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组长：陈永</w:t>
      </w:r>
      <w:r>
        <w:rPr>
          <w:rFonts w:ascii="方正小标宋简体" w:hAnsi="仿宋" w:eastAsia="方正小标宋简体"/>
          <w:sz w:val="36"/>
          <w:szCs w:val="36"/>
        </w:rPr>
        <w:t>国</w:t>
      </w:r>
    </w:p>
    <w:p>
      <w:pPr>
        <w:adjustRightInd w:val="0"/>
        <w:spacing w:line="600" w:lineRule="exact"/>
        <w:ind w:right="641"/>
        <w:jc w:val="left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副组长：徐廷</w:t>
      </w:r>
      <w:r>
        <w:rPr>
          <w:rFonts w:ascii="方正小标宋简体" w:hAnsi="仿宋" w:eastAsia="方正小标宋简体"/>
          <w:sz w:val="36"/>
          <w:szCs w:val="36"/>
        </w:rPr>
        <w:t>节</w:t>
      </w:r>
    </w:p>
    <w:p>
      <w:pPr>
        <w:adjustRightInd w:val="0"/>
        <w:spacing w:line="600" w:lineRule="exact"/>
        <w:ind w:right="641"/>
        <w:jc w:val="left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成员：莫刚</w:t>
      </w:r>
      <w:r>
        <w:rPr>
          <w:rFonts w:ascii="方正小标宋简体" w:hAnsi="仿宋" w:eastAsia="方正小标宋简体"/>
          <w:sz w:val="36"/>
          <w:szCs w:val="36"/>
        </w:rPr>
        <w:t>军</w:t>
      </w:r>
      <w:r>
        <w:rPr>
          <w:rFonts w:hint="eastAsia" w:ascii="方正小标宋简体" w:hAnsi="仿宋" w:eastAsia="方正小标宋简体"/>
          <w:sz w:val="36"/>
          <w:szCs w:val="36"/>
        </w:rPr>
        <w:t>、黄  斌、李先</w:t>
      </w:r>
      <w:r>
        <w:rPr>
          <w:rFonts w:ascii="方正小标宋简体" w:hAnsi="仿宋" w:eastAsia="方正小标宋简体"/>
          <w:sz w:val="36"/>
          <w:szCs w:val="36"/>
        </w:rPr>
        <w:t>要</w:t>
      </w:r>
      <w:r>
        <w:rPr>
          <w:rFonts w:hint="eastAsia" w:ascii="方正小标宋简体" w:hAnsi="仿宋" w:eastAsia="方正小标宋简体"/>
          <w:sz w:val="36"/>
          <w:szCs w:val="36"/>
        </w:rPr>
        <w:t xml:space="preserve">、文  </w:t>
      </w:r>
      <w:r>
        <w:rPr>
          <w:rFonts w:ascii="方正小标宋简体" w:hAnsi="仿宋" w:eastAsia="方正小标宋简体"/>
          <w:sz w:val="36"/>
          <w:szCs w:val="36"/>
        </w:rPr>
        <w:t>波、</w:t>
      </w:r>
      <w:r>
        <w:rPr>
          <w:rFonts w:hint="eastAsia" w:ascii="方正小标宋简体" w:hAnsi="仿宋" w:eastAsia="方正小标宋简体"/>
          <w:sz w:val="36"/>
          <w:szCs w:val="36"/>
        </w:rPr>
        <w:t>李诗文、苏清</w:t>
      </w:r>
      <w:r>
        <w:rPr>
          <w:rFonts w:ascii="方正小标宋简体" w:hAnsi="仿宋" w:eastAsia="方正小标宋简体"/>
          <w:sz w:val="36"/>
          <w:szCs w:val="36"/>
        </w:rPr>
        <w:t>忠</w:t>
      </w:r>
    </w:p>
    <w:p>
      <w:pPr>
        <w:widowControl/>
        <w:jc w:val="left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br w:type="page"/>
      </w:r>
    </w:p>
    <w:p>
      <w:pPr>
        <w:adjustRightInd w:val="0"/>
        <w:spacing w:line="600" w:lineRule="exact"/>
        <w:ind w:right="641"/>
        <w:jc w:val="center"/>
        <w:rPr>
          <w:rFonts w:ascii="Calibri" w:hAnsi="Calibri"/>
          <w:b/>
          <w:sz w:val="28"/>
        </w:rPr>
      </w:pPr>
      <w:r>
        <w:rPr>
          <w:rFonts w:hint="eastAsia" w:ascii="Calibri" w:hAnsi="Calibri"/>
          <w:b/>
          <w:sz w:val="28"/>
        </w:rPr>
        <w:t>目录</w:t>
      </w:r>
    </w:p>
    <w:p>
      <w:pPr>
        <w:adjustRightInd w:val="0"/>
        <w:spacing w:line="600" w:lineRule="exact"/>
        <w:ind w:right="641"/>
        <w:rPr>
          <w:rFonts w:ascii="Calibri" w:hAnsi="Calibri"/>
        </w:rPr>
      </w:pPr>
      <w:r>
        <w:rPr>
          <w:rFonts w:ascii="Calibri" w:hAnsi="Calibri"/>
          <w:sz w:val="24"/>
        </w:rPr>
        <w:fldChar w:fldCharType="begin"/>
      </w:r>
      <w:r>
        <w:rPr>
          <w:rFonts w:ascii="Calibri" w:hAnsi="Calibri"/>
          <w:sz w:val="24"/>
        </w:rPr>
        <w:instrText xml:space="preserve">TOC \o "1-4" \h \u </w:instrText>
      </w:r>
      <w:r>
        <w:rPr>
          <w:rFonts w:ascii="Calibri" w:hAnsi="Calibri"/>
          <w:sz w:val="24"/>
        </w:rPr>
        <w:fldChar w:fldCharType="separate"/>
      </w:r>
      <w:r>
        <w:fldChar w:fldCharType="begin"/>
      </w:r>
      <w:r>
        <w:instrText xml:space="preserve"> HYPERLINK \l "_Toc29915" </w:instrText>
      </w:r>
      <w:r>
        <w:fldChar w:fldCharType="separate"/>
      </w:r>
      <w:r>
        <w:rPr>
          <w:rFonts w:ascii="黑体" w:hAnsi="黑体" w:eastAsia="黑体" w:cs="黑体"/>
          <w:bCs/>
          <w:szCs w:val="28"/>
        </w:rPr>
        <w:t xml:space="preserve">一、 </w:t>
      </w:r>
      <w:r>
        <w:rPr>
          <w:rFonts w:hint="eastAsia" w:ascii="黑体" w:hAnsi="黑体" w:eastAsia="黑体" w:cs="黑体"/>
          <w:bCs/>
          <w:szCs w:val="28"/>
        </w:rPr>
        <w:t>部门概况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>
      <w:pPr>
        <w:tabs>
          <w:tab w:val="right" w:leader="dot" w:pos="9072"/>
        </w:tabs>
        <w:spacing w:line="360" w:lineRule="auto"/>
        <w:ind w:left="840" w:leftChars="400"/>
        <w:rPr>
          <w:rFonts w:ascii="Calibri" w:hAnsi="Calibri"/>
        </w:rPr>
      </w:pPr>
      <w:r>
        <w:fldChar w:fldCharType="begin"/>
      </w:r>
      <w:r>
        <w:instrText xml:space="preserve"> HYPERLINK \l "_Toc28693"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Cs w:val="28"/>
        </w:rPr>
        <w:t>1、基本情况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1</w:t>
      </w:r>
    </w:p>
    <w:p>
      <w:pPr>
        <w:tabs>
          <w:tab w:val="right" w:leader="dot" w:pos="9072"/>
        </w:tabs>
        <w:spacing w:line="360" w:lineRule="auto"/>
        <w:ind w:left="840" w:leftChars="400"/>
        <w:rPr>
          <w:rFonts w:ascii="Calibri" w:hAnsi="Calibri"/>
        </w:rPr>
      </w:pPr>
      <w:r>
        <w:fldChar w:fldCharType="begin"/>
      </w:r>
      <w:r>
        <w:instrText xml:space="preserve"> HYPERLINK \l "_Toc32007"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Cs w:val="28"/>
        </w:rPr>
        <w:t>2、年初预算绩效目标及重点工作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2</w:t>
      </w:r>
    </w:p>
    <w:p>
      <w:pPr>
        <w:tabs>
          <w:tab w:val="right" w:leader="dot" w:pos="9072"/>
        </w:tabs>
        <w:spacing w:line="360" w:lineRule="auto"/>
        <w:rPr>
          <w:rFonts w:ascii="Calibri" w:hAnsi="Calibri"/>
        </w:rPr>
      </w:pPr>
      <w:r>
        <w:fldChar w:fldCharType="begin"/>
      </w:r>
      <w:r>
        <w:instrText xml:space="preserve"> HYPERLINK \l "_Toc7101" </w:instrText>
      </w:r>
      <w:r>
        <w:fldChar w:fldCharType="separate"/>
      </w:r>
      <w:r>
        <w:rPr>
          <w:rFonts w:hint="eastAsia" w:ascii="黑体" w:hAnsi="黑体" w:eastAsia="黑体" w:cs="黑体"/>
          <w:szCs w:val="32"/>
        </w:rPr>
        <w:t>二、预算资金使用及管理情况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2</w:t>
      </w:r>
    </w:p>
    <w:p>
      <w:pPr>
        <w:tabs>
          <w:tab w:val="right" w:leader="dot" w:pos="9072"/>
        </w:tabs>
        <w:spacing w:line="360" w:lineRule="auto"/>
        <w:ind w:left="420" w:leftChars="200"/>
        <w:rPr>
          <w:rFonts w:ascii="Calibri" w:hAnsi="Calibri"/>
        </w:rPr>
      </w:pPr>
      <w:r>
        <w:fldChar w:fldCharType="begin"/>
      </w:r>
      <w:r>
        <w:instrText xml:space="preserve"> HYPERLINK \l "_Toc27305" </w:instrText>
      </w:r>
      <w:r>
        <w:fldChar w:fldCharType="separate"/>
      </w:r>
      <w:r>
        <w:rPr>
          <w:rFonts w:hint="eastAsia" w:ascii="仿宋_GB2312" w:hAnsi="Calibri" w:eastAsia="仿宋_GB2312"/>
          <w:bCs/>
          <w:szCs w:val="28"/>
        </w:rPr>
        <w:t>（一）年度预算收支情况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3</w:t>
      </w:r>
    </w:p>
    <w:p>
      <w:pPr>
        <w:tabs>
          <w:tab w:val="right" w:leader="dot" w:pos="9072"/>
        </w:tabs>
        <w:spacing w:line="360" w:lineRule="auto"/>
        <w:ind w:left="840" w:leftChars="400"/>
        <w:rPr>
          <w:rFonts w:ascii="Calibri" w:hAnsi="Calibri"/>
        </w:rPr>
      </w:pPr>
      <w:r>
        <w:fldChar w:fldCharType="begin"/>
      </w:r>
      <w:r>
        <w:instrText xml:space="preserve"> HYPERLINK \l "_Toc18857" </w:instrText>
      </w:r>
      <w:r>
        <w:fldChar w:fldCharType="separate"/>
      </w:r>
      <w:r>
        <w:rPr>
          <w:rFonts w:hint="eastAsia" w:ascii="仿宋_GB2312" w:hAnsi="Calibri" w:eastAsia="仿宋_GB2312"/>
          <w:bCs/>
          <w:szCs w:val="28"/>
        </w:rPr>
        <w:t>1、年初预算收支情况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3</w:t>
      </w:r>
    </w:p>
    <w:p>
      <w:pPr>
        <w:tabs>
          <w:tab w:val="right" w:leader="dot" w:pos="9072"/>
        </w:tabs>
        <w:spacing w:line="360" w:lineRule="auto"/>
        <w:ind w:left="840" w:leftChars="400"/>
        <w:rPr>
          <w:rFonts w:ascii="Calibri" w:hAnsi="Calibri"/>
        </w:rPr>
      </w:pPr>
      <w:r>
        <w:fldChar w:fldCharType="begin"/>
      </w:r>
      <w:r>
        <w:instrText xml:space="preserve"> HYPERLINK \l "_Toc8844" </w:instrText>
      </w:r>
      <w:r>
        <w:fldChar w:fldCharType="separate"/>
      </w:r>
      <w:r>
        <w:rPr>
          <w:rFonts w:eastAsia="仿宋_GB2312"/>
          <w:spacing w:val="-1"/>
          <w:szCs w:val="28"/>
        </w:rPr>
        <w:t>2、年度</w:t>
      </w:r>
      <w:r>
        <w:rPr>
          <w:rFonts w:hint="eastAsia" w:ascii="Calibri" w:hAnsi="Calibri" w:eastAsia="仿宋_GB2312"/>
          <w:spacing w:val="-1"/>
          <w:szCs w:val="28"/>
        </w:rPr>
        <w:t>专项资金收支基础数据表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3</w:t>
      </w:r>
    </w:p>
    <w:p>
      <w:pPr>
        <w:tabs>
          <w:tab w:val="right" w:leader="dot" w:pos="9072"/>
        </w:tabs>
        <w:spacing w:line="360" w:lineRule="auto"/>
        <w:ind w:left="420" w:leftChars="200"/>
        <w:rPr>
          <w:rFonts w:ascii="Calibri" w:hAnsi="Calibri"/>
        </w:rPr>
      </w:pPr>
      <w:r>
        <w:fldChar w:fldCharType="begin"/>
      </w:r>
      <w:r>
        <w:instrText xml:space="preserve"> HYPERLINK \l "_Toc27309" </w:instrText>
      </w:r>
      <w:r>
        <w:fldChar w:fldCharType="separate"/>
      </w:r>
      <w:r>
        <w:rPr>
          <w:rFonts w:hint="eastAsia" w:ascii="仿宋_GB2312" w:hAnsi="Calibri" w:eastAsia="仿宋_GB2312"/>
          <w:bCs/>
          <w:szCs w:val="28"/>
        </w:rPr>
        <w:t>（二）年度总预算收支决算及财政预算收支决算情况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3</w:t>
      </w:r>
    </w:p>
    <w:p>
      <w:pPr>
        <w:tabs>
          <w:tab w:val="right" w:leader="dot" w:pos="9072"/>
        </w:tabs>
        <w:spacing w:line="360" w:lineRule="auto"/>
        <w:ind w:left="840" w:leftChars="400"/>
        <w:rPr>
          <w:rFonts w:ascii="Calibri" w:hAnsi="Calibri"/>
        </w:rPr>
      </w:pPr>
      <w:r>
        <w:fldChar w:fldCharType="begin"/>
      </w:r>
      <w:r>
        <w:instrText xml:space="preserve"> HYPERLINK \l "_Toc15517" </w:instrText>
      </w:r>
      <w:r>
        <w:fldChar w:fldCharType="separate"/>
      </w:r>
      <w:r>
        <w:rPr>
          <w:rFonts w:hint="eastAsia" w:ascii="仿宋_GB2312" w:hAnsi="Calibri" w:eastAsia="仿宋_GB2312"/>
          <w:bCs/>
          <w:szCs w:val="28"/>
        </w:rPr>
        <w:t>1、年度预算收入决算情况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4</w:t>
      </w:r>
    </w:p>
    <w:p>
      <w:pPr>
        <w:tabs>
          <w:tab w:val="right" w:leader="dot" w:pos="9072"/>
        </w:tabs>
        <w:spacing w:line="360" w:lineRule="auto"/>
        <w:ind w:left="840" w:leftChars="400"/>
        <w:rPr>
          <w:rFonts w:ascii="Calibri" w:hAnsi="Calibri"/>
        </w:rPr>
      </w:pPr>
      <w:r>
        <w:fldChar w:fldCharType="begin"/>
      </w:r>
      <w:r>
        <w:instrText xml:space="preserve"> HYPERLINK \l "_Toc8126" </w:instrText>
      </w:r>
      <w:r>
        <w:fldChar w:fldCharType="separate"/>
      </w:r>
      <w:r>
        <w:rPr>
          <w:rFonts w:hint="eastAsia" w:ascii="仿宋_GB2312" w:hAnsi="Calibri" w:eastAsia="仿宋_GB2312"/>
          <w:bCs/>
          <w:szCs w:val="28"/>
        </w:rPr>
        <w:t>2、年度预算支出决算及结余情况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4</w:t>
      </w:r>
    </w:p>
    <w:p>
      <w:pPr>
        <w:tabs>
          <w:tab w:val="right" w:leader="dot" w:pos="9072"/>
        </w:tabs>
        <w:spacing w:line="360" w:lineRule="auto"/>
        <w:ind w:left="420" w:leftChars="200"/>
        <w:rPr>
          <w:rFonts w:ascii="Calibri" w:hAnsi="Calibri"/>
        </w:rPr>
      </w:pPr>
      <w:r>
        <w:fldChar w:fldCharType="begin"/>
      </w:r>
      <w:r>
        <w:instrText xml:space="preserve"> HYPERLINK \l "_Toc9148" </w:instrText>
      </w:r>
      <w:r>
        <w:fldChar w:fldCharType="separate"/>
      </w:r>
      <w:r>
        <w:rPr>
          <w:rFonts w:ascii="仿宋_GB2312" w:hAnsi="Calibri" w:eastAsia="仿宋_GB2312"/>
          <w:bCs/>
          <w:szCs w:val="28"/>
        </w:rPr>
        <w:t xml:space="preserve">（二） </w:t>
      </w:r>
      <w:r>
        <w:rPr>
          <w:rFonts w:hint="eastAsia" w:ascii="仿宋_GB2312" w:hAnsi="Calibri" w:eastAsia="仿宋_GB2312"/>
          <w:bCs/>
          <w:szCs w:val="28"/>
        </w:rPr>
        <w:t>预算资金管理情况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4</w:t>
      </w:r>
    </w:p>
    <w:p>
      <w:pPr>
        <w:tabs>
          <w:tab w:val="right" w:leader="dot" w:pos="9072"/>
        </w:tabs>
        <w:spacing w:line="360" w:lineRule="auto"/>
        <w:ind w:left="420" w:leftChars="200"/>
        <w:rPr>
          <w:rFonts w:ascii="Calibri" w:hAnsi="Calibri"/>
        </w:rPr>
      </w:pPr>
      <w:r>
        <w:fldChar w:fldCharType="begin"/>
      </w:r>
      <w:r>
        <w:instrText xml:space="preserve"> HYPERLINK \l "_Toc10003" </w:instrText>
      </w:r>
      <w:r>
        <w:fldChar w:fldCharType="separate"/>
      </w:r>
      <w:r>
        <w:rPr>
          <w:rFonts w:hint="eastAsia" w:ascii="仿宋_GB2312" w:hAnsi="Calibri" w:eastAsia="仿宋_GB2312"/>
          <w:bCs/>
          <w:szCs w:val="28"/>
        </w:rPr>
        <w:t>（三）其他收入支出情况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5</w:t>
      </w:r>
    </w:p>
    <w:p>
      <w:pPr>
        <w:tabs>
          <w:tab w:val="right" w:leader="dot" w:pos="9072"/>
        </w:tabs>
        <w:spacing w:line="360" w:lineRule="auto"/>
        <w:ind w:left="420" w:leftChars="200"/>
        <w:rPr>
          <w:rFonts w:ascii="Calibri" w:hAnsi="Calibri"/>
        </w:rPr>
      </w:pPr>
      <w:r>
        <w:fldChar w:fldCharType="begin"/>
      </w:r>
      <w:r>
        <w:instrText xml:space="preserve"> HYPERLINK \l "_Toc26822" </w:instrText>
      </w:r>
      <w:r>
        <w:fldChar w:fldCharType="separate"/>
      </w:r>
      <w:r>
        <w:rPr>
          <w:rFonts w:hint="eastAsia" w:ascii="仿宋_GB2312" w:hAnsi="Calibri" w:eastAsia="仿宋_GB2312"/>
          <w:bCs/>
          <w:szCs w:val="28"/>
        </w:rPr>
        <w:t>（四）“三公经费”支出情况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5</w:t>
      </w:r>
    </w:p>
    <w:p>
      <w:pPr>
        <w:tabs>
          <w:tab w:val="right" w:leader="dot" w:pos="9072"/>
        </w:tabs>
        <w:spacing w:line="360" w:lineRule="auto"/>
        <w:ind w:left="420" w:leftChars="200"/>
        <w:rPr>
          <w:rFonts w:ascii="Calibri" w:hAnsi="Calibri"/>
        </w:rPr>
      </w:pPr>
      <w:r>
        <w:fldChar w:fldCharType="begin"/>
      </w:r>
      <w:r>
        <w:instrText xml:space="preserve"> HYPERLINK \l "_Toc4983" </w:instrText>
      </w:r>
      <w:r>
        <w:fldChar w:fldCharType="separate"/>
      </w:r>
      <w:r>
        <w:rPr>
          <w:rFonts w:hint="eastAsia" w:ascii="仿宋_GB2312" w:hAnsi="Calibri" w:eastAsia="仿宋_GB2312"/>
          <w:bCs/>
          <w:szCs w:val="28"/>
        </w:rPr>
        <w:t>（五） 部门资产配置情况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5</w:t>
      </w:r>
    </w:p>
    <w:p>
      <w:pPr>
        <w:tabs>
          <w:tab w:val="right" w:leader="dot" w:pos="9072"/>
        </w:tabs>
        <w:spacing w:line="360" w:lineRule="auto"/>
        <w:ind w:left="420" w:leftChars="200"/>
        <w:rPr>
          <w:rFonts w:ascii="Calibri" w:hAnsi="Calibri"/>
        </w:rPr>
      </w:pPr>
      <w:r>
        <w:fldChar w:fldCharType="begin"/>
      </w:r>
      <w:r>
        <w:instrText xml:space="preserve"> HYPERLINK \l "_Toc2876" </w:instrText>
      </w:r>
      <w:r>
        <w:fldChar w:fldCharType="separate"/>
      </w:r>
      <w:r>
        <w:rPr>
          <w:rFonts w:hint="eastAsia" w:ascii="仿宋_GB2312" w:hAnsi="Calibri" w:eastAsia="仿宋_GB2312"/>
          <w:bCs/>
          <w:szCs w:val="28"/>
        </w:rPr>
        <w:t>（六）部门专项项目组织实施情况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6</w:t>
      </w:r>
    </w:p>
    <w:p>
      <w:pPr>
        <w:tabs>
          <w:tab w:val="right" w:leader="dot" w:pos="9072"/>
        </w:tabs>
        <w:spacing w:line="360" w:lineRule="auto"/>
        <w:rPr>
          <w:rFonts w:ascii="Calibri" w:hAnsi="Calibri"/>
        </w:rPr>
      </w:pPr>
      <w:r>
        <w:fldChar w:fldCharType="begin"/>
      </w:r>
      <w:r>
        <w:instrText xml:space="preserve"> HYPERLINK \l "_Toc9941" </w:instrText>
      </w:r>
      <w:r>
        <w:fldChar w:fldCharType="separate"/>
      </w:r>
      <w:r>
        <w:rPr>
          <w:rFonts w:hint="eastAsia" w:ascii="黑体" w:hAnsi="黑体" w:eastAsia="黑体" w:cs="黑体"/>
          <w:szCs w:val="28"/>
        </w:rPr>
        <w:t>三、部门绩效目标情况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6</w:t>
      </w:r>
    </w:p>
    <w:p>
      <w:pPr>
        <w:tabs>
          <w:tab w:val="right" w:leader="dot" w:pos="9072"/>
        </w:tabs>
        <w:spacing w:line="360" w:lineRule="auto"/>
        <w:rPr>
          <w:rFonts w:ascii="Calibri" w:hAnsi="Calibri"/>
        </w:rPr>
      </w:pPr>
      <w:r>
        <w:fldChar w:fldCharType="begin"/>
      </w:r>
      <w:r>
        <w:instrText xml:space="preserve"> HYPERLINK \l "_Toc19455" </w:instrText>
      </w:r>
      <w:r>
        <w:fldChar w:fldCharType="separate"/>
      </w:r>
      <w:r>
        <w:rPr>
          <w:rFonts w:hint="eastAsia" w:ascii="黑体" w:hAnsi="黑体" w:eastAsia="黑体" w:cs="黑体"/>
          <w:szCs w:val="28"/>
        </w:rPr>
        <w:t>四、部门整体支出绩效评价分析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7</w:t>
      </w:r>
    </w:p>
    <w:p>
      <w:pPr>
        <w:tabs>
          <w:tab w:val="right" w:leader="dot" w:pos="9072"/>
        </w:tabs>
        <w:spacing w:line="360" w:lineRule="auto"/>
        <w:rPr>
          <w:rFonts w:ascii="Calibri" w:hAnsi="Calibri"/>
        </w:rPr>
      </w:pPr>
      <w:r>
        <w:fldChar w:fldCharType="begin"/>
      </w:r>
      <w:r>
        <w:instrText xml:space="preserve"> HYPERLINK \l "_Toc12942" </w:instrText>
      </w:r>
      <w:r>
        <w:fldChar w:fldCharType="separate"/>
      </w:r>
      <w:r>
        <w:rPr>
          <w:rFonts w:hint="eastAsia" w:ascii="黑体" w:hAnsi="黑体" w:eastAsia="黑体" w:cs="黑体"/>
          <w:szCs w:val="28"/>
        </w:rPr>
        <w:t>五、绩效评价结论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9</w:t>
      </w:r>
    </w:p>
    <w:p>
      <w:pPr>
        <w:tabs>
          <w:tab w:val="right" w:leader="dot" w:pos="9072"/>
        </w:tabs>
        <w:spacing w:line="360" w:lineRule="auto"/>
        <w:rPr>
          <w:rFonts w:ascii="Calibri" w:hAnsi="Calibri"/>
        </w:rPr>
      </w:pPr>
      <w:r>
        <w:fldChar w:fldCharType="begin"/>
      </w:r>
      <w:r>
        <w:instrText xml:space="preserve"> HYPERLINK \l "_Toc750" </w:instrText>
      </w:r>
      <w:r>
        <w:fldChar w:fldCharType="separate"/>
      </w:r>
      <w:r>
        <w:rPr>
          <w:rFonts w:hint="eastAsia" w:ascii="黑体" w:hAnsi="黑体" w:eastAsia="黑体" w:cs="黑体"/>
          <w:szCs w:val="28"/>
        </w:rPr>
        <w:t>六、存在的问题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9</w:t>
      </w:r>
    </w:p>
    <w:p>
      <w:pPr>
        <w:tabs>
          <w:tab w:val="right" w:leader="dot" w:pos="9072"/>
        </w:tabs>
        <w:spacing w:line="360" w:lineRule="auto"/>
        <w:rPr>
          <w:rFonts w:ascii="Calibri" w:hAnsi="Calibri"/>
        </w:rPr>
      </w:pPr>
      <w:r>
        <w:fldChar w:fldCharType="begin"/>
      </w:r>
      <w:r>
        <w:instrText xml:space="preserve"> HYPERLINK \l "_Toc13081" </w:instrText>
      </w:r>
      <w:r>
        <w:fldChar w:fldCharType="separate"/>
      </w:r>
      <w:r>
        <w:rPr>
          <w:rFonts w:hint="eastAsia" w:ascii="黑体" w:hAnsi="黑体" w:eastAsia="黑体" w:cs="黑体"/>
          <w:szCs w:val="28"/>
        </w:rPr>
        <w:t>六、有关建议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10</w:t>
      </w:r>
    </w:p>
    <w:p>
      <w:pPr>
        <w:spacing w:line="400" w:lineRule="atLeast"/>
        <w:rPr>
          <w:rFonts w:ascii="Calibri" w:hAnsi="Calibri"/>
          <w:sz w:val="24"/>
        </w:rPr>
      </w:pPr>
      <w:r>
        <w:rPr>
          <w:rFonts w:ascii="Calibri" w:hAnsi="Calibri"/>
        </w:rPr>
        <w:fldChar w:fldCharType="end"/>
      </w:r>
    </w:p>
    <w:p>
      <w:pPr>
        <w:widowControl/>
        <w:spacing w:line="460" w:lineRule="exact"/>
        <w:jc w:val="center"/>
        <w:rPr>
          <w:rFonts w:ascii="黑体" w:hAnsi="黑体" w:eastAsia="黑体" w:cs="黑体"/>
          <w:color w:val="000000"/>
          <w:kern w:val="0"/>
          <w:sz w:val="24"/>
        </w:rPr>
        <w:sectPr>
          <w:headerReference r:id="rId3" w:type="default"/>
          <w:pgSz w:w="11906" w:h="16838"/>
          <w:pgMar w:top="1417" w:right="1417" w:bottom="1417" w:left="141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djustRightInd w:val="0"/>
        <w:spacing w:line="600" w:lineRule="exact"/>
        <w:ind w:right="641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2019年度</w:t>
      </w:r>
      <w:r>
        <w:rPr>
          <w:rFonts w:ascii="方正小标宋简体" w:hAnsi="仿宋" w:eastAsia="方正小标宋简体"/>
          <w:sz w:val="36"/>
          <w:szCs w:val="36"/>
        </w:rPr>
        <w:t>武溪小学</w:t>
      </w:r>
    </w:p>
    <w:p>
      <w:pPr>
        <w:adjustRightInd w:val="0"/>
        <w:spacing w:line="600" w:lineRule="exact"/>
        <w:ind w:right="641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部门预算整体支出绩效自评价报告</w:t>
      </w:r>
    </w:p>
    <w:p>
      <w:pPr>
        <w:widowControl/>
        <w:spacing w:line="520" w:lineRule="exact"/>
        <w:rPr>
          <w:rFonts w:ascii="黑体" w:hAnsi="黑体" w:eastAsia="黑体" w:cs="黑体"/>
          <w:color w:val="000000"/>
          <w:kern w:val="0"/>
          <w:sz w:val="36"/>
          <w:szCs w:val="36"/>
        </w:rPr>
      </w:pP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ascii="仿宋_GB2312" w:hAnsi="仿宋_GB2312" w:eastAsia="仿宋_GB2312" w:cs="仿宋_GB2312"/>
          <w:sz w:val="28"/>
          <w:szCs w:val="28"/>
        </w:rPr>
        <w:t>提升财政资金的预算绩效管理工作水平，增强单位财政资金支出责任，规范资金管理行为，提高财政资金使用效益，提高公共服务质量，优化公共资源配置，保障部门更好的履行职责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ascii="仿宋_GB2312" w:hAnsi="仿宋_GB2312" w:eastAsia="仿宋_GB2312" w:cs="仿宋_GB2312"/>
          <w:sz w:val="28"/>
          <w:szCs w:val="28"/>
        </w:rPr>
        <w:t>节约公共支出成本。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财政部《财政支出绩效评价管理暂行办法》（财预〔2011〕285号）、《湖南省人民政府关于全面推进预算绩效管理的意见》（湘政发〔2012〕33号）、财政部《预算绩效管理工作规划（2012—2015）》（财预〔2012〕396号）、《党政机关厉行节约反对浪费条例》、《泸溪县财政局关于开展预算单位整体支出绩效评价的通知》等文件的要求，本单位于20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月，组织力量运用科学、合理的绩效评价指标、评价标准和评价方法，对本单位的201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年部门预算整体支出进行了绩效评价，本次评价遵循了“科学规范、客观公正、分类考核、绩效相关”的原则。现将情况汇报如下：</w:t>
      </w:r>
    </w:p>
    <w:p>
      <w:pPr>
        <w:numPr>
          <w:ilvl w:val="0"/>
          <w:numId w:val="1"/>
        </w:numPr>
        <w:spacing w:line="520" w:lineRule="exact"/>
        <w:ind w:firstLine="560" w:firstLineChars="200"/>
        <w:outlineLvl w:val="0"/>
        <w:rPr>
          <w:rFonts w:ascii="黑体" w:hAnsi="黑体" w:eastAsia="黑体" w:cs="黑体"/>
          <w:bCs/>
          <w:sz w:val="28"/>
          <w:szCs w:val="28"/>
        </w:rPr>
      </w:pPr>
      <w:bookmarkStart w:id="0" w:name="_Toc29915"/>
      <w:r>
        <w:rPr>
          <w:rFonts w:hint="eastAsia" w:ascii="黑体" w:hAnsi="黑体" w:eastAsia="黑体" w:cs="黑体"/>
          <w:bCs/>
          <w:sz w:val="28"/>
          <w:szCs w:val="28"/>
        </w:rPr>
        <w:t>部门概况</w:t>
      </w:r>
      <w:bookmarkEnd w:id="0"/>
    </w:p>
    <w:p>
      <w:pPr>
        <w:spacing w:line="520" w:lineRule="exact"/>
        <w:ind w:firstLine="562" w:firstLineChars="200"/>
        <w:outlineLvl w:val="2"/>
        <w:rPr>
          <w:rFonts w:ascii="仿宋_GB2312" w:hAnsi="仿宋_GB2312" w:eastAsia="仿宋_GB2312" w:cs="仿宋_GB2312"/>
          <w:sz w:val="28"/>
          <w:szCs w:val="28"/>
        </w:rPr>
      </w:pPr>
      <w:bookmarkStart w:id="1" w:name="_Toc28693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1、基本情况</w:t>
      </w:r>
      <w:bookmarkEnd w:id="1"/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泸溪县武溪小学属县教育局下属二级事业单位。武溪小学始建于1753年，办学历史悠久，文化地蕴深厚。学校占地面积45707平方米，是一所农村独立小学，属于全州首批省一级完全合格小学。学校法定代表人为陈永</w:t>
      </w:r>
      <w:r>
        <w:rPr>
          <w:rFonts w:ascii="仿宋_GB2312" w:hAnsi="仿宋_GB2312" w:eastAsia="仿宋_GB2312" w:cs="仿宋_GB2312"/>
          <w:sz w:val="28"/>
          <w:szCs w:val="28"/>
        </w:rPr>
        <w:t>国</w:t>
      </w:r>
      <w:r>
        <w:rPr>
          <w:rFonts w:hint="eastAsia" w:ascii="仿宋_GB2312" w:hAnsi="仿宋_GB2312" w:eastAsia="仿宋_GB2312" w:cs="仿宋_GB2312"/>
          <w:sz w:val="28"/>
          <w:szCs w:val="28"/>
        </w:rPr>
        <w:t>，单位统一社会信用代码为124331224485558052。学校目前开设教学班3</w:t>
      </w: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个，在校学生</w:t>
      </w:r>
      <w:r>
        <w:rPr>
          <w:rFonts w:ascii="仿宋_GB2312" w:hAnsi="仿宋_GB2312" w:eastAsia="仿宋_GB2312" w:cs="仿宋_GB2312"/>
          <w:sz w:val="28"/>
          <w:szCs w:val="28"/>
        </w:rPr>
        <w:t>1819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人，教职工</w:t>
      </w:r>
      <w:r>
        <w:rPr>
          <w:rFonts w:ascii="仿宋_GB2312" w:hAnsi="仿宋_GB2312" w:eastAsia="仿宋_GB2312" w:cs="仿宋_GB2312"/>
          <w:sz w:val="28"/>
          <w:szCs w:val="28"/>
        </w:rPr>
        <w:t>144</w:t>
      </w:r>
      <w:r>
        <w:rPr>
          <w:rFonts w:hint="eastAsia" w:ascii="仿宋_GB2312" w:hAnsi="仿宋_GB2312" w:eastAsia="仿宋_GB2312" w:cs="仿宋_GB2312"/>
          <w:sz w:val="28"/>
          <w:szCs w:val="28"/>
        </w:rPr>
        <w:t>人。学校下设党支部、工会、教导处、总务处、教科室、少先队大队部、少年宫等。我校属事业单位，执行的是政府事业</w:t>
      </w:r>
      <w:r>
        <w:rPr>
          <w:rFonts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会计制度。规范财政资金管理、防范资金风险，提高资金使用效益，保证学校工作的正常运转，为社会服务。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宗旨和业务范围为：实施小学义务教育，促进基础教育发展，小学学历教育及相关社会服务。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本单位的主要职责是：</w:t>
      </w:r>
    </w:p>
    <w:p>
      <w:pPr>
        <w:spacing w:line="580" w:lineRule="exact"/>
        <w:ind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1.实施义务教育阶段教育，促进基础教育发展，实施义务教育阶段学历发放及相关服务。</w:t>
      </w:r>
    </w:p>
    <w:p>
      <w:pPr>
        <w:spacing w:line="580" w:lineRule="exact"/>
        <w:ind w:firstLine="556" w:firstLineChars="200"/>
        <w:rPr>
          <w:rFonts w:ascii="仿宋_GB2312" w:hAnsi="仿宋_GB2312" w:eastAsia="仿宋_GB2312" w:cs="仿宋_GB2312"/>
          <w:color w:val="000000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2.实行教学与教育相结合的原则，对学生实施体、智、德、美全面发展的教育，促进其身心和谐发展。</w:t>
      </w:r>
      <w:r>
        <w:rPr>
          <w:rFonts w:hint="eastAsia" w:ascii="仿宋_GB2312" w:hAnsi="仿宋_GB2312" w:eastAsia="仿宋_GB2312" w:cs="仿宋_GB2312"/>
          <w:color w:val="000000"/>
          <w:spacing w:val="-1"/>
          <w:sz w:val="28"/>
          <w:szCs w:val="28"/>
        </w:rPr>
        <w:t>同时为家长参加工作、学习提供便利条件。</w:t>
      </w:r>
    </w:p>
    <w:p>
      <w:pPr>
        <w:spacing w:line="580" w:lineRule="exact"/>
        <w:ind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3.促进学生身体正常发育和机能的协调发展，增强体质，培养良好的生活习惯、卫生习惯和参加体育活动的兴趣。发展学生正确运用感官和运用语言交往的基本能力，增进其对环境的认识，培养有益的兴趣和动手能力，发展智力。萌发学生爱家乡、爱祖国、爱集体、爱劳动的情感，培养诚实、勇敢、好问、友爱、爱惜公物、不怕困难、讲礼貌、守纪律等良好的品德、行为、习惯，以及活泼、开朗的性格。萌发学生初步的感受美和表现美的兴趣。</w:t>
      </w:r>
    </w:p>
    <w:p>
      <w:pPr>
        <w:spacing w:line="580" w:lineRule="exact"/>
        <w:ind w:firstLine="556" w:firstLineChars="200"/>
        <w:rPr>
          <w:rFonts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4.承办教育局和其他上级有关部门交办的其他事项。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截止201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年12月31日，我校经县编办核定的编制人数为1</w:t>
      </w:r>
      <w:r>
        <w:rPr>
          <w:rFonts w:ascii="仿宋_GB2312" w:hAnsi="仿宋_GB2312" w:eastAsia="仿宋_GB2312" w:cs="仿宋_GB2312"/>
          <w:sz w:val="28"/>
          <w:szCs w:val="28"/>
        </w:rPr>
        <w:t>44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人，均为全额事业编制。年末实有人数1</w:t>
      </w:r>
      <w:r>
        <w:rPr>
          <w:rFonts w:ascii="仿宋_GB2312" w:hAnsi="仿宋_GB2312" w:eastAsia="仿宋_GB2312" w:cs="仿宋_GB2312"/>
          <w:sz w:val="28"/>
          <w:szCs w:val="28"/>
        </w:rPr>
        <w:t>39</w:t>
      </w:r>
      <w:r>
        <w:rPr>
          <w:rFonts w:hint="eastAsia" w:ascii="仿宋_GB2312" w:hAnsi="仿宋_GB2312" w:eastAsia="仿宋_GB2312" w:cs="仿宋_GB2312"/>
          <w:sz w:val="28"/>
          <w:szCs w:val="28"/>
        </w:rPr>
        <w:t>人。</w:t>
      </w:r>
    </w:p>
    <w:p>
      <w:pPr>
        <w:spacing w:line="580" w:lineRule="exact"/>
        <w:ind w:firstLine="562" w:firstLineChars="200"/>
        <w:outlineLvl w:val="2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2" w:name="_Toc32007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2、年初预算绩效目标及重点工作</w:t>
      </w:r>
      <w:bookmarkEnd w:id="2"/>
    </w:p>
    <w:p>
      <w:pPr>
        <w:spacing w:line="580" w:lineRule="exact"/>
        <w:ind w:firstLine="552" w:firstLineChars="200"/>
        <w:rPr>
          <w:rFonts w:ascii="仿宋_GB2312" w:hAnsi="仿宋_GB2312" w:eastAsia="仿宋_GB2312" w:cs="仿宋_GB2312"/>
          <w:spacing w:val="-2"/>
          <w:sz w:val="28"/>
          <w:szCs w:val="28"/>
        </w:rPr>
      </w:pPr>
      <w:bookmarkStart w:id="3" w:name="_Toc11661"/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根据年初本单位申报及财政部门审批的绩效目标，本单位201</w:t>
      </w:r>
      <w:r>
        <w:rPr>
          <w:rFonts w:ascii="仿宋_GB2312" w:hAnsi="仿宋_GB2312" w:eastAsia="仿宋_GB2312" w:cs="仿宋_GB2312"/>
          <w:spacing w:val="-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年设定的绩效目标为：</w:t>
      </w:r>
    </w:p>
    <w:p>
      <w:pPr>
        <w:spacing w:line="580" w:lineRule="exact"/>
        <w:ind w:firstLine="552" w:firstLineChars="200"/>
        <w:rPr>
          <w:rFonts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目标1：全面贯彻党的教育方针政策，实施小学义务教育，促进小学教育发展，以及相关社会服务，搞好精准扶贫和结对帮扶工作。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80" w:lineRule="exact"/>
        <w:ind w:firstLine="552" w:firstLineChars="200"/>
        <w:rPr>
          <w:rFonts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目标2：搞好校园师生安全工作，搞好扫黑除恶专项斗争。</w:t>
      </w:r>
    </w:p>
    <w:p>
      <w:pPr>
        <w:spacing w:line="58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bookmarkStart w:id="4" w:name="_Toc7101"/>
      <w:r>
        <w:rPr>
          <w:rFonts w:hint="eastAsia" w:ascii="黑体" w:hAnsi="黑体" w:eastAsia="黑体" w:cs="黑体"/>
          <w:sz w:val="32"/>
          <w:szCs w:val="32"/>
        </w:rPr>
        <w:t>二、</w:t>
      </w:r>
      <w:bookmarkEnd w:id="3"/>
      <w:r>
        <w:rPr>
          <w:rFonts w:hint="eastAsia" w:ascii="黑体" w:hAnsi="黑体" w:eastAsia="黑体" w:cs="黑体"/>
          <w:sz w:val="32"/>
          <w:szCs w:val="32"/>
        </w:rPr>
        <w:t>预算资金使用及管理情况</w:t>
      </w:r>
      <w:bookmarkEnd w:id="4"/>
    </w:p>
    <w:p>
      <w:pPr>
        <w:spacing w:line="580" w:lineRule="exact"/>
        <w:ind w:firstLine="562" w:firstLineChars="200"/>
        <w:outlineLvl w:val="1"/>
        <w:rPr>
          <w:rFonts w:ascii="Calibri" w:hAnsi="Calibri"/>
          <w:b/>
          <w:bCs/>
          <w:sz w:val="28"/>
          <w:szCs w:val="28"/>
        </w:rPr>
      </w:pPr>
      <w:bookmarkStart w:id="5" w:name="_Toc27305"/>
      <w:bookmarkStart w:id="6" w:name="_Toc27094"/>
      <w:r>
        <w:rPr>
          <w:rFonts w:hint="eastAsia" w:ascii="仿宋_GB2312" w:hAnsi="Calibri" w:eastAsia="仿宋_GB2312"/>
          <w:b/>
          <w:bCs/>
          <w:sz w:val="28"/>
          <w:szCs w:val="28"/>
        </w:rPr>
        <w:t>（一）年度预算收支情况</w:t>
      </w:r>
      <w:bookmarkEnd w:id="5"/>
    </w:p>
    <w:bookmarkEnd w:id="6"/>
    <w:p>
      <w:pPr>
        <w:spacing w:line="580" w:lineRule="exact"/>
        <w:ind w:firstLine="562" w:firstLineChars="200"/>
        <w:outlineLvl w:val="2"/>
        <w:rPr>
          <w:rFonts w:ascii="仿宋_GB2312" w:hAnsi="Calibri" w:eastAsia="仿宋_GB2312"/>
          <w:b/>
          <w:bCs/>
          <w:sz w:val="28"/>
          <w:szCs w:val="28"/>
        </w:rPr>
      </w:pPr>
      <w:bookmarkStart w:id="7" w:name="_Toc29321"/>
      <w:bookmarkStart w:id="8" w:name="_Toc22098"/>
      <w:bookmarkStart w:id="9" w:name="_Toc18857"/>
      <w:r>
        <w:rPr>
          <w:rFonts w:hint="eastAsia" w:ascii="仿宋_GB2312" w:hAnsi="Calibri" w:eastAsia="仿宋_GB2312"/>
          <w:b/>
          <w:bCs/>
          <w:sz w:val="28"/>
          <w:szCs w:val="28"/>
        </w:rPr>
        <w:t>1、年初预算收支情况</w:t>
      </w:r>
      <w:bookmarkEnd w:id="7"/>
      <w:bookmarkEnd w:id="8"/>
      <w:bookmarkEnd w:id="9"/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根据年初新机制收支预算及部门收支预算，结合年末决算报表及单位账务资料，本单位2019年预算资金安排及实际投入情况如下：      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tbl>
      <w:tblPr>
        <w:tblStyle w:val="5"/>
        <w:tblW w:w="96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3"/>
        <w:gridCol w:w="2268"/>
        <w:gridCol w:w="3119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一、年初预算资金安排情况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4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收入预算情况</w:t>
            </w:r>
          </w:p>
        </w:tc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支出预算情况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年初结转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44</w:t>
            </w:r>
            <w:r>
              <w:rPr>
                <w:rFonts w:eastAsia="仿宋"/>
                <w:color w:val="000000"/>
                <w:sz w:val="24"/>
              </w:rPr>
              <w:t>.60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一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bidi="ar"/>
              </w:rPr>
              <w:t>基本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支出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2181.32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一、财政拨款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2125.38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、人员经费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1993.05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二、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政府性基金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5.00</w:t>
            </w:r>
          </w:p>
        </w:tc>
        <w:tc>
          <w:tcPr>
            <w:tcW w:w="31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、日常公用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188.27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三、非税收入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75.49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二、项目支出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46.57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四、其他收入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eastAsia="仿宋"/>
                <w:bCs/>
                <w:color w:val="000000"/>
                <w:sz w:val="28"/>
                <w:szCs w:val="28"/>
                <w:lang w:bidi="ar"/>
              </w:rPr>
              <w:t>年初收入预算合计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2250.48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lang w:bidi="ar"/>
              </w:rPr>
              <w:t>年初支出预算合计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2250.48</w:t>
            </w:r>
          </w:p>
        </w:tc>
      </w:tr>
    </w:tbl>
    <w:p>
      <w:pPr>
        <w:spacing w:line="3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40" w:lineRule="exact"/>
        <w:ind w:firstLine="552"/>
        <w:outlineLvl w:val="2"/>
        <w:rPr>
          <w:rFonts w:ascii="Calibri" w:hAnsi="Calibri" w:eastAsia="仿宋_GB2312"/>
          <w:spacing w:val="-1"/>
          <w:sz w:val="28"/>
          <w:szCs w:val="28"/>
        </w:rPr>
      </w:pPr>
      <w:bookmarkStart w:id="10" w:name="_Toc8844"/>
      <w:bookmarkStart w:id="11" w:name="_Toc1726"/>
      <w:bookmarkStart w:id="12" w:name="_Toc24410"/>
      <w:bookmarkStart w:id="13" w:name="OLE_LINK6"/>
      <w:bookmarkStart w:id="14" w:name="_Toc15466"/>
      <w:r>
        <w:rPr>
          <w:rFonts w:eastAsia="仿宋_GB2312"/>
          <w:spacing w:val="-1"/>
          <w:sz w:val="28"/>
          <w:szCs w:val="28"/>
        </w:rPr>
        <w:t>2、年度</w:t>
      </w:r>
      <w:r>
        <w:rPr>
          <w:rFonts w:hint="eastAsia" w:ascii="Calibri" w:hAnsi="Calibri" w:eastAsia="仿宋_GB2312"/>
          <w:spacing w:val="-1"/>
          <w:sz w:val="28"/>
          <w:szCs w:val="28"/>
        </w:rPr>
        <w:t>专项资金收支基础数据表</w:t>
      </w:r>
      <w:bookmarkEnd w:id="10"/>
      <w:bookmarkEnd w:id="11"/>
      <w:bookmarkEnd w:id="12"/>
    </w:p>
    <w:tbl>
      <w:tblPr>
        <w:tblStyle w:val="5"/>
        <w:tblW w:w="90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2"/>
        <w:gridCol w:w="1588"/>
        <w:gridCol w:w="1868"/>
        <w:gridCol w:w="1505"/>
        <w:gridCol w:w="14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上年结转    （万元）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实际到位资金   (万元)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本年支付   (万元)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本年结余   (万元)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支持民办</w:t>
            </w: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幼儿园发展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170000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170000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义</w:t>
            </w: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教大班额奖补资金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48100.76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48100.76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中央</w:t>
            </w: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彩票公</w:t>
            </w: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益</w:t>
            </w: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支持乡村学校</w:t>
            </w: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少年宫</w:t>
            </w: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建设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扶</w:t>
            </w: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贫</w:t>
            </w: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下</w:t>
            </w: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乡</w:t>
            </w: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补助</w:t>
            </w:r>
            <w:r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  <w:t>资金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ascii="Arial Narrow" w:hAnsi="Arial Narrow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 Narrow" w:hAnsi="Arial Narrow" w:cs="Arial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"/>
                <w:color w:val="000000"/>
                <w:sz w:val="24"/>
              </w:rPr>
              <w:t>308100.76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"/>
                <w:color w:val="000000"/>
                <w:sz w:val="24"/>
              </w:rPr>
              <w:t>308100.76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bookmarkEnd w:id="13"/>
      <w:bookmarkEnd w:id="14"/>
    </w:tbl>
    <w:p>
      <w:pPr>
        <w:spacing w:line="600" w:lineRule="exact"/>
        <w:ind w:firstLine="281" w:firstLineChars="100"/>
        <w:outlineLvl w:val="1"/>
        <w:rPr>
          <w:rFonts w:ascii="Calibri" w:hAnsi="Calibri"/>
          <w:b/>
          <w:bCs/>
          <w:sz w:val="28"/>
          <w:szCs w:val="28"/>
        </w:rPr>
      </w:pPr>
      <w:bookmarkStart w:id="15" w:name="_Toc22591"/>
      <w:bookmarkStart w:id="16" w:name="_Toc27309"/>
      <w:bookmarkStart w:id="17" w:name="_Toc9635"/>
      <w:r>
        <w:rPr>
          <w:rFonts w:hint="eastAsia" w:ascii="仿宋_GB2312" w:hAnsi="Calibri" w:eastAsia="仿宋_GB2312"/>
          <w:b/>
          <w:bCs/>
          <w:sz w:val="28"/>
          <w:szCs w:val="28"/>
        </w:rPr>
        <w:t>（二）年度总预算收支决算及财政预算收支决算情况</w:t>
      </w:r>
      <w:bookmarkEnd w:id="15"/>
      <w:bookmarkEnd w:id="16"/>
      <w:bookmarkEnd w:id="17"/>
    </w:p>
    <w:p>
      <w:pPr>
        <w:spacing w:line="600" w:lineRule="exact"/>
        <w:ind w:firstLine="562" w:firstLineChars="200"/>
        <w:outlineLvl w:val="2"/>
        <w:rPr>
          <w:rFonts w:ascii="仿宋_GB2312" w:hAnsi="Calibri" w:eastAsia="仿宋_GB2312"/>
          <w:b/>
          <w:bCs/>
          <w:sz w:val="28"/>
          <w:szCs w:val="28"/>
        </w:rPr>
      </w:pPr>
      <w:bookmarkStart w:id="18" w:name="_Toc18710"/>
      <w:bookmarkStart w:id="19" w:name="_Toc15517"/>
      <w:bookmarkStart w:id="20" w:name="_Toc25352"/>
      <w:bookmarkStart w:id="21" w:name="_Toc27645"/>
      <w:r>
        <w:rPr>
          <w:rFonts w:hint="eastAsia" w:ascii="仿宋_GB2312" w:hAnsi="Calibri" w:eastAsia="仿宋_GB2312"/>
          <w:b/>
          <w:bCs/>
          <w:sz w:val="28"/>
          <w:szCs w:val="28"/>
        </w:rPr>
        <w:t>1、年度预算收入决算情况</w:t>
      </w:r>
      <w:bookmarkEnd w:id="18"/>
      <w:bookmarkEnd w:id="19"/>
      <w:bookmarkEnd w:id="20"/>
    </w:p>
    <w:tbl>
      <w:tblPr>
        <w:tblStyle w:val="5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4"/>
        <w:gridCol w:w="244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94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收入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收入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831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994" w:type="dxa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财政拨款收入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22,278,952.93</w:t>
            </w:r>
          </w:p>
        </w:tc>
        <w:tc>
          <w:tcPr>
            <w:tcW w:w="1831" w:type="dxa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994" w:type="dxa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其中：基本支出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21,813,225.98</w:t>
            </w:r>
          </w:p>
        </w:tc>
        <w:tc>
          <w:tcPr>
            <w:tcW w:w="1831" w:type="dxa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994" w:type="dxa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项目支出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465,726.95</w:t>
            </w:r>
          </w:p>
        </w:tc>
        <w:tc>
          <w:tcPr>
            <w:tcW w:w="1831" w:type="dxa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994" w:type="dxa"/>
          </w:tcPr>
          <w:p>
            <w:pPr>
              <w:spacing w:line="400" w:lineRule="exact"/>
              <w:ind w:firstLine="560" w:firstLineChars="200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事业收入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754,948.50</w:t>
            </w:r>
          </w:p>
        </w:tc>
        <w:tc>
          <w:tcPr>
            <w:tcW w:w="1831" w:type="dxa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994" w:type="dxa"/>
          </w:tcPr>
          <w:p>
            <w:pPr>
              <w:spacing w:line="400" w:lineRule="exact"/>
              <w:ind w:firstLine="562" w:firstLineChars="200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年度预算收入合计：</w:t>
            </w:r>
          </w:p>
        </w:tc>
        <w:tc>
          <w:tcPr>
            <w:tcW w:w="244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22,504,827.07</w:t>
            </w:r>
          </w:p>
        </w:tc>
        <w:tc>
          <w:tcPr>
            <w:tcW w:w="1831" w:type="dxa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562" w:firstLineChars="200"/>
        <w:outlineLvl w:val="2"/>
        <w:rPr>
          <w:rFonts w:ascii="仿宋_GB2312" w:hAnsi="Calibri" w:eastAsia="仿宋_GB2312"/>
          <w:b/>
          <w:bCs/>
          <w:color w:val="FF0000"/>
          <w:sz w:val="28"/>
          <w:szCs w:val="28"/>
        </w:rPr>
      </w:pPr>
      <w:bookmarkStart w:id="22" w:name="_Toc8126"/>
      <w:bookmarkStart w:id="23" w:name="_Toc26185"/>
      <w:bookmarkStart w:id="24" w:name="_Toc3575"/>
      <w:r>
        <w:rPr>
          <w:rFonts w:hint="eastAsia" w:ascii="仿宋_GB2312" w:hAnsi="Calibri" w:eastAsia="仿宋_GB2312"/>
          <w:b/>
          <w:bCs/>
          <w:sz w:val="28"/>
          <w:szCs w:val="28"/>
        </w:rPr>
        <w:t>2、年度预算支出决算及结余情况</w:t>
      </w:r>
      <w:bookmarkEnd w:id="22"/>
      <w:bookmarkEnd w:id="23"/>
      <w:bookmarkEnd w:id="24"/>
    </w:p>
    <w:p>
      <w:pPr>
        <w:spacing w:line="640" w:lineRule="exact"/>
        <w:ind w:firstLine="562" w:firstLineChars="200"/>
        <w:jc w:val="right"/>
        <w:rPr>
          <w:rFonts w:ascii="仿宋_GB2312" w:hAnsi="Calibri" w:eastAsia="仿宋_GB2312"/>
          <w:b/>
          <w:bCs/>
          <w:sz w:val="28"/>
          <w:szCs w:val="28"/>
        </w:rPr>
      </w:pPr>
      <w:r>
        <w:rPr>
          <w:rFonts w:hint="eastAsia" w:ascii="仿宋_GB2312" w:hAnsi="Calibri" w:eastAsia="仿宋_GB2312"/>
          <w:b/>
          <w:bCs/>
          <w:sz w:val="28"/>
          <w:szCs w:val="28"/>
        </w:rPr>
        <w:t xml:space="preserve">（1）基本支出明细：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单位：万元</w:t>
      </w:r>
    </w:p>
    <w:tbl>
      <w:tblPr>
        <w:tblStyle w:val="5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1960"/>
        <w:gridCol w:w="193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3585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支出项目</w:t>
            </w:r>
          </w:p>
        </w:tc>
        <w:tc>
          <w:tcPr>
            <w:tcW w:w="1960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财政拨款支出</w:t>
            </w:r>
          </w:p>
        </w:tc>
        <w:tc>
          <w:tcPr>
            <w:tcW w:w="1930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其他资金支出</w:t>
            </w:r>
          </w:p>
        </w:tc>
        <w:tc>
          <w:tcPr>
            <w:tcW w:w="1785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支出合计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3585" w:type="dxa"/>
          </w:tcPr>
          <w:p>
            <w:pPr>
              <w:spacing w:line="360" w:lineRule="exact"/>
              <w:ind w:firstLine="562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一、人员经费</w:t>
            </w:r>
          </w:p>
        </w:tc>
        <w:tc>
          <w:tcPr>
            <w:tcW w:w="1960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1993.05</w:t>
            </w:r>
          </w:p>
        </w:tc>
        <w:tc>
          <w:tcPr>
            <w:tcW w:w="1930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1993.05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3585" w:type="dxa"/>
          </w:tcPr>
          <w:p>
            <w:pPr>
              <w:spacing w:line="36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工资福利支出</w:t>
            </w:r>
          </w:p>
        </w:tc>
        <w:tc>
          <w:tcPr>
            <w:tcW w:w="1960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1739.92</w:t>
            </w:r>
          </w:p>
        </w:tc>
        <w:tc>
          <w:tcPr>
            <w:tcW w:w="1930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1739.92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3585" w:type="dxa"/>
          </w:tcPr>
          <w:p>
            <w:pPr>
              <w:spacing w:line="36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对个人和家庭的补助</w:t>
            </w:r>
          </w:p>
        </w:tc>
        <w:tc>
          <w:tcPr>
            <w:tcW w:w="1960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254.84</w:t>
            </w:r>
          </w:p>
        </w:tc>
        <w:tc>
          <w:tcPr>
            <w:tcW w:w="1930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3585" w:type="dxa"/>
          </w:tcPr>
          <w:p>
            <w:pPr>
              <w:spacing w:line="360" w:lineRule="exact"/>
              <w:ind w:firstLine="562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二、日常公用经费</w:t>
            </w:r>
          </w:p>
        </w:tc>
        <w:tc>
          <w:tcPr>
            <w:tcW w:w="1960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218.09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30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218.09</w:t>
            </w:r>
          </w:p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3585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商品和服务支出</w:t>
            </w:r>
          </w:p>
        </w:tc>
        <w:tc>
          <w:tcPr>
            <w:tcW w:w="1960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218.09</w:t>
            </w:r>
          </w:p>
        </w:tc>
        <w:tc>
          <w:tcPr>
            <w:tcW w:w="1930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3585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其他资本性支出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0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3585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合    计</w:t>
            </w:r>
          </w:p>
        </w:tc>
        <w:tc>
          <w:tcPr>
            <w:tcW w:w="1960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2,227.</w:t>
            </w:r>
            <w:r>
              <w:rPr>
                <w:rFonts w:eastAsia="仿宋_GB2312"/>
                <w:b/>
                <w:bCs/>
                <w:sz w:val="24"/>
              </w:rPr>
              <w:t>89</w:t>
            </w:r>
          </w:p>
        </w:tc>
        <w:tc>
          <w:tcPr>
            <w:tcW w:w="1930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2,227.</w:t>
            </w:r>
            <w:r>
              <w:rPr>
                <w:rFonts w:eastAsia="仿宋_GB2312"/>
                <w:b/>
                <w:bCs/>
                <w:sz w:val="24"/>
              </w:rPr>
              <w:t>89</w:t>
            </w:r>
          </w:p>
        </w:tc>
      </w:tr>
    </w:tbl>
    <w:p>
      <w:pPr>
        <w:spacing w:line="320" w:lineRule="exac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 xml:space="preserve"> </w:t>
      </w:r>
    </w:p>
    <w:p>
      <w:pPr>
        <w:spacing w:line="320" w:lineRule="exact"/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（2）</w:t>
      </w:r>
      <w:r>
        <w:rPr>
          <w:rFonts w:eastAsia="仿宋_GB2312"/>
          <w:b/>
          <w:bCs/>
          <w:sz w:val="28"/>
          <w:szCs w:val="28"/>
        </w:rPr>
        <w:t xml:space="preserve"> </w:t>
      </w:r>
      <w:bookmarkStart w:id="25" w:name="_Toc10182"/>
      <w:r>
        <w:rPr>
          <w:rFonts w:eastAsia="仿宋_GB2312"/>
          <w:b/>
          <w:bCs/>
          <w:sz w:val="28"/>
          <w:szCs w:val="28"/>
        </w:rPr>
        <w:t>项目支出</w:t>
      </w:r>
      <w:bookmarkEnd w:id="25"/>
      <w:r>
        <w:rPr>
          <w:rFonts w:hint="eastAsia" w:eastAsia="仿宋_GB2312"/>
          <w:b/>
          <w:bCs/>
          <w:sz w:val="28"/>
          <w:szCs w:val="28"/>
        </w:rPr>
        <w:t>明细：</w:t>
      </w:r>
    </w:p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1924"/>
        <w:gridCol w:w="200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47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支出项目</w:t>
            </w:r>
          </w:p>
        </w:tc>
        <w:tc>
          <w:tcPr>
            <w:tcW w:w="1924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财政拨款支出</w:t>
            </w:r>
          </w:p>
        </w:tc>
        <w:tc>
          <w:tcPr>
            <w:tcW w:w="2004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其他资金支出</w:t>
            </w:r>
          </w:p>
        </w:tc>
        <w:tc>
          <w:tcPr>
            <w:tcW w:w="1784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支出合计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47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商品和服务支出</w:t>
            </w:r>
          </w:p>
        </w:tc>
        <w:tc>
          <w:tcPr>
            <w:tcW w:w="19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11.62</w:t>
            </w:r>
          </w:p>
        </w:tc>
        <w:tc>
          <w:tcPr>
            <w:tcW w:w="20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47" w:type="dxa"/>
          </w:tcPr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对个人和家庭的补助</w:t>
            </w:r>
          </w:p>
        </w:tc>
        <w:tc>
          <w:tcPr>
            <w:tcW w:w="19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3.77</w:t>
            </w:r>
          </w:p>
        </w:tc>
        <w:tc>
          <w:tcPr>
            <w:tcW w:w="20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547" w:type="dxa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资本性支出</w:t>
            </w:r>
          </w:p>
        </w:tc>
        <w:tc>
          <w:tcPr>
            <w:tcW w:w="19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31.18</w:t>
            </w:r>
          </w:p>
        </w:tc>
        <w:tc>
          <w:tcPr>
            <w:tcW w:w="20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547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9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46.57</w:t>
            </w:r>
          </w:p>
        </w:tc>
        <w:tc>
          <w:tcPr>
            <w:tcW w:w="20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46.57</w:t>
            </w:r>
          </w:p>
        </w:tc>
      </w:tr>
    </w:tbl>
    <w:p>
      <w:pPr>
        <w:spacing w:line="540" w:lineRule="exact"/>
        <w:ind w:firstLine="562" w:firstLineChars="200"/>
        <w:rPr>
          <w:rFonts w:ascii="Calibri" w:hAnsi="Calibri" w:eastAsia="仿宋_GB2312"/>
          <w:b/>
          <w:bCs/>
          <w:sz w:val="28"/>
          <w:szCs w:val="28"/>
        </w:rPr>
      </w:pPr>
      <w:r>
        <w:rPr>
          <w:rFonts w:hint="eastAsia" w:ascii="Calibri" w:hAnsi="Calibri" w:eastAsia="仿宋_GB2312"/>
          <w:b/>
          <w:bCs/>
          <w:sz w:val="28"/>
          <w:szCs w:val="28"/>
        </w:rPr>
        <w:t>（3）年末结转结余情况</w:t>
      </w:r>
    </w:p>
    <w:p>
      <w:pPr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年初结转结余44.60万元</w:t>
      </w:r>
      <w:r>
        <w:rPr>
          <w:rFonts w:hint="eastAsia" w:eastAsia="仿宋_GB2312"/>
          <w:sz w:val="28"/>
          <w:szCs w:val="28"/>
        </w:rPr>
        <w:t>，本年收入数2,2</w:t>
      </w:r>
      <w:r>
        <w:rPr>
          <w:rFonts w:eastAsia="仿宋_GB2312"/>
          <w:sz w:val="28"/>
          <w:szCs w:val="28"/>
        </w:rPr>
        <w:t>05.87</w:t>
      </w:r>
      <w:r>
        <w:rPr>
          <w:rFonts w:hint="eastAsia" w:eastAsia="仿宋_GB2312"/>
          <w:sz w:val="28"/>
          <w:szCs w:val="28"/>
        </w:rPr>
        <w:t>万元，</w:t>
      </w:r>
      <w:r>
        <w:rPr>
          <w:rFonts w:eastAsia="仿宋_GB2312"/>
          <w:sz w:val="28"/>
          <w:szCs w:val="28"/>
        </w:rPr>
        <w:t>本年支出数2</w:t>
      </w:r>
      <w:r>
        <w:rPr>
          <w:rFonts w:hint="eastAsia"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227.89万元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年末结转结余22.58万元，其中基本支出结转22.58万元；项目支出结转0万元。</w:t>
      </w:r>
    </w:p>
    <w:p>
      <w:pPr>
        <w:numPr>
          <w:ilvl w:val="0"/>
          <w:numId w:val="2"/>
        </w:numPr>
        <w:spacing w:line="540" w:lineRule="exact"/>
        <w:ind w:firstLine="562" w:firstLineChars="200"/>
        <w:outlineLvl w:val="1"/>
        <w:rPr>
          <w:rFonts w:ascii="仿宋_GB2312" w:hAnsi="Calibri" w:eastAsia="仿宋_GB2312"/>
          <w:b/>
          <w:bCs/>
          <w:sz w:val="28"/>
          <w:szCs w:val="28"/>
        </w:rPr>
      </w:pPr>
      <w:bookmarkStart w:id="26" w:name="_Toc9148"/>
      <w:r>
        <w:rPr>
          <w:rFonts w:hint="eastAsia" w:ascii="仿宋_GB2312" w:hAnsi="Calibri" w:eastAsia="仿宋_GB2312"/>
          <w:b/>
          <w:bCs/>
          <w:sz w:val="28"/>
          <w:szCs w:val="28"/>
        </w:rPr>
        <w:t>预算资金管理情况</w:t>
      </w:r>
      <w:bookmarkEnd w:id="26"/>
    </w:p>
    <w:p>
      <w:pPr>
        <w:spacing w:line="540" w:lineRule="exact"/>
        <w:ind w:firstLine="560" w:firstLineChars="200"/>
        <w:rPr>
          <w:rFonts w:ascii="Calibri" w:hAnsi="Calibri" w:eastAsia="仿宋_GB2312"/>
          <w:sz w:val="28"/>
          <w:szCs w:val="28"/>
          <w:highlight w:val="yellow"/>
        </w:rPr>
      </w:pPr>
      <w:r>
        <w:rPr>
          <w:rFonts w:hint="eastAsia" w:ascii="Calibri" w:hAnsi="Calibri" w:eastAsia="仿宋_GB2312"/>
          <w:sz w:val="28"/>
          <w:szCs w:val="28"/>
        </w:rPr>
        <w:t>根据《中华人民共和国预算法》及《湖南省义务教育经费管理办法》（以下简称办法）等相关要求，学校应该采取以绩效为导向，全方位规范义务教育经费预算编制、执行、监督，政府采购、资金支付以及中小学财务管理行为，最大限度提高资金使用效益。通过对本单位的绩效考评，本单位201</w:t>
      </w:r>
      <w:r>
        <w:rPr>
          <w:rFonts w:ascii="Calibri" w:hAnsi="Calibri" w:eastAsia="仿宋_GB2312"/>
          <w:sz w:val="28"/>
          <w:szCs w:val="28"/>
        </w:rPr>
        <w:t>9</w:t>
      </w:r>
      <w:r>
        <w:rPr>
          <w:rFonts w:hint="eastAsia" w:ascii="Calibri" w:hAnsi="Calibri" w:eastAsia="仿宋_GB2312"/>
          <w:sz w:val="28"/>
          <w:szCs w:val="28"/>
        </w:rPr>
        <w:t>年按财政部门要求已建立系统的资金管理内控制度，预算资金管理基本符合规定。</w:t>
      </w:r>
    </w:p>
    <w:p>
      <w:pPr>
        <w:spacing w:line="540" w:lineRule="exact"/>
        <w:ind w:firstLine="562" w:firstLineChars="200"/>
        <w:outlineLvl w:val="1"/>
        <w:rPr>
          <w:rFonts w:ascii="仿宋_GB2312" w:hAnsi="Calibri" w:eastAsia="仿宋_GB2312"/>
          <w:b/>
          <w:bCs/>
          <w:sz w:val="28"/>
          <w:szCs w:val="28"/>
        </w:rPr>
      </w:pPr>
      <w:bookmarkStart w:id="27" w:name="_Toc8250"/>
      <w:bookmarkStart w:id="28" w:name="_Toc10003"/>
      <w:bookmarkStart w:id="29" w:name="_Toc26681"/>
      <w:r>
        <w:rPr>
          <w:rFonts w:hint="eastAsia" w:ascii="仿宋_GB2312" w:hAnsi="Calibri" w:eastAsia="仿宋_GB2312"/>
          <w:b/>
          <w:bCs/>
          <w:sz w:val="28"/>
          <w:szCs w:val="28"/>
        </w:rPr>
        <w:t>（三）其他收入支出情况</w:t>
      </w:r>
      <w:bookmarkEnd w:id="27"/>
      <w:bookmarkEnd w:id="28"/>
      <w:bookmarkEnd w:id="29"/>
    </w:p>
    <w:p>
      <w:pPr>
        <w:spacing w:line="540" w:lineRule="exact"/>
        <w:ind w:firstLine="540" w:firstLineChars="200"/>
        <w:rPr>
          <w:rFonts w:ascii="仿宋_GB2312" w:hAnsi="Calibri" w:eastAsia="仿宋_GB2312"/>
          <w:b/>
          <w:bCs/>
          <w:sz w:val="28"/>
          <w:szCs w:val="28"/>
        </w:rPr>
      </w:pPr>
      <w:r>
        <w:rPr>
          <w:rFonts w:hint="eastAsia" w:eastAsia="仿宋_GB2312"/>
          <w:spacing w:val="-5"/>
          <w:sz w:val="28"/>
          <w:szCs w:val="28"/>
        </w:rPr>
        <w:t>本单位无其他收入。</w:t>
      </w:r>
    </w:p>
    <w:p>
      <w:pPr>
        <w:widowControl/>
        <w:spacing w:line="580" w:lineRule="atLeast"/>
        <w:ind w:firstLine="562" w:firstLineChars="200"/>
        <w:jc w:val="left"/>
        <w:outlineLvl w:val="1"/>
        <w:rPr>
          <w:rFonts w:ascii="仿宋_GB2312" w:hAnsi="Calibri" w:eastAsia="仿宋_GB2312"/>
          <w:b/>
          <w:bCs/>
          <w:kern w:val="0"/>
          <w:sz w:val="28"/>
          <w:szCs w:val="28"/>
        </w:rPr>
      </w:pPr>
      <w:bookmarkStart w:id="30" w:name="_Toc20850"/>
      <w:bookmarkStart w:id="31" w:name="_Toc26822"/>
      <w:bookmarkStart w:id="32" w:name="_Toc1334"/>
      <w:r>
        <w:rPr>
          <w:rFonts w:hint="eastAsia" w:ascii="仿宋_GB2312" w:hAnsi="Calibri" w:eastAsia="仿宋_GB2312"/>
          <w:b/>
          <w:bCs/>
          <w:kern w:val="0"/>
          <w:sz w:val="28"/>
          <w:szCs w:val="28"/>
        </w:rPr>
        <w:t>（四）“三公经费”支出情况</w:t>
      </w:r>
      <w:bookmarkEnd w:id="30"/>
      <w:bookmarkEnd w:id="31"/>
      <w:bookmarkEnd w:id="32"/>
    </w:p>
    <w:p>
      <w:pPr>
        <w:ind w:firstLine="560" w:firstLineChars="200"/>
        <w:rPr>
          <w:rFonts w:ascii="Calibri" w:hAnsi="Calibri" w:eastAsia="仿宋_GB2312"/>
          <w:color w:val="0000FF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本单位2019年</w:t>
      </w:r>
      <w:r>
        <w:rPr>
          <w:rFonts w:hint="eastAsia"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三公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经费控制数</w:t>
      </w:r>
      <w:r>
        <w:rPr>
          <w:rFonts w:hint="eastAsia" w:eastAsia="仿宋_GB2312"/>
          <w:sz w:val="28"/>
          <w:szCs w:val="28"/>
        </w:rPr>
        <w:t>为15.00万元，公务用车购置及运行维护费10.00万元，公务接待费5.00万元。上年“</w:t>
      </w:r>
      <w:r>
        <w:rPr>
          <w:rFonts w:eastAsia="仿宋_GB2312"/>
          <w:sz w:val="28"/>
          <w:szCs w:val="28"/>
        </w:rPr>
        <w:t>三公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经费控制数</w:t>
      </w:r>
      <w:r>
        <w:rPr>
          <w:rFonts w:hint="eastAsia" w:eastAsia="仿宋_GB2312"/>
          <w:sz w:val="28"/>
          <w:szCs w:val="28"/>
        </w:rPr>
        <w:t>为15.00万元，</w:t>
      </w:r>
      <w:r>
        <w:rPr>
          <w:rFonts w:hint="eastAsia" w:ascii="Calibri" w:hAnsi="Calibri" w:eastAsia="仿宋_GB2312"/>
          <w:sz w:val="28"/>
          <w:szCs w:val="28"/>
        </w:rPr>
        <w:t>其中：公务接待5.00万元，公务用车购置及运行维护费10万元，预算变动率为0%。</w:t>
      </w:r>
      <w:r>
        <w:rPr>
          <w:rFonts w:hint="eastAsia" w:eastAsia="仿宋_GB2312"/>
          <w:sz w:val="28"/>
          <w:szCs w:val="28"/>
        </w:rPr>
        <w:t>本年“</w:t>
      </w:r>
      <w:r>
        <w:rPr>
          <w:rFonts w:eastAsia="仿宋_GB2312"/>
          <w:sz w:val="28"/>
          <w:szCs w:val="28"/>
        </w:rPr>
        <w:t>三公</w:t>
      </w:r>
      <w:r>
        <w:rPr>
          <w:rFonts w:hint="eastAsia"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经费</w:t>
      </w:r>
      <w:r>
        <w:rPr>
          <w:rFonts w:hint="eastAsia" w:eastAsia="仿宋_GB2312"/>
          <w:sz w:val="28"/>
          <w:szCs w:val="28"/>
        </w:rPr>
        <w:t>账面反映支出</w:t>
      </w:r>
      <w:r>
        <w:rPr>
          <w:rFonts w:eastAsia="仿宋_GB2312"/>
          <w:sz w:val="28"/>
          <w:szCs w:val="28"/>
        </w:rPr>
        <w:t>2.72万元，</w:t>
      </w:r>
      <w:r>
        <w:rPr>
          <w:rFonts w:hint="eastAsia" w:eastAsia="仿宋_GB2312"/>
          <w:sz w:val="28"/>
          <w:szCs w:val="28"/>
        </w:rPr>
        <w:t>为公务接待</w:t>
      </w:r>
      <w:r>
        <w:rPr>
          <w:rFonts w:eastAsia="仿宋_GB2312"/>
          <w:sz w:val="28"/>
          <w:szCs w:val="28"/>
        </w:rPr>
        <w:t>2.72</w:t>
      </w:r>
      <w:r>
        <w:rPr>
          <w:rFonts w:hint="eastAsia" w:eastAsia="仿宋_GB2312"/>
          <w:sz w:val="28"/>
          <w:szCs w:val="28"/>
        </w:rPr>
        <w:t>万元，公务用车运行维护费0万元，“三公经费”控制率为</w:t>
      </w:r>
      <w:r>
        <w:rPr>
          <w:rFonts w:eastAsia="仿宋_GB2312"/>
          <w:sz w:val="28"/>
          <w:szCs w:val="28"/>
        </w:rPr>
        <w:t>18.13</w:t>
      </w:r>
      <w:r>
        <w:rPr>
          <w:rFonts w:hint="eastAsia" w:eastAsia="仿宋_GB2312"/>
          <w:sz w:val="28"/>
          <w:szCs w:val="28"/>
        </w:rPr>
        <w:t>%。</w:t>
      </w:r>
    </w:p>
    <w:p>
      <w:pPr>
        <w:widowControl/>
        <w:numPr>
          <w:ilvl w:val="0"/>
          <w:numId w:val="3"/>
        </w:numPr>
        <w:spacing w:line="580" w:lineRule="atLeast"/>
        <w:jc w:val="left"/>
        <w:outlineLvl w:val="1"/>
        <w:rPr>
          <w:rFonts w:ascii="仿宋_GB2312" w:hAnsi="Calibri" w:eastAsia="仿宋_GB2312"/>
          <w:b/>
          <w:bCs/>
          <w:kern w:val="0"/>
          <w:sz w:val="28"/>
          <w:szCs w:val="28"/>
        </w:rPr>
      </w:pPr>
      <w:bookmarkStart w:id="33" w:name="_Toc1928"/>
      <w:bookmarkStart w:id="34" w:name="_Toc21052"/>
      <w:bookmarkStart w:id="35" w:name="_Toc4983"/>
      <w:r>
        <w:rPr>
          <w:rFonts w:hint="eastAsia" w:ascii="仿宋_GB2312" w:hAnsi="Calibri" w:eastAsia="仿宋_GB2312"/>
          <w:b/>
          <w:bCs/>
          <w:kern w:val="0"/>
          <w:sz w:val="28"/>
          <w:szCs w:val="28"/>
        </w:rPr>
        <w:t>部门资产配置情况</w:t>
      </w:r>
      <w:bookmarkEnd w:id="33"/>
      <w:bookmarkEnd w:id="34"/>
      <w:bookmarkEnd w:id="35"/>
    </w:p>
    <w:p>
      <w:pPr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截止201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年12月31日，本单位期末资产总计</w:t>
      </w:r>
      <w:r>
        <w:rPr>
          <w:rFonts w:eastAsia="仿宋_GB2312"/>
          <w:sz w:val="28"/>
          <w:szCs w:val="28"/>
        </w:rPr>
        <w:t>10,03.58</w:t>
      </w:r>
      <w:r>
        <w:rPr>
          <w:rFonts w:hint="eastAsia" w:eastAsia="仿宋_GB2312"/>
          <w:sz w:val="28"/>
          <w:szCs w:val="28"/>
        </w:rPr>
        <w:t>万元，包括：流动资产</w:t>
      </w:r>
      <w:r>
        <w:rPr>
          <w:rFonts w:eastAsia="仿宋_GB2312"/>
          <w:sz w:val="28"/>
          <w:szCs w:val="28"/>
        </w:rPr>
        <w:t>22.58</w:t>
      </w:r>
      <w:r>
        <w:rPr>
          <w:rFonts w:hint="eastAsia" w:eastAsia="仿宋_GB2312"/>
          <w:sz w:val="28"/>
          <w:szCs w:val="28"/>
        </w:rPr>
        <w:t>万元、固定资产</w:t>
      </w:r>
      <w:r>
        <w:rPr>
          <w:rFonts w:eastAsia="仿宋_GB2312"/>
          <w:sz w:val="28"/>
          <w:szCs w:val="28"/>
        </w:rPr>
        <w:t>10,03.58</w:t>
      </w:r>
      <w:r>
        <w:rPr>
          <w:rFonts w:hint="eastAsia" w:eastAsia="仿宋_GB2312"/>
          <w:sz w:val="28"/>
          <w:szCs w:val="28"/>
        </w:rPr>
        <w:t>万元（房屋建筑物账面价值</w:t>
      </w:r>
      <w:r>
        <w:rPr>
          <w:rFonts w:eastAsia="仿宋_GB2312"/>
          <w:sz w:val="28"/>
          <w:szCs w:val="28"/>
        </w:rPr>
        <w:t>469.49</w:t>
      </w:r>
      <w:r>
        <w:rPr>
          <w:rFonts w:hint="eastAsia" w:eastAsia="仿宋_GB2312"/>
          <w:sz w:val="28"/>
          <w:szCs w:val="28"/>
        </w:rPr>
        <w:t>万元、车辆价值18.00万元、其他固定资产124.73万元），在建工程610.80万元（食堂工程）。</w:t>
      </w:r>
    </w:p>
    <w:p>
      <w:pPr>
        <w:spacing w:line="580" w:lineRule="exact"/>
        <w:ind w:firstLine="560" w:firstLineChars="200"/>
        <w:rPr>
          <w:rFonts w:ascii="仿宋_GB2312" w:hAnsi="Calibri" w:eastAsia="仿宋_GB2312"/>
          <w:bCs/>
          <w:sz w:val="28"/>
          <w:szCs w:val="28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固定资产具体包括：电脑143台（其中：教学用104台、班班通32台、教师办公用7台）。学校占地面积29140.16平方米，在职教职工152人，学生人数1756人，教学及教学辅助用房6798.67平方米，办公面积503.87平方米，生活服务用房5321.86平方米，图书册数38942册，课桌凳数量2000单人套。固定资产总值约</w:t>
      </w:r>
      <w:r>
        <w:rPr>
          <w:rFonts w:ascii="仿宋_GB2312" w:hAnsi="Calibri" w:eastAsia="仿宋_GB2312"/>
          <w:bCs/>
          <w:sz w:val="28"/>
          <w:szCs w:val="28"/>
        </w:rPr>
        <w:t>10,03.58</w:t>
      </w:r>
      <w:r>
        <w:rPr>
          <w:rFonts w:hint="eastAsia" w:ascii="仿宋_GB2312" w:hAnsi="Calibri" w:eastAsia="仿宋_GB2312"/>
          <w:bCs/>
          <w:sz w:val="28"/>
          <w:szCs w:val="28"/>
        </w:rPr>
        <w:t>万元。</w:t>
      </w:r>
    </w:p>
    <w:p>
      <w:pPr>
        <w:spacing w:line="580" w:lineRule="exact"/>
        <w:ind w:firstLine="560" w:firstLineChars="200"/>
        <w:rPr>
          <w:rFonts w:ascii="仿宋_GB2312" w:hAnsi="Calibri" w:eastAsia="仿宋_GB2312"/>
          <w:bCs/>
          <w:sz w:val="28"/>
          <w:szCs w:val="28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本单位办公用电脑购置数与人员配比=办公用电脑购置数÷在岗人员数=</w:t>
      </w:r>
      <w:r>
        <w:rPr>
          <w:rFonts w:ascii="仿宋_GB2312" w:hAnsi="Calibri" w:eastAsia="仿宋_GB2312"/>
          <w:bCs/>
          <w:sz w:val="28"/>
          <w:szCs w:val="28"/>
        </w:rPr>
        <w:t>39</w:t>
      </w:r>
      <w:r>
        <w:rPr>
          <w:rFonts w:hint="eastAsia" w:ascii="仿宋_GB2312" w:hAnsi="Calibri" w:eastAsia="仿宋_GB2312"/>
          <w:bCs/>
          <w:sz w:val="28"/>
          <w:szCs w:val="28"/>
        </w:rPr>
        <w:t>÷1</w:t>
      </w:r>
      <w:r>
        <w:rPr>
          <w:rFonts w:ascii="仿宋_GB2312" w:hAnsi="Calibri" w:eastAsia="仿宋_GB2312"/>
          <w:bCs/>
          <w:sz w:val="28"/>
          <w:szCs w:val="28"/>
        </w:rPr>
        <w:t>44</w:t>
      </w:r>
      <w:r>
        <w:rPr>
          <w:rFonts w:hint="eastAsia" w:ascii="仿宋_GB2312" w:hAnsi="Calibri" w:eastAsia="仿宋_GB2312"/>
          <w:bCs/>
          <w:sz w:val="28"/>
          <w:szCs w:val="28"/>
        </w:rPr>
        <w:t>=0.</w:t>
      </w:r>
      <w:r>
        <w:rPr>
          <w:rFonts w:ascii="仿宋_GB2312" w:hAnsi="Calibri" w:eastAsia="仿宋_GB2312"/>
          <w:bCs/>
          <w:sz w:val="28"/>
          <w:szCs w:val="28"/>
        </w:rPr>
        <w:t>27</w:t>
      </w:r>
      <w:r>
        <w:rPr>
          <w:rFonts w:hint="eastAsia" w:ascii="仿宋_GB2312" w:hAnsi="Calibri" w:eastAsia="仿宋_GB2312"/>
          <w:bCs/>
          <w:sz w:val="28"/>
          <w:szCs w:val="28"/>
        </w:rPr>
        <w:t>台/人。</w:t>
      </w:r>
    </w:p>
    <w:p>
      <w:pPr>
        <w:numPr>
          <w:ilvl w:val="0"/>
          <w:numId w:val="4"/>
        </w:numPr>
        <w:spacing w:line="580" w:lineRule="exact"/>
        <w:ind w:firstLine="560" w:firstLineChars="200"/>
        <w:rPr>
          <w:rFonts w:ascii="仿宋_GB2312" w:hAnsi="Calibri" w:eastAsia="仿宋_GB2312"/>
          <w:bCs/>
          <w:sz w:val="28"/>
          <w:szCs w:val="28"/>
        </w:rPr>
      </w:pPr>
      <w:r>
        <w:rPr>
          <w:rFonts w:hint="eastAsia" w:ascii="仿宋_GB2312" w:hAnsi="Calibri" w:eastAsia="仿宋_GB2312"/>
          <w:bCs/>
          <w:sz w:val="28"/>
          <w:szCs w:val="28"/>
        </w:rPr>
        <w:t>办公面积与人员配比=办公面积÷在岗人数=503.87÷152=3.31平方米/人。</w:t>
      </w:r>
    </w:p>
    <w:p>
      <w:pPr>
        <w:ind w:left="421"/>
        <w:outlineLvl w:val="1"/>
        <w:rPr>
          <w:rFonts w:ascii="Calibri" w:hAnsi="Calibri"/>
        </w:rPr>
      </w:pPr>
      <w:bookmarkStart w:id="36" w:name="_Toc27950"/>
      <w:bookmarkStart w:id="37" w:name="_Toc28597"/>
      <w:bookmarkStart w:id="38" w:name="_Toc2876"/>
      <w:r>
        <w:rPr>
          <w:rFonts w:hint="eastAsia" w:ascii="仿宋_GB2312" w:hAnsi="Calibri" w:eastAsia="仿宋_GB2312"/>
          <w:b/>
          <w:bCs/>
          <w:sz w:val="28"/>
          <w:szCs w:val="28"/>
        </w:rPr>
        <w:t>（六）部门专项项目组织实施情况</w:t>
      </w:r>
      <w:bookmarkEnd w:id="36"/>
      <w:bookmarkEnd w:id="37"/>
      <w:bookmarkEnd w:id="38"/>
    </w:p>
    <w:p>
      <w:pPr>
        <w:spacing w:line="580" w:lineRule="exact"/>
        <w:ind w:firstLine="536" w:firstLineChars="200"/>
        <w:rPr>
          <w:rFonts w:eastAsia="仿宋_GB2312"/>
          <w:spacing w:val="-6"/>
          <w:sz w:val="28"/>
          <w:szCs w:val="28"/>
        </w:rPr>
      </w:pPr>
      <w:r>
        <w:rPr>
          <w:rFonts w:hint="eastAsia" w:eastAsia="仿宋_GB2312"/>
          <w:spacing w:val="-6"/>
          <w:sz w:val="28"/>
          <w:szCs w:val="28"/>
        </w:rPr>
        <w:t>1、项目资金使用及项目完成情况</w:t>
      </w:r>
    </w:p>
    <w:p>
      <w:pPr>
        <w:spacing w:line="580" w:lineRule="exact"/>
        <w:ind w:firstLine="536" w:firstLineChars="200"/>
        <w:rPr>
          <w:rFonts w:eastAsia="仿宋_GB2312"/>
          <w:spacing w:val="-6"/>
          <w:sz w:val="28"/>
          <w:szCs w:val="28"/>
        </w:rPr>
      </w:pPr>
      <w:r>
        <w:rPr>
          <w:rFonts w:hint="eastAsia" w:eastAsia="仿宋_GB2312"/>
          <w:spacing w:val="-6"/>
          <w:sz w:val="28"/>
          <w:szCs w:val="28"/>
        </w:rPr>
        <w:t>本单位</w:t>
      </w:r>
      <w:r>
        <w:rPr>
          <w:rFonts w:eastAsia="仿宋_GB2312"/>
          <w:spacing w:val="-6"/>
          <w:sz w:val="28"/>
          <w:szCs w:val="28"/>
        </w:rPr>
        <w:t>2019</w:t>
      </w:r>
      <w:r>
        <w:rPr>
          <w:rFonts w:hint="eastAsia" w:eastAsia="仿宋_GB2312"/>
          <w:spacing w:val="-6"/>
          <w:sz w:val="28"/>
          <w:szCs w:val="28"/>
        </w:rPr>
        <w:t>年实际收到项目资金</w:t>
      </w:r>
      <w:r>
        <w:rPr>
          <w:rFonts w:eastAsia="仿宋_GB2312"/>
          <w:color w:val="000000"/>
          <w:spacing w:val="-6"/>
          <w:kern w:val="0"/>
          <w:sz w:val="28"/>
          <w:szCs w:val="28"/>
          <w:lang w:bidi="ar"/>
        </w:rPr>
        <w:t>46.57</w:t>
      </w:r>
      <w:r>
        <w:rPr>
          <w:rFonts w:hint="eastAsia" w:eastAsia="仿宋_GB2312"/>
          <w:spacing w:val="-6"/>
          <w:sz w:val="28"/>
          <w:szCs w:val="28"/>
        </w:rPr>
        <w:t>万元，上年结转</w:t>
      </w:r>
      <w:r>
        <w:rPr>
          <w:rFonts w:eastAsia="仿宋_GB2312"/>
          <w:color w:val="000000"/>
          <w:spacing w:val="-6"/>
          <w:kern w:val="0"/>
          <w:sz w:val="28"/>
          <w:szCs w:val="28"/>
          <w:lang w:bidi="ar"/>
        </w:rPr>
        <w:t>0</w:t>
      </w:r>
      <w:r>
        <w:rPr>
          <w:rFonts w:hint="eastAsia" w:eastAsia="仿宋_GB2312"/>
          <w:spacing w:val="-6"/>
          <w:sz w:val="28"/>
          <w:szCs w:val="28"/>
        </w:rPr>
        <w:t>万元，本年可用项目资金</w:t>
      </w:r>
      <w:r>
        <w:rPr>
          <w:rFonts w:eastAsia="仿宋_GB2312"/>
          <w:color w:val="000000"/>
          <w:spacing w:val="-6"/>
          <w:kern w:val="0"/>
          <w:sz w:val="28"/>
          <w:szCs w:val="28"/>
          <w:lang w:bidi="ar"/>
        </w:rPr>
        <w:t>46.57</w:t>
      </w:r>
      <w:r>
        <w:rPr>
          <w:rFonts w:hint="eastAsia" w:eastAsia="仿宋_GB2312"/>
          <w:spacing w:val="-6"/>
          <w:sz w:val="28"/>
          <w:szCs w:val="28"/>
        </w:rPr>
        <w:t>万元（均为财政拨款），实际支出项目资金</w:t>
      </w:r>
      <w:r>
        <w:rPr>
          <w:rFonts w:eastAsia="仿宋_GB2312"/>
          <w:color w:val="000000"/>
          <w:spacing w:val="-6"/>
          <w:kern w:val="0"/>
          <w:sz w:val="28"/>
          <w:szCs w:val="28"/>
          <w:lang w:bidi="ar"/>
        </w:rPr>
        <w:t>46.57</w:t>
      </w:r>
      <w:r>
        <w:rPr>
          <w:rFonts w:hint="eastAsia" w:eastAsia="仿宋_GB2312"/>
          <w:spacing w:val="-6"/>
          <w:sz w:val="28"/>
          <w:szCs w:val="28"/>
        </w:rPr>
        <w:t>万元（均为财政拨款支出）。年末项目支出结转和结余</w:t>
      </w:r>
      <w:r>
        <w:rPr>
          <w:rFonts w:eastAsia="仿宋_GB2312"/>
          <w:spacing w:val="-6"/>
          <w:sz w:val="28"/>
          <w:szCs w:val="28"/>
        </w:rPr>
        <w:t>0</w:t>
      </w:r>
      <w:r>
        <w:rPr>
          <w:rFonts w:hint="eastAsia" w:eastAsia="仿宋_GB2312"/>
          <w:spacing w:val="-6"/>
          <w:sz w:val="28"/>
          <w:szCs w:val="28"/>
        </w:rPr>
        <w:t>万元。项目资金主要用于校舍维修、少年</w:t>
      </w:r>
      <w:r>
        <w:rPr>
          <w:rFonts w:eastAsia="仿宋_GB2312"/>
          <w:spacing w:val="-6"/>
          <w:sz w:val="28"/>
          <w:szCs w:val="28"/>
        </w:rPr>
        <w:t>宫建设</w:t>
      </w:r>
      <w:r>
        <w:rPr>
          <w:rFonts w:hint="eastAsia" w:eastAsia="仿宋_GB2312"/>
          <w:spacing w:val="-6"/>
          <w:sz w:val="28"/>
          <w:szCs w:val="28"/>
        </w:rPr>
        <w:t>、幼儿园建设</w:t>
      </w:r>
      <w:r>
        <w:rPr>
          <w:rFonts w:eastAsia="仿宋_GB2312"/>
          <w:spacing w:val="-6"/>
          <w:sz w:val="28"/>
          <w:szCs w:val="28"/>
        </w:rPr>
        <w:t>及</w:t>
      </w:r>
      <w:r>
        <w:rPr>
          <w:rFonts w:hint="eastAsia" w:eastAsia="仿宋_GB2312"/>
          <w:spacing w:val="-6"/>
          <w:sz w:val="28"/>
          <w:szCs w:val="28"/>
        </w:rPr>
        <w:t>结</w:t>
      </w:r>
      <w:r>
        <w:rPr>
          <w:rFonts w:eastAsia="仿宋_GB2312"/>
          <w:spacing w:val="-6"/>
          <w:sz w:val="28"/>
          <w:szCs w:val="28"/>
        </w:rPr>
        <w:t>对扶</w:t>
      </w:r>
      <w:r>
        <w:rPr>
          <w:rFonts w:hint="eastAsia" w:eastAsia="仿宋_GB2312"/>
          <w:spacing w:val="-6"/>
          <w:sz w:val="28"/>
          <w:szCs w:val="28"/>
        </w:rPr>
        <w:t>贫</w:t>
      </w:r>
      <w:r>
        <w:rPr>
          <w:rFonts w:eastAsia="仿宋_GB2312"/>
          <w:spacing w:val="-6"/>
          <w:sz w:val="28"/>
          <w:szCs w:val="28"/>
        </w:rPr>
        <w:t>下乡</w:t>
      </w:r>
      <w:r>
        <w:rPr>
          <w:rFonts w:hint="eastAsia" w:eastAsia="仿宋_GB2312"/>
          <w:spacing w:val="-6"/>
          <w:sz w:val="28"/>
          <w:szCs w:val="28"/>
        </w:rPr>
        <w:t>等。本期项目年初未申报专项绩效目标。</w:t>
      </w:r>
    </w:p>
    <w:p>
      <w:pPr>
        <w:tabs>
          <w:tab w:val="left" w:pos="6735"/>
        </w:tabs>
        <w:spacing w:line="560" w:lineRule="exact"/>
        <w:ind w:firstLine="560" w:firstLineChars="200"/>
        <w:rPr>
          <w:rFonts w:ascii="Calibri" w:hAnsi="Calibri"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 xml:space="preserve"> 2、项目管理情况</w:t>
      </w:r>
    </w:p>
    <w:p>
      <w:pPr>
        <w:spacing w:line="56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hint="eastAsia" w:ascii="Calibri" w:hAnsi="Calibri" w:eastAsia="仿宋_GB2312"/>
          <w:sz w:val="28"/>
          <w:szCs w:val="28"/>
        </w:rPr>
        <w:t>为加强项目资金管理，规范项目管理行为，提高项目管理水平，保证项目顺利实施，本单位制定了财务管理制度、项目资金管理制度、专项资金管理办法等，对项目管理职责、申报与组织实施、项目资金的管理、监督检查与验收等进行了规定，成立了工作领导小组、明确工作职责、确定责任单位、建设对象、建设计划，制定工作方案、项目实施细则、考核办法</w:t>
      </w:r>
      <w:r>
        <w:rPr>
          <w:rFonts w:eastAsia="仿宋_GB2312"/>
          <w:sz w:val="28"/>
          <w:szCs w:val="28"/>
        </w:rPr>
        <w:t>等。2019年本单位项目支出</w:t>
      </w:r>
      <w:r>
        <w:rPr>
          <w:rFonts w:hint="eastAsia" w:ascii="Calibri" w:hAnsi="Calibri" w:eastAsia="仿宋_GB2312"/>
          <w:sz w:val="28"/>
          <w:szCs w:val="28"/>
        </w:rPr>
        <w:t>，基本能够严格按照制度、规定等进行。</w:t>
      </w:r>
    </w:p>
    <w:p>
      <w:pPr>
        <w:spacing w:line="560" w:lineRule="exact"/>
        <w:ind w:firstLine="560" w:firstLineChars="200"/>
        <w:outlineLvl w:val="0"/>
        <w:rPr>
          <w:rFonts w:eastAsia="仿宋_GB2312"/>
          <w:b/>
          <w:bCs/>
          <w:sz w:val="28"/>
          <w:szCs w:val="28"/>
        </w:rPr>
      </w:pPr>
      <w:bookmarkStart w:id="39" w:name="_Toc3156"/>
      <w:bookmarkStart w:id="40" w:name="_Toc9941"/>
      <w:bookmarkStart w:id="41" w:name="_Toc8435"/>
      <w:r>
        <w:rPr>
          <w:rFonts w:hint="eastAsia" w:ascii="黑体" w:hAnsi="黑体" w:eastAsia="黑体" w:cs="黑体"/>
          <w:sz w:val="28"/>
          <w:szCs w:val="28"/>
        </w:rPr>
        <w:t>三、部门绩效目标情况</w:t>
      </w:r>
      <w:bookmarkEnd w:id="39"/>
      <w:bookmarkEnd w:id="40"/>
      <w:bookmarkEnd w:id="41"/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（一）绩效目标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完成情况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全面贯彻党的教育方针政策，实施小学义务教育，促进小学教育发展，以及相关社会服务，搞好精准扶贫和结对帮扶工作，目标完成率100%。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（二）绩效目标2完成情况</w:t>
      </w:r>
    </w:p>
    <w:p>
      <w:pPr>
        <w:spacing w:line="506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搞好校园师生安全工作，搞好扫黑除恶专项斗争，目标完成率100%。</w:t>
      </w:r>
    </w:p>
    <w:p>
      <w:pPr>
        <w:spacing w:line="506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综上，本单位201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年年初制定的绩效目标均已完成。</w:t>
      </w:r>
    </w:p>
    <w:p>
      <w:pPr>
        <w:spacing w:line="506" w:lineRule="exact"/>
        <w:ind w:firstLine="560" w:firstLineChars="200"/>
        <w:outlineLvl w:val="0"/>
        <w:rPr>
          <w:rFonts w:ascii="黑体" w:hAnsi="黑体" w:eastAsia="黑体" w:cs="黑体"/>
          <w:sz w:val="28"/>
          <w:szCs w:val="28"/>
        </w:rPr>
      </w:pPr>
      <w:bookmarkStart w:id="42" w:name="_Toc18207"/>
      <w:bookmarkStart w:id="43" w:name="_Toc19455"/>
      <w:bookmarkStart w:id="44" w:name="_Toc27228"/>
      <w:r>
        <w:rPr>
          <w:rFonts w:hint="eastAsia" w:ascii="黑体" w:hAnsi="黑体" w:eastAsia="黑体" w:cs="黑体"/>
          <w:sz w:val="28"/>
          <w:szCs w:val="28"/>
        </w:rPr>
        <w:t>四、部门整体支出绩效评价分析</w:t>
      </w:r>
      <w:bookmarkEnd w:id="42"/>
      <w:bookmarkEnd w:id="43"/>
      <w:bookmarkEnd w:id="44"/>
    </w:p>
    <w:p>
      <w:pPr>
        <w:spacing w:line="506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（一）投入指标（15分）</w:t>
      </w:r>
    </w:p>
    <w:p>
      <w:pPr>
        <w:spacing w:line="506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本次评价设定的投入指标包括在职人员控制率、三公经费变动率和绩效目标申报情况三个指标，201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年实际在职人员控制在核定的编制范围内，而“三公经费”预算数据低于上年预算数，绩效目标符合编制要求，上述三个绩效指标均得满分；对于本单位投入指标得分为15分，得分率为100%。</w:t>
      </w:r>
    </w:p>
    <w:p>
      <w:pPr>
        <w:numPr>
          <w:ilvl w:val="0"/>
          <w:numId w:val="5"/>
        </w:numPr>
        <w:spacing w:line="506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过程指标（50分）</w:t>
      </w:r>
    </w:p>
    <w:p>
      <w:pPr>
        <w:spacing w:line="506" w:lineRule="exact"/>
        <w:ind w:firstLine="560" w:firstLineChars="200"/>
        <w:rPr>
          <w:rFonts w:eastAsia="仿宋_GB2312"/>
          <w:strike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过程指标包括预算执行和预算管理两个二级指标，其中预算执行包括预算完成率、预算控制率、资金绩效评价覆盖率和专项资金管理四个三级指标；预算管理包括公用经费控制率、“三公”经费控制率、政府采购率、管理制度健全性、资金使用合规性和信息公开六个三级指标。本单位201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年预算完成率=（上年结转+年初预算+本年追加预算-年末结余/上年结转+年初预算+本年追加预算）×100%=（44.60+</w:t>
      </w:r>
      <w:r>
        <w:rPr>
          <w:rFonts w:eastAsia="仿宋_GB2312"/>
          <w:sz w:val="28"/>
          <w:szCs w:val="28"/>
        </w:rPr>
        <w:t>1393.91+</w:t>
      </w:r>
      <w:r>
        <w:rPr>
          <w:rFonts w:hint="eastAsia" w:eastAsia="仿宋_GB2312"/>
          <w:sz w:val="28"/>
          <w:szCs w:val="28"/>
        </w:rPr>
        <w:t>0-</w:t>
      </w:r>
      <w:r>
        <w:rPr>
          <w:rFonts w:eastAsia="仿宋_GB2312"/>
          <w:sz w:val="28"/>
          <w:szCs w:val="28"/>
        </w:rPr>
        <w:t>22.58/</w:t>
      </w:r>
      <w:r>
        <w:rPr>
          <w:rFonts w:hint="eastAsia" w:eastAsia="仿宋_GB2312"/>
          <w:sz w:val="28"/>
          <w:szCs w:val="28"/>
        </w:rPr>
        <w:t>44.60+1393.91+0-22.58）*100%=1</w:t>
      </w:r>
      <w:r>
        <w:rPr>
          <w:rFonts w:eastAsia="仿宋_GB2312"/>
          <w:sz w:val="28"/>
          <w:szCs w:val="28"/>
        </w:rPr>
        <w:t>00%</w:t>
      </w:r>
      <w:r>
        <w:rPr>
          <w:rFonts w:hint="eastAsia" w:eastAsia="仿宋_GB2312"/>
          <w:sz w:val="28"/>
          <w:szCs w:val="28"/>
        </w:rPr>
        <w:t>，得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分；201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年度</w:t>
      </w:r>
      <w:r>
        <w:rPr>
          <w:rFonts w:hint="eastAsia" w:eastAsia="仿宋_GB2312"/>
          <w:sz w:val="28"/>
          <w:szCs w:val="28"/>
          <w:lang w:eastAsia="zh-CN"/>
        </w:rPr>
        <w:t>本单位无</w:t>
      </w:r>
      <w:r>
        <w:rPr>
          <w:rFonts w:hint="eastAsia" w:eastAsia="仿宋_GB2312"/>
          <w:sz w:val="28"/>
          <w:szCs w:val="28"/>
          <w:lang w:val="en-US" w:eastAsia="zh-CN"/>
        </w:rPr>
        <w:t>50万元以上的项目以及没发生10万元以上的绩效目标预算追加资金，完成率0%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  <w:lang w:eastAsia="zh-CN"/>
        </w:rPr>
        <w:t>所以</w:t>
      </w:r>
      <w:r>
        <w:rPr>
          <w:rFonts w:eastAsia="仿宋_GB2312"/>
          <w:sz w:val="28"/>
          <w:szCs w:val="28"/>
        </w:rPr>
        <w:t>得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分。政府采购执行率=（实际政府采购金额/政府采购预算数）×100%</w:t>
      </w:r>
      <w:r>
        <w:rPr>
          <w:rFonts w:eastAsia="仿宋_GB2312"/>
          <w:sz w:val="28"/>
          <w:szCs w:val="28"/>
        </w:rPr>
        <w:t>=</w:t>
      </w:r>
      <w:r>
        <w:rPr>
          <w:rFonts w:hint="eastAsia" w:eastAsia="仿宋_GB2312"/>
          <w:sz w:val="28"/>
          <w:szCs w:val="28"/>
        </w:rPr>
        <w:t>（0/0）*100%=0，得0分，而其他指标均控制得较好，未出现扣分情况。故本单位过程指标得分为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分，得分率为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eastAsia="仿宋_GB2312"/>
          <w:sz w:val="28"/>
          <w:szCs w:val="28"/>
        </w:rPr>
        <w:t>0</w:t>
      </w:r>
      <w:r>
        <w:rPr>
          <w:rFonts w:hint="eastAsia" w:eastAsia="仿宋_GB2312"/>
          <w:sz w:val="28"/>
          <w:szCs w:val="28"/>
        </w:rPr>
        <w:t>%。</w:t>
      </w:r>
    </w:p>
    <w:p>
      <w:pPr>
        <w:spacing w:line="506" w:lineRule="exact"/>
        <w:ind w:firstLine="562" w:firstLineChars="2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（三）产出及效率（35分）</w:t>
      </w:r>
    </w:p>
    <w:p>
      <w:pPr>
        <w:spacing w:line="506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产出及效率指标包括年度绩效目标完成和履职效益两个二级指标。</w:t>
      </w:r>
    </w:p>
    <w:p>
      <w:pPr>
        <w:numPr>
          <w:ilvl w:val="0"/>
          <w:numId w:val="6"/>
        </w:numPr>
        <w:spacing w:line="506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年度绩效绩效目标完成包括绩效目标完成和资产管理效益两个指标。根据上述分析，本单位201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年年初设定的绩效目标均已完成，资产配置在合理的范围内，资产处置及收入均按规定程序执行和上缴，资产利用率较高，年度绩效目标完成这个指标未存在扣分的情况。</w:t>
      </w:r>
    </w:p>
    <w:p>
      <w:pPr>
        <w:spacing w:line="506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2、履职效益包括社会效益、履职质量、社会公众或服务对象满意度三个二级指标。本单位201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年度取得了较好的社会效益，履职质量较高，社会公众对本单位满意度较高。具体情况如下：</w:t>
      </w:r>
    </w:p>
    <w:p>
      <w:pPr>
        <w:spacing w:line="506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（1）201</w:t>
      </w: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年以来，学校教育督导员与学校综治办每月认真进行安全隐患排查工作，本学期共排查出安全隐患</w:t>
      </w:r>
      <w:r>
        <w:rPr>
          <w:rFonts w:eastAsia="仿宋_GB2312"/>
          <w:sz w:val="28"/>
          <w:szCs w:val="28"/>
        </w:rPr>
        <w:t>45</w:t>
      </w:r>
      <w:r>
        <w:rPr>
          <w:rFonts w:hint="eastAsia" w:eastAsia="仿宋_GB2312"/>
          <w:sz w:val="28"/>
          <w:szCs w:val="28"/>
        </w:rPr>
        <w:t>处，及时上报学校总务处进行了维修整改，有效保障了师生的安全。</w:t>
      </w:r>
    </w:p>
    <w:p>
      <w:pPr>
        <w:numPr>
          <w:ilvl w:val="0"/>
          <w:numId w:val="7"/>
        </w:numPr>
        <w:spacing w:line="506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校积极开展各项安全活动。例如:认真开展开学安全第一课教育，积极参加学校应急疏散演练、安全教育周、安全生产月、法制教育月、毒品预防教育、防溺水教育等一系列活动，全程参与、督导活动全过程，让每一项安全教育活动落到实处，让学生真正受到安全教育。</w:t>
      </w:r>
    </w:p>
    <w:p>
      <w:pPr>
        <w:numPr>
          <w:ilvl w:val="0"/>
          <w:numId w:val="7"/>
        </w:numPr>
        <w:spacing w:line="506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我校根据教育局的文件精神，由教导处组织对教师教学常规工作实行"月查"制度。半年来，教导处组织了四次教学常规检查，重点检查教师执行教学计划、备课、教学进度、作业批改、学困生的辅导情况。</w:t>
      </w:r>
    </w:p>
    <w:p>
      <w:pPr>
        <w:spacing w:line="560" w:lineRule="exact"/>
        <w:ind w:firstLine="560" w:firstLineChars="200"/>
        <w:rPr>
          <w:rFonts w:hint="eastAsia" w:eastAsia="仿宋_GB2312"/>
          <w:color w:val="FF000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政府和学校全力改善办学条件，使学校面貌有了全新的改变：新建</w:t>
      </w:r>
      <w:r>
        <w:rPr>
          <w:rFonts w:eastAsia="仿宋_GB2312"/>
          <w:sz w:val="28"/>
          <w:szCs w:val="28"/>
        </w:rPr>
        <w:t>了学生厕所</w:t>
      </w:r>
      <w:r>
        <w:rPr>
          <w:rFonts w:hint="eastAsia" w:eastAsia="仿宋_GB2312"/>
          <w:sz w:val="28"/>
          <w:szCs w:val="28"/>
        </w:rPr>
        <w:t>，还进行了体育场建设，修整</w:t>
      </w:r>
      <w:r>
        <w:rPr>
          <w:rFonts w:eastAsia="仿宋_GB2312"/>
          <w:sz w:val="28"/>
          <w:szCs w:val="28"/>
        </w:rPr>
        <w:t>了操场跑道，</w:t>
      </w:r>
      <w:r>
        <w:rPr>
          <w:rFonts w:hint="eastAsia" w:eastAsia="仿宋_GB2312"/>
          <w:sz w:val="28"/>
          <w:szCs w:val="28"/>
        </w:rPr>
        <w:t>添置了教学仪器和图书。校园面貌和设施进行全面改造升级。各功能室配套设施设备落实到位；教室更换负荷较高的电源线，确保用电安全和现代教育技术装备的使用；三栋教学楼教室进行</w:t>
      </w:r>
      <w:r>
        <w:rPr>
          <w:rFonts w:eastAsia="仿宋_GB2312"/>
          <w:sz w:val="28"/>
          <w:szCs w:val="28"/>
        </w:rPr>
        <w:t>了窗帘安装，对班级布置进行规范和管理</w:t>
      </w:r>
      <w:r>
        <w:rPr>
          <w:rFonts w:hint="eastAsia" w:eastAsia="仿宋_GB2312"/>
          <w:sz w:val="28"/>
          <w:szCs w:val="28"/>
        </w:rPr>
        <w:t>等；安装了新的广播系统，保障教育教学正常开展；安装了新的安全监控系统，保障了师生们的安全:更换了破烂的学生课桌凳、教师办公桌，改善师生学习工作环境。</w:t>
      </w:r>
      <w:r>
        <w:rPr>
          <w:rFonts w:eastAsia="仿宋_GB2312"/>
          <w:sz w:val="28"/>
          <w:szCs w:val="28"/>
        </w:rPr>
        <w:t>准确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及时地对</w:t>
      </w:r>
      <w:r>
        <w:rPr>
          <w:rFonts w:hint="eastAsia" w:eastAsia="仿宋_GB2312"/>
          <w:sz w:val="28"/>
          <w:szCs w:val="28"/>
        </w:rPr>
        <w:t>上</w:t>
      </w:r>
      <w:r>
        <w:rPr>
          <w:rFonts w:eastAsia="仿宋_GB2312"/>
          <w:sz w:val="28"/>
          <w:szCs w:val="28"/>
        </w:rPr>
        <w:t>级部门安排的</w:t>
      </w:r>
      <w:r>
        <w:rPr>
          <w:rFonts w:hint="eastAsia" w:eastAsia="仿宋_GB2312"/>
          <w:sz w:val="28"/>
          <w:szCs w:val="28"/>
        </w:rPr>
        <w:t>发展</w:t>
      </w:r>
      <w:r>
        <w:rPr>
          <w:rFonts w:eastAsia="仿宋_GB2312"/>
          <w:sz w:val="28"/>
          <w:szCs w:val="28"/>
        </w:rPr>
        <w:t>武</w:t>
      </w:r>
      <w:r>
        <w:rPr>
          <w:rFonts w:hint="eastAsia" w:eastAsia="仿宋_GB2312"/>
          <w:sz w:val="28"/>
          <w:szCs w:val="28"/>
        </w:rPr>
        <w:t>溪</w:t>
      </w:r>
      <w:r>
        <w:rPr>
          <w:rFonts w:eastAsia="仿宋_GB2312"/>
          <w:sz w:val="28"/>
          <w:szCs w:val="28"/>
        </w:rPr>
        <w:t>镇民族幼儿园资金给付到</w:t>
      </w:r>
      <w:r>
        <w:rPr>
          <w:rFonts w:hint="eastAsia" w:eastAsia="仿宋_GB2312"/>
          <w:sz w:val="28"/>
          <w:szCs w:val="28"/>
        </w:rPr>
        <w:t>位。</w:t>
      </w:r>
      <w:r>
        <w:rPr>
          <w:rFonts w:eastAsia="仿宋_GB2312"/>
          <w:sz w:val="28"/>
          <w:szCs w:val="28"/>
        </w:rPr>
        <w:t>对</w:t>
      </w:r>
      <w:r>
        <w:rPr>
          <w:rFonts w:hint="eastAsia" w:eastAsia="仿宋_GB2312"/>
          <w:sz w:val="28"/>
          <w:szCs w:val="28"/>
        </w:rPr>
        <w:t>少</w:t>
      </w:r>
      <w:r>
        <w:rPr>
          <w:rFonts w:eastAsia="仿宋_GB2312"/>
          <w:sz w:val="28"/>
          <w:szCs w:val="28"/>
        </w:rPr>
        <w:t>年宫进行了建设和开展学生活动，丰富学生的课外活</w:t>
      </w:r>
      <w:r>
        <w:rPr>
          <w:rFonts w:hint="eastAsia" w:eastAsia="仿宋_GB2312"/>
          <w:sz w:val="28"/>
          <w:szCs w:val="28"/>
        </w:rPr>
        <w:t>动</w:t>
      </w:r>
      <w:r>
        <w:rPr>
          <w:rFonts w:eastAsia="仿宋_GB2312"/>
          <w:sz w:val="28"/>
          <w:szCs w:val="28"/>
        </w:rPr>
        <w:t>。积极</w:t>
      </w:r>
      <w:r>
        <w:rPr>
          <w:rFonts w:hint="eastAsia" w:eastAsia="仿宋_GB2312"/>
          <w:sz w:val="28"/>
          <w:szCs w:val="28"/>
        </w:rPr>
        <w:t>响应</w:t>
      </w:r>
      <w:r>
        <w:rPr>
          <w:rFonts w:eastAsia="仿宋_GB2312"/>
          <w:sz w:val="28"/>
          <w:szCs w:val="28"/>
        </w:rPr>
        <w:t>国</w:t>
      </w:r>
      <w:r>
        <w:rPr>
          <w:rFonts w:hint="eastAsia" w:eastAsia="仿宋_GB2312"/>
          <w:sz w:val="28"/>
          <w:szCs w:val="28"/>
        </w:rPr>
        <w:t>家</w:t>
      </w:r>
      <w:r>
        <w:rPr>
          <w:rFonts w:eastAsia="仿宋_GB2312"/>
          <w:sz w:val="28"/>
          <w:szCs w:val="28"/>
        </w:rPr>
        <w:t>政府</w:t>
      </w:r>
      <w:r>
        <w:rPr>
          <w:rFonts w:hint="eastAsia" w:eastAsia="仿宋_GB2312"/>
          <w:sz w:val="28"/>
          <w:szCs w:val="28"/>
        </w:rPr>
        <w:t>的</w:t>
      </w:r>
      <w:r>
        <w:rPr>
          <w:rFonts w:eastAsia="仿宋_GB2312"/>
          <w:sz w:val="28"/>
          <w:szCs w:val="28"/>
        </w:rPr>
        <w:t>号召，</w:t>
      </w:r>
      <w:r>
        <w:rPr>
          <w:rFonts w:hint="eastAsia" w:eastAsia="仿宋_GB2312"/>
          <w:sz w:val="28"/>
          <w:szCs w:val="28"/>
        </w:rPr>
        <w:t>100%完成</w:t>
      </w:r>
      <w:r>
        <w:rPr>
          <w:rFonts w:eastAsia="仿宋_GB2312"/>
          <w:sz w:val="28"/>
          <w:szCs w:val="28"/>
        </w:rPr>
        <w:t>了武溪小学结对</w:t>
      </w:r>
      <w:r>
        <w:rPr>
          <w:rFonts w:hint="eastAsia" w:eastAsia="仿宋_GB2312"/>
          <w:sz w:val="28"/>
          <w:szCs w:val="28"/>
        </w:rPr>
        <w:t>帮扶</w:t>
      </w:r>
      <w:r>
        <w:rPr>
          <w:rFonts w:eastAsia="仿宋_GB2312"/>
          <w:sz w:val="28"/>
          <w:szCs w:val="28"/>
        </w:rPr>
        <w:t>工作，在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度上级工作检查中，未出现任何问题。</w:t>
      </w:r>
    </w:p>
    <w:p>
      <w:pPr>
        <w:spacing w:line="560" w:lineRule="exact"/>
        <w:ind w:left="420" w:leftChars="200"/>
        <w:outlineLvl w:val="0"/>
        <w:rPr>
          <w:rFonts w:ascii="黑体" w:hAnsi="黑体" w:eastAsia="黑体" w:cs="黑体"/>
          <w:sz w:val="28"/>
          <w:szCs w:val="28"/>
        </w:rPr>
      </w:pPr>
      <w:bookmarkStart w:id="45" w:name="_Toc21884"/>
      <w:bookmarkStart w:id="46" w:name="_Toc12942"/>
      <w:bookmarkStart w:id="47" w:name="_Toc26466"/>
      <w:r>
        <w:rPr>
          <w:rFonts w:hint="eastAsia" w:ascii="黑体" w:hAnsi="黑体" w:eastAsia="黑体" w:cs="黑体"/>
          <w:sz w:val="28"/>
          <w:szCs w:val="28"/>
        </w:rPr>
        <w:t>五、绩效评价结论</w:t>
      </w:r>
      <w:bookmarkEnd w:id="45"/>
      <w:bookmarkEnd w:id="46"/>
      <w:bookmarkEnd w:id="47"/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按照绩效评价指标框架体系及评分细则，通过对各项指标逐一评价，本单位部门整体支出绩效评价得分是：投入绩效为15分，过程绩效为</w:t>
      </w:r>
      <w:r>
        <w:rPr>
          <w:rFonts w:hint="eastAsia" w:eastAsia="仿宋_GB2312"/>
          <w:sz w:val="28"/>
          <w:szCs w:val="28"/>
          <w:lang w:val="en-US" w:eastAsia="zh-CN"/>
        </w:rPr>
        <w:t>36</w:t>
      </w:r>
      <w:r>
        <w:rPr>
          <w:rFonts w:hint="eastAsia" w:eastAsia="仿宋_GB2312"/>
          <w:sz w:val="28"/>
          <w:szCs w:val="28"/>
        </w:rPr>
        <w:t>分，产出及效率绩效为35分，总绩效为</w:t>
      </w:r>
      <w:r>
        <w:rPr>
          <w:rFonts w:hint="eastAsia" w:eastAsia="仿宋_GB2312"/>
          <w:sz w:val="28"/>
          <w:szCs w:val="28"/>
          <w:lang w:val="en-US" w:eastAsia="zh-CN"/>
        </w:rPr>
        <w:t>86</w:t>
      </w:r>
      <w:r>
        <w:rPr>
          <w:rFonts w:hint="eastAsia" w:eastAsia="仿宋_GB2312"/>
          <w:sz w:val="28"/>
          <w:szCs w:val="28"/>
        </w:rPr>
        <w:t>分。评价结果等次为“</w:t>
      </w:r>
      <w:r>
        <w:rPr>
          <w:rFonts w:hint="eastAsia" w:eastAsia="仿宋_GB2312"/>
          <w:sz w:val="28"/>
          <w:szCs w:val="28"/>
          <w:lang w:eastAsia="zh-CN"/>
        </w:rPr>
        <w:t>良</w:t>
      </w:r>
      <w:r>
        <w:rPr>
          <w:rFonts w:hint="eastAsia" w:eastAsia="仿宋_GB2312"/>
          <w:sz w:val="28"/>
          <w:szCs w:val="28"/>
        </w:rPr>
        <w:t>”。</w:t>
      </w:r>
      <w:bookmarkEnd w:id="21"/>
      <w:bookmarkStart w:id="48" w:name="OLE_LINK3"/>
    </w:p>
    <w:bookmarkEnd w:id="48"/>
    <w:p>
      <w:pPr>
        <w:spacing w:line="560" w:lineRule="exact"/>
        <w:ind w:firstLine="560" w:firstLineChars="200"/>
        <w:outlineLvl w:val="0"/>
        <w:rPr>
          <w:rFonts w:ascii="黑体" w:hAnsi="黑体" w:eastAsia="黑体" w:cs="黑体"/>
          <w:sz w:val="28"/>
          <w:szCs w:val="28"/>
        </w:rPr>
      </w:pPr>
      <w:bookmarkStart w:id="49" w:name="_Toc750"/>
      <w:bookmarkStart w:id="50" w:name="OLE_LINK4"/>
      <w:bookmarkStart w:id="51" w:name="OLE_LINK10"/>
      <w:r>
        <w:rPr>
          <w:rFonts w:hint="eastAsia" w:ascii="黑体" w:hAnsi="黑体" w:eastAsia="黑体" w:cs="黑体"/>
          <w:sz w:val="28"/>
          <w:szCs w:val="28"/>
        </w:rPr>
        <w:t>六、存在的问题</w:t>
      </w:r>
      <w:bookmarkEnd w:id="49"/>
    </w:p>
    <w:p>
      <w:pPr>
        <w:spacing w:line="560" w:lineRule="exact"/>
        <w:ind w:firstLine="568" w:firstLineChars="203"/>
        <w:rPr>
          <w:rFonts w:ascii="Calibri" w:hAnsi="Calibri" w:eastAsia="仿宋_GB2312"/>
          <w:sz w:val="28"/>
          <w:szCs w:val="28"/>
        </w:rPr>
      </w:pPr>
      <w:r>
        <w:rPr>
          <w:rFonts w:ascii="Calibri" w:hAnsi="Calibri" w:eastAsia="仿宋_GB2312"/>
          <w:sz w:val="28"/>
          <w:szCs w:val="28"/>
        </w:rPr>
        <w:t>1、</w:t>
      </w:r>
      <w:r>
        <w:rPr>
          <w:rFonts w:hint="eastAsia" w:ascii="Calibri" w:hAnsi="Calibri" w:eastAsia="仿宋_GB2312"/>
          <w:sz w:val="28"/>
          <w:szCs w:val="28"/>
        </w:rPr>
        <w:t>未建立健全绩效评价制度及体系。建立健全绩效考核机制，是提高制度执行力，确保各项工作决策部署得到贯彻落实的重要基础。要严格按照“三定”方案等相关规定，单位职责，结合单位年度工作计划编制年度预算，以量化工作任务，明确目标导向为前提，根据编制的年度预算设定总体绩效目标和年度绩效目标，并针对不同的项级细化分解设定具体的绩效指标，清晰的体现指标值；结合全年工作情况，对年度绩效情况进行跟踪考核评价，根据绩效目标实现情况，为下一步或以后年度预算安排提供参考依据。</w:t>
      </w:r>
    </w:p>
    <w:p>
      <w:pPr>
        <w:spacing w:line="580" w:lineRule="exact"/>
        <w:ind w:firstLine="560" w:firstLineChars="200"/>
        <w:rPr>
          <w:rFonts w:ascii="Calibri" w:hAnsi="Calibri" w:eastAsia="仿宋_GB2312"/>
          <w:sz w:val="28"/>
          <w:szCs w:val="28"/>
        </w:rPr>
      </w:pPr>
      <w:r>
        <w:rPr>
          <w:rFonts w:ascii="Calibri" w:hAnsi="Calibri" w:eastAsia="仿宋_GB2312"/>
          <w:sz w:val="28"/>
          <w:szCs w:val="28"/>
        </w:rPr>
        <w:t>2、</w:t>
      </w:r>
      <w:r>
        <w:rPr>
          <w:rFonts w:hint="eastAsia" w:ascii="Calibri" w:hAnsi="Calibri" w:eastAsia="仿宋_GB2312"/>
          <w:sz w:val="28"/>
          <w:szCs w:val="28"/>
        </w:rPr>
        <w:t>预算控制薄弱：学校内部预算指标未分解下达至各科室及业务部门；没有根据自身的特点进行业务核定细化到具体项目；未对预算执行进行详细有效的分析，预算的刚性不够，预算的计划性、科学性不强，政府采购预算超标严重。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财务监督职能未能有效发挥。财务的工作限于业务发生后记账、算账、报账，对业务活动的前局事项，未参与到业务的决策和实施过程，与业务环节控制在一定程度上脱节，对单位重要事项的决策、实施过程和结果了解不详，未能对业务部门实施必要的财务控制和监督。</w:t>
      </w:r>
    </w:p>
    <w:p>
      <w:pPr>
        <w:spacing w:line="580" w:lineRule="exact"/>
        <w:ind w:firstLine="560" w:firstLineChars="200"/>
        <w:outlineLvl w:val="0"/>
        <w:rPr>
          <w:rFonts w:ascii="黑体" w:hAnsi="黑体" w:eastAsia="黑体" w:cs="黑体"/>
          <w:sz w:val="28"/>
          <w:szCs w:val="28"/>
        </w:rPr>
      </w:pPr>
      <w:bookmarkStart w:id="52" w:name="_Toc11711"/>
      <w:bookmarkStart w:id="53" w:name="_Toc13081"/>
      <w:r>
        <w:rPr>
          <w:rFonts w:hint="eastAsia" w:ascii="黑体" w:hAnsi="黑体" w:eastAsia="黑体" w:cs="黑体"/>
          <w:sz w:val="28"/>
          <w:szCs w:val="28"/>
        </w:rPr>
        <w:t>六、有关建议</w:t>
      </w:r>
      <w:bookmarkEnd w:id="52"/>
      <w:bookmarkEnd w:id="53"/>
    </w:p>
    <w:p>
      <w:pPr>
        <w:widowControl/>
        <w:spacing w:line="580" w:lineRule="exact"/>
        <w:rPr>
          <w:rFonts w:ascii="Calibri" w:hAnsi="Calibri" w:eastAsia="仿宋_GB2312"/>
          <w:kern w:val="0"/>
          <w:sz w:val="28"/>
          <w:szCs w:val="28"/>
        </w:rPr>
      </w:pPr>
      <w:r>
        <w:rPr>
          <w:rFonts w:hint="eastAsia" w:ascii="Calibri" w:hAnsi="Calibri" w:eastAsia="仿宋_GB2312"/>
          <w:kern w:val="0"/>
          <w:sz w:val="28"/>
          <w:szCs w:val="28"/>
        </w:rPr>
        <w:t xml:space="preserve">   1、预算编制不规范，预算调整幅度大。《办法》第十一条规定义务教育学校应当严格执行批准的预算，规范办理收支事项，加强预算执行管理。预算执行中，财政补助收入和财政专户管理资金的预算一般不予调整。</w:t>
      </w:r>
    </w:p>
    <w:p>
      <w:pPr>
        <w:spacing w:line="580" w:lineRule="exact"/>
        <w:rPr>
          <w:rFonts w:ascii="Calibri" w:hAnsi="Calibri" w:eastAsia="仿宋_GB2312"/>
          <w:kern w:val="0"/>
          <w:sz w:val="28"/>
          <w:szCs w:val="28"/>
        </w:rPr>
      </w:pPr>
      <w:r>
        <w:rPr>
          <w:rFonts w:hint="eastAsia" w:ascii="Calibri" w:hAnsi="Calibri" w:eastAsia="仿宋_GB2312"/>
          <w:kern w:val="0"/>
          <w:sz w:val="28"/>
          <w:szCs w:val="28"/>
        </w:rPr>
        <w:t xml:space="preserve">   2、预算执行与预算金额偏差较大。《办法》第十九条规定义务教育公用经费以学校为单位，实行分项预算管理办法。“分项预算”是指义务教育学校在编制年度支出预算时，按规定的公用经费开支范围，分项细化支出预算，但实际执行时，各项预算执行数与预算相比相差较大。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</w:t>
      </w:r>
      <w:r>
        <w:rPr>
          <w:rFonts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专项资金管理办法规定，实施专账管理和专账核算。为保证资金安全运行，防止被挤占挪用，根据项目管理的要求，将项目资金的核算与单位日常核算分离，以单独反映建设项目资金的使用情况，准确核算项目成本。</w:t>
      </w:r>
    </w:p>
    <w:p>
      <w:pPr>
        <w:spacing w:line="58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（2）建议细化预算指标，提高预算科学性。如根据本单位项目资金支出进度可以看出，项目资金安排应该根据当年需求进行预算安排，避免财政资金的闲置，无法体现效率、效益。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</w:t>
      </w:r>
      <w:bookmarkEnd w:id="50"/>
      <w:bookmarkStart w:id="54" w:name="OLE_LINK5"/>
      <w:r>
        <w:rPr>
          <w:rFonts w:hint="eastAsia" w:ascii="仿宋_GB2312" w:hAnsi="仿宋_GB2312" w:eastAsia="仿宋_GB2312" w:cs="仿宋_GB2312"/>
          <w:sz w:val="28"/>
          <w:szCs w:val="28"/>
        </w:rPr>
        <w:t>在财务收支管理方面。一是对出租等非税收入实行收缴分离、票款一致，并及时、足额上缴财政专户，实行“收支两条线”管理；二是加强支出审批控制，审批人应当在授权范围内审批，不得越权审批；三是加强支出审核控制，重点审核单据来源是否合法，内容是否真实、完整，使用是否准确，是否符合预算，审批手续是否齐全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（4）建议编制预算时结合上年决算及当年工作任务据实编制，预算调整必须按规定的程序办理。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5）实行全面预算管理。建立健全预算编制、审批、执行、调整、分析、考核和预决算报告制度；学校按照有关预算管理规定，根据学校发展规划目标，结合学校年度工作计划编制年度预算和中期预算报告。严格执行批复的预算，定期开展预算执行情况分析，不得随意调整预算，提高预算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55" w:name="_GoBack"/>
      <w:bookmarkEnd w:id="55"/>
    </w:p>
    <w:bookmarkEnd w:id="51"/>
    <w:bookmarkEnd w:id="54"/>
    <w:p>
      <w:pPr>
        <w:spacing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</w:p>
    <w:p>
      <w:pPr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1、部门整体支出绩效自评指标表；</w:t>
      </w:r>
    </w:p>
    <w:p>
      <w:pPr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2、部门整体支出绩效自评价基础数据表；</w:t>
      </w:r>
    </w:p>
    <w:p>
      <w:pPr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3、</w:t>
      </w:r>
      <w:r>
        <w:rPr>
          <w:rFonts w:ascii="楷体_GB2312" w:eastAsia="楷体_GB2312"/>
          <w:sz w:val="28"/>
          <w:szCs w:val="28"/>
        </w:rPr>
        <w:t>项目（专项）资金收支情况表</w:t>
      </w:r>
      <w:r>
        <w:rPr>
          <w:rFonts w:hint="eastAsia" w:ascii="楷体_GB2312" w:eastAsia="楷体_GB2312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4、</w:t>
      </w:r>
      <w:r>
        <w:rPr>
          <w:rFonts w:ascii="楷体_GB2312" w:eastAsia="楷体_GB2312"/>
          <w:sz w:val="28"/>
          <w:szCs w:val="28"/>
        </w:rPr>
        <w:t>部门整体支出绩效自评表</w:t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tabs>
          <w:tab w:val="center" w:pos="4153"/>
          <w:tab w:val="right" w:pos="8306"/>
        </w:tabs>
        <w:snapToGrid w:val="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1680"/>
        <w:rPr>
          <w:rFonts w:ascii="Calibri" w:hAnsi="Calibri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泸溪县武溪小学</w:t>
      </w:r>
    </w:p>
    <w:p>
      <w:pPr>
        <w:tabs>
          <w:tab w:val="left" w:pos="808"/>
        </w:tabs>
        <w:spacing w:line="58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20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年6月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50602020203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0902858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7BB8C8"/>
    <w:multiLevelType w:val="singleLevel"/>
    <w:tmpl w:val="847BB8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831DB0D"/>
    <w:multiLevelType w:val="singleLevel"/>
    <w:tmpl w:val="B831DB0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A509221"/>
    <w:multiLevelType w:val="singleLevel"/>
    <w:tmpl w:val="FA509221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53DE148"/>
    <w:multiLevelType w:val="singleLevel"/>
    <w:tmpl w:val="053DE14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357689AD"/>
    <w:multiLevelType w:val="singleLevel"/>
    <w:tmpl w:val="357689AD"/>
    <w:lvl w:ilvl="0" w:tentative="0">
      <w:start w:val="5"/>
      <w:numFmt w:val="chineseCounting"/>
      <w:suff w:val="nothing"/>
      <w:lvlText w:val="（%1）"/>
      <w:lvlJc w:val="left"/>
      <w:pPr>
        <w:ind w:left="421" w:firstLine="0"/>
      </w:pPr>
      <w:rPr>
        <w:rFonts w:hint="eastAsia"/>
      </w:rPr>
    </w:lvl>
  </w:abstractNum>
  <w:abstractNum w:abstractNumId="5">
    <w:nsid w:val="5747B400"/>
    <w:multiLevelType w:val="singleLevel"/>
    <w:tmpl w:val="5747B400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7689562"/>
    <w:multiLevelType w:val="singleLevel"/>
    <w:tmpl w:val="5768956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5B9"/>
    <w:rsid w:val="00010076"/>
    <w:rsid w:val="00011595"/>
    <w:rsid w:val="00030C45"/>
    <w:rsid w:val="0004248D"/>
    <w:rsid w:val="0005035E"/>
    <w:rsid w:val="00064FD3"/>
    <w:rsid w:val="000B4105"/>
    <w:rsid w:val="000B4628"/>
    <w:rsid w:val="000E5070"/>
    <w:rsid w:val="000F5803"/>
    <w:rsid w:val="001100B2"/>
    <w:rsid w:val="00123DF3"/>
    <w:rsid w:val="00131EA7"/>
    <w:rsid w:val="0018114B"/>
    <w:rsid w:val="001964CF"/>
    <w:rsid w:val="001A57F8"/>
    <w:rsid w:val="001B33BC"/>
    <w:rsid w:val="001C7816"/>
    <w:rsid w:val="001E0815"/>
    <w:rsid w:val="001E2B41"/>
    <w:rsid w:val="001E7060"/>
    <w:rsid w:val="001E7A50"/>
    <w:rsid w:val="00242325"/>
    <w:rsid w:val="002A2B61"/>
    <w:rsid w:val="002B11A4"/>
    <w:rsid w:val="00386028"/>
    <w:rsid w:val="003D15B9"/>
    <w:rsid w:val="00446DD5"/>
    <w:rsid w:val="004647BD"/>
    <w:rsid w:val="00471F4F"/>
    <w:rsid w:val="00482D34"/>
    <w:rsid w:val="004A428E"/>
    <w:rsid w:val="004B008B"/>
    <w:rsid w:val="004D05C0"/>
    <w:rsid w:val="004E0927"/>
    <w:rsid w:val="00533A48"/>
    <w:rsid w:val="00536B87"/>
    <w:rsid w:val="00551700"/>
    <w:rsid w:val="0055662C"/>
    <w:rsid w:val="005E6DBC"/>
    <w:rsid w:val="006861D7"/>
    <w:rsid w:val="007128AC"/>
    <w:rsid w:val="007338B3"/>
    <w:rsid w:val="007533BF"/>
    <w:rsid w:val="00785D0A"/>
    <w:rsid w:val="00797DA8"/>
    <w:rsid w:val="007B535B"/>
    <w:rsid w:val="007D56F9"/>
    <w:rsid w:val="007E3F9F"/>
    <w:rsid w:val="008061D6"/>
    <w:rsid w:val="008202AA"/>
    <w:rsid w:val="00887B34"/>
    <w:rsid w:val="00892F81"/>
    <w:rsid w:val="009174E0"/>
    <w:rsid w:val="009416E6"/>
    <w:rsid w:val="009930E4"/>
    <w:rsid w:val="009E0686"/>
    <w:rsid w:val="00A0388E"/>
    <w:rsid w:val="00A34625"/>
    <w:rsid w:val="00A660DD"/>
    <w:rsid w:val="00A66ECD"/>
    <w:rsid w:val="00B065C9"/>
    <w:rsid w:val="00B1221C"/>
    <w:rsid w:val="00B30113"/>
    <w:rsid w:val="00B371BB"/>
    <w:rsid w:val="00B41E33"/>
    <w:rsid w:val="00B54297"/>
    <w:rsid w:val="00B6006F"/>
    <w:rsid w:val="00B73A77"/>
    <w:rsid w:val="00C76C23"/>
    <w:rsid w:val="00C9231E"/>
    <w:rsid w:val="00CA2ED1"/>
    <w:rsid w:val="00CB666C"/>
    <w:rsid w:val="00CE18EF"/>
    <w:rsid w:val="00CE4F1D"/>
    <w:rsid w:val="00D2720C"/>
    <w:rsid w:val="00D63501"/>
    <w:rsid w:val="00DB06A1"/>
    <w:rsid w:val="00DE19FA"/>
    <w:rsid w:val="00E640FA"/>
    <w:rsid w:val="00E9769A"/>
    <w:rsid w:val="00EF1C13"/>
    <w:rsid w:val="00F06406"/>
    <w:rsid w:val="00F33367"/>
    <w:rsid w:val="00F63634"/>
    <w:rsid w:val="00F70B60"/>
    <w:rsid w:val="00FE560E"/>
    <w:rsid w:val="00FF0A05"/>
    <w:rsid w:val="1E1A7C7E"/>
    <w:rsid w:val="2EC344DB"/>
    <w:rsid w:val="3EB943EF"/>
    <w:rsid w:val="5862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1254</Words>
  <Characters>7150</Characters>
  <Lines>59</Lines>
  <Paragraphs>16</Paragraphs>
  <TotalTime>0</TotalTime>
  <ScaleCrop>false</ScaleCrop>
  <LinksUpToDate>false</LinksUpToDate>
  <CharactersWithSpaces>8388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2020-03-30T07:04:00Z</dcterms:created>
  <dc:creator>lenovo</dc:creator>
  <cp:lastModifiedBy>Administrator</cp:lastModifiedBy>
  <cp:lastPrinted>2020-06-09T08:16:00Z</cp:lastPrinted>
  <dcterms:modified xsi:type="dcterms:W3CDTF">2020-09-05T08:13:03Z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